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Đề 26: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Liên đoàn cờ vua thế giới (FIDE) yêu cầu anh/chị phát triển một phần mềm quản lí Giải đấu vô địch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thế giới với mô tả như sau: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Mỗi giải đấu (Mã, tên, năm, lần tổ chức, địa điểm, mô tả) cho phép nhiều cờ thủ (mã, tên,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năm sinh, quốc tịch, hệ số Elo, ghi chú) tham gia.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Có thể có hàng trăm cờ thủ tham gia, nhưng mỗi cờ thủ phải thi đấu 11 trận theo hệ Thụy Sỹ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Ở ván thứ nhất, các cờ thủ được xếp hạng theo thứ tự hệ số Elo từ cao đến thấp. Sau đó đi từ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trên xuống dưới bảng sắp xếp, hai cờ thủ đứng kề nhau sẽ tạo thành một cặp đấu cho vòng 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Ở mỗi vòng đấu, thắng được 1 điểm, hòa được 0.5 điểm, thua được 0 điểm. Sau mỗi vòng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đấu, kết quả từng trận được cập nhật theo các cặp đấu đã lên lịch trước đó. Đồng thời hệ số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Elo tăng hay giảm sau mỗi vòng đấu cũng được cập nhật (Tính theo công thức của FIDE,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chỉ cần nhập kết quả vào).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Bắt đầu từ ván thứ 2, bảng xếp hạng tạm thời sau vòng đấu trước đó được xếp theo thứ tự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các tiêu chí: tổng điểm (giảm dần), tổng điểm của các đối thủ đã gặp (giảm dần), hệ số Elo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(giảm dần). Và cặp đấu được xác định như sau, đi từ đầu đến cuối bảng xếp hạng tạm thời,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với mỗi cờ thủ chưa có cặp, đối thủ cả cờ thủ đó là cờ thủ đầu tiên gặp phải và thỏa mãn: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chưa có căp , và chưa gặp cờ thủ đang xem xét.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Sau 11 vòng đấu như vậy, cờ thủ đứng đầu bảng xếp hạng sẽ là nhà vô địch.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Anh/chị hãy thực hiện modul "Cập nhật kết quả" với các bước sau đây: Ban tổ chức (BTC) chọn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menu cập nhật kết quả → trang cập nhật kết quả hiện ra → BTC chọn vòng đấu từ danh sách sổ 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 chọn cặp đấu từ danh sách sổ ra theo vòng đấu + nhập số điểm và điểm Elo cho 2 cờ thủ của trận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đấu + click Cập nhật → Hệ thống thông báo lưu thành công kết quả trận đấu và quay về trang chọn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vòng đấu + trận đấu.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Viết một scenario chuẩn cho use case này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Trích và vẽ biểu đồ các lớp thực thể liên quan của modul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Thiết kế tĩnh: thiết kế giao diện và vẽ biểu đồ lớp MVC chi tiết cho modul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Thiết kế động: vẽ biểu đồ tuần tự mô tả tuần tự hoạt động của modul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Viết một test case chuẩn cho modul này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Viết một scenario chuẩn cho use case này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Cập nhật kết quả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 dieu kien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 dang nhap thanh công vào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Hau dieu kien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Điểm elo của 2 cờ thủ được cập nhật, hệ thống thông báo lưu kết quả thành công và quay về trang chọn vòng đấu, trận đấu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Kich 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BTC chọn menu câp nhật kết quả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Hệ thống hiển thị giao diện cập nhật kết quả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48425" cy="32289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322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BTC chọn vòng đấu và trận đấu sổ xuống từ 2 ô dữ liệu: Vòng đấu 1, trận đấu V1TD1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Hệ thống hienr thị giao diện cấp nhật kết quả với thông tin 2 cờ thử của trận đấu cụ thể: V1TD1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10325" cy="36861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5" cy="3686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BTC thực hiện cập nhật điểm elo cho 2 cờ thủ và bấm cập nhật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Hệ thống thông báo lưu thành công, lưu thông tin cập nhật vào csdl và hiển thị giao diện: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48425" cy="32289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322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Ngoai 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BTC chọn trận đấu trước khi chọn vòng đấu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Hiển thị là vui lòng chọn vòng đấu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sơ đồ lớp thưc thể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GiaiDau: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MaGD: String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TeenGD: String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Nam: Int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LanToChuc: 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DiaDiem:int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MoTa: String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MaBTC: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BTC: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MaBTC: String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TenBTC: String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CoThu: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MaCT: String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TenCT: String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NamSinh: int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QuocTich: String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Elo: 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GhiChu: String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TongDiem: float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VongDau: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MaVongDau:String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SoLuongTranDau: int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TranDau: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MaTranDau: String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MaVongDau: String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CoThu_TranDau: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MaTranDau:String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MaCoThu: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KetQua: int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81700" cy="1952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flowchart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7486650" cy="836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836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