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PAYKX – TÀI LIỆU ĐẶC TẢ YÊU CẦU PHẦN MỀM (SRS)</w:t>
      </w:r>
    </w:p>
    <w:p>
      <w:pPr>
        <w:jc w:val="center"/>
      </w:pPr>
      <w:r>
        <w:rPr>
          <w:i/>
        </w:rPr>
        <w:t>Chức năng: Hoàn tiền giao dịch ví điện tử</w:t>
        <w:br/>
        <w:t>Phiên bản 1.0 – Tháng 10/2026</w:t>
      </w:r>
    </w:p>
    <w:p>
      <w:r/>
      <w:fldSimple w:instr="TOC \o &quot;1-2&quot; \h \z \u"/>
    </w:p>
    <w:p>
      <w:pPr>
        <w:pStyle w:val="Heading1"/>
      </w:pPr>
      <w:r>
        <w:t>1. Tổng quan</w:t>
      </w:r>
    </w:p>
    <w:p>
      <w:r>
        <w:t>PayKX là ví điện tử dành cho sinh viên, hỗ trợ thanh toán, nạp tiền và quản lý giao dịch. Tài liệu này mô tả yêu cầu cho chức năng hoàn tiền nhằm bảo đảm giao dịch được xử lý minh bạch, đúng đối tượng và có thể đối soát.</w:t>
      </w:r>
    </w:p>
    <w:p>
      <w:pPr>
        <w:pStyle w:val="Heading2"/>
      </w:pPr>
      <w:r>
        <w:t>1.1 Mục đích</w:t>
      </w:r>
    </w:p>
    <w:p>
      <w:r>
        <w:t>Xác định phạm vi, quy tắc nghiệp vụ, dữ liệu đầu vào/đầu ra và tiêu chí kiểm thử của chức năng hoàn tiền.</w:t>
      </w:r>
    </w:p>
    <w:p>
      <w:pPr>
        <w:pStyle w:val="Heading2"/>
      </w:pPr>
      <w:r>
        <w:t>1.2 Phạm vi</w:t>
      </w:r>
    </w:p>
    <w:p>
      <w:r>
        <w:t>Áp dụng cho các giao dịch thanh toán đủ điều kiện hoàn tiền; không bao gồm xử lý tranh chấp ngoài hệ thống hoặc hoàn tiền do ngân hàng phát hành thẻ tự thực hiện.</w:t>
      </w:r>
    </w:p>
    <w:p>
      <w:pPr>
        <w:pStyle w:val="Heading1"/>
      </w:pPr>
      <w:r>
        <w:t>2. Yêu cầu chức năng</w:t>
      </w:r>
    </w:p>
    <w:p>
      <w:pPr>
        <w:pStyle w:val="Heading2"/>
      </w:pPr>
      <w:r>
        <w:t>2.1 Tiếp nhận yêu cầu hoàn tiền</w:t>
      </w:r>
    </w:p>
    <w:p>
      <w:r>
        <w:t>FR-01: Hệ thống phải tiếp nhận yêu cầu hoàn tiền từ ứng dụng PayKX. FR-02: Hệ thống kiểm tra mã giao dịch, trạng thái giao dịch, số tiền và thời hạn yêu cầu. FR-03: Mỗi giao dịch chỉ được hoàn trong phạm vi số tiền còn đủ điều kiện.</w:t>
      </w:r>
    </w:p>
    <w:p>
      <w:pPr>
        <w:pStyle w:val="Heading2"/>
      </w:pPr>
      <w:r>
        <w:t>2.2 Kiểm tra điều kiện</w:t>
      </w:r>
    </w:p>
    <w:p>
      <w:r>
        <w:t>FR-04: Giao dịch phải tồn tại và thuộc tài khoản người yêu cầu. FR-05: Giao dịch không được ở trạng thái đã hoàn toàn bộ. FR-06: Hệ thống ghi nhận lý do hoàn tiền và thời điểm yêu cầu.</w:t>
      </w:r>
    </w:p>
    <w:p>
      <w:pPr>
        <w:pStyle w:val="Heading2"/>
      </w:pPr>
      <w:r>
        <w:t>2.3 Phê duyệt và thực hiện</w:t>
      </w:r>
    </w:p>
    <w:p>
      <w:r>
        <w:t>FR-07: Yêu cầu hợp lệ được chuyển sang trạng thái Chờ xử lý/Đã duyệt theo quy tắc nghiệp vụ. FR-08: Khi hoàn thành, hệ thống cộng tiền vào số dư ví và tạo bản ghi hoàn tiền liên kết với giao dịch gốc.</w:t>
      </w:r>
    </w:p>
    <w:p>
      <w:r>
        <w:br w:type="page"/>
      </w:r>
    </w:p>
    <w:p>
      <w:pPr>
        <w:pStyle w:val="Heading1"/>
      </w:pPr>
      <w:r>
        <w:t>3. Quy trình nghiệp vụ</w:t>
      </w:r>
    </w:p>
    <w:p>
      <w:pPr>
        <w:pStyle w:val="Heading2"/>
      </w:pPr>
      <w:r>
        <w:t>3.1 Luồng chính</w:t>
      </w:r>
    </w:p>
    <w:p>
      <w:r>
        <w:t>Người dùng chọn giao dịch → chọn Hoàn tiền → nhập lý do → hệ thống kiểm tra → ghi nhận yêu cầu → phê duyệt → hoàn tiền → gửi thông báo → cập nhật lịch sử.</w:t>
      </w:r>
    </w:p>
    <w:p>
      <w:pPr>
        <w:pStyle w:val="Heading2"/>
      </w:pPr>
      <w:r>
        <w:t>3.2 Luồng ngoại lệ</w:t>
      </w:r>
    </w:p>
    <w:p>
      <w:r>
        <w:t>Nếu mã giao dịch không tồn tại, hệ thống báo lỗi và không tạo yêu cầu. Nếu giao dịch không đủ điều kiện, hệ thống nêu rõ nguyên nhân. Nếu đối tác ngân hàng chưa xác nhận, yêu cầu được giữ ở trạng thái Chờ đối soát.</w:t>
      </w:r>
    </w:p>
    <w:p>
      <w:pPr>
        <w:pStyle w:val="Heading2"/>
      </w:pPr>
      <w:r>
        <w:t>3.3 Trạng thái</w:t>
      </w:r>
    </w:p>
    <w:p>
      <w:r>
        <w:t>Các trạng thái đề xuất: NEW, CHECKING, APPROVED, PROCESSING, COMPLETED, REJECTED, FAILED. Mọi chuyển trạng thái phải được lưu lịch sử để phục vụ kiểm toán.</w:t>
      </w:r>
    </w:p>
    <w:p>
      <w:pPr>
        <w:pStyle w:val="Heading1"/>
      </w:pPr>
      <w:r>
        <w:t>4. Dữ liệu và giao diện</w:t>
      </w:r>
    </w:p>
    <w:p>
      <w:pPr>
        <w:pStyle w:val="Heading2"/>
      </w:pPr>
      <w:r>
        <w:t>4.1 Dữ liệu đầu vào</w:t>
      </w:r>
    </w:p>
    <w:p>
      <w:r>
        <w:t>Mã giao dịch, mã người dùng, số tiền yêu cầu hoàn, lý do hoàn và thời điểm gửi yêu cầu.</w:t>
      </w:r>
    </w:p>
    <w:p>
      <w:pPr>
        <w:pStyle w:val="Heading2"/>
      </w:pPr>
      <w:r>
        <w:t>4.2 Dữ liệu đầu ra</w:t>
      </w:r>
    </w:p>
    <w:p>
      <w:r>
        <w:t>Mã yêu cầu hoàn, trạng thái xử lý, số tiền hoàn thực tế, thời điểm hoàn và thông báo kết quả.</w:t>
      </w:r>
    </w:p>
    <w:p>
      <w:pPr>
        <w:pStyle w:val="Heading2"/>
      </w:pPr>
      <w:r>
        <w:t>4.3 Giao diện người dùng</w:t>
      </w:r>
    </w:p>
    <w:p>
      <w:r>
        <w:t>Màn hình chi tiết giao dịch có nút Hoàn tiền khi giao dịch đủ điều kiện. Biểu mẫu phải hiển thị số tiền tối đa có thể hoàn và yêu cầu người dùng xác nhận trước khi gửi.</w:t>
      </w:r>
    </w:p>
    <w:p>
      <w:pPr>
        <w:pStyle w:val="Heading2"/>
      </w:pPr>
      <w:r>
        <w:t>4.4 Bảo mật dữ liệu</w:t>
      </w:r>
    </w:p>
    <w:p>
      <w:r>
        <w:t>Chỉ người dùng sở hữu giao dịch và các vai trò được phân quyền mới được xem hoặc xử lý yêu cầu hoàn tiền. Dữ liệu nhạy cảm phải được bảo vệ khi truyền và lưu trữ.</w:t>
      </w:r>
    </w:p>
    <w:p>
      <w:r>
        <w:br w:type="page"/>
      </w:r>
    </w:p>
    <w:p>
      <w:pPr>
        <w:pStyle w:val="Heading1"/>
      </w:pPr>
      <w:r>
        <w:t>5. Quy tắc nghiệp vụ</w:t>
      </w:r>
    </w:p>
    <w:p>
      <w:pPr>
        <w:pStyle w:val="Heading2"/>
      </w:pPr>
      <w:r>
        <w:t>5.1 Điều kiện hoàn tiền</w:t>
      </w:r>
    </w:p>
    <w:p>
      <w:r>
        <w:t>BR-01: Không hoàn vượt số tiền còn đủ điều kiện. BR-02: Không tạo hai yêu cầu hoàn đang xử lý cho cùng một giao dịch nếu nghiệp vụ không cho phép. BR-03: Mọi khoản hoàn phải tham chiếu giao dịch gốc.</w:t>
      </w:r>
    </w:p>
    <w:p>
      <w:pPr>
        <w:pStyle w:val="Heading2"/>
      </w:pPr>
      <w:r>
        <w:t>5.2 Đối soát</w:t>
      </w:r>
    </w:p>
    <w:p>
      <w:r>
        <w:t>Kết quả hoàn tiền phải có mã tham chiếu để đối chiếu với dữ liệu ngân hàng. Các khoản chênh lệch phải được đánh dấu và đưa vào danh sách xử lý.</w:t>
      </w:r>
    </w:p>
    <w:p>
      <w:pPr>
        <w:pStyle w:val="Heading2"/>
      </w:pPr>
      <w:r>
        <w:t>5.3 Thông báo</w:t>
      </w:r>
    </w:p>
    <w:p>
      <w:r>
        <w:t>Ứng dụng thông báo khi yêu cầu được tiếp nhận, bị từ chối, đang xử lý và hoàn tất. Nội dung thông báo phải nêu mã giao dịch và số tiền liên quan.</w:t>
      </w:r>
    </w:p>
    <w:p>
      <w:pPr>
        <w:pStyle w:val="Heading1"/>
      </w:pPr>
      <w:r>
        <w:t>6. Phi chức năng</w:t>
      </w:r>
    </w:p>
    <w:p>
      <w:pPr>
        <w:pStyle w:val="Heading2"/>
      </w:pPr>
      <w:r>
        <w:t>6.1 Hiệu năng</w:t>
      </w:r>
    </w:p>
    <w:p>
      <w:r>
        <w:t>Các thao tác kiểm tra thông thường cần phản hồi nhanh; hệ thống phải hỗ trợ ghi log và theo dõi thời gian xử lý.</w:t>
      </w:r>
    </w:p>
    <w:p>
      <w:pPr>
        <w:pStyle w:val="Heading2"/>
      </w:pPr>
      <w:r>
        <w:t>6.2 Tin cậy và kiểm toán</w:t>
      </w:r>
    </w:p>
    <w:p>
      <w:r>
        <w:t>Mọi thay đổi trạng thái và số tiền hoàn phải có dấu thời gian, tác nhân và mã tham chiếu. Không được xóa lịch sử giao dịch đã hoàn tất.</w:t>
      </w:r>
    </w:p>
    <w:p>
      <w:pPr>
        <w:pStyle w:val="Heading2"/>
      </w:pPr>
      <w:r>
        <w:t>6.3 Khả năng mở rộng</w:t>
      </w:r>
    </w:p>
    <w:p>
      <w:r>
        <w:t>Thiết kế cho phép bổ sung quy tắc hoàn tiền theo chiến dịch, đối tác và loại giao dịch mà không làm thay đổi dữ liệu giao dịch cốt lõi.</w:t>
      </w:r>
    </w:p>
    <w:p>
      <w:r>
        <w:br w:type="page"/>
      </w:r>
    </w:p>
    <w:p>
      <w:pPr>
        <w:pStyle w:val="Heading1"/>
      </w:pPr>
      <w:r>
        <w:t>7. Kiểm thử và nghiệm thu</w:t>
      </w:r>
    </w:p>
    <w:p>
      <w:pPr>
        <w:pStyle w:val="Heading2"/>
      </w:pPr>
      <w:r>
        <w:t>7.1 Ca kiểm thử chính</w:t>
      </w:r>
    </w:p>
    <w:p>
      <w:r>
        <w:t>TC-01: Mã giao dịch hợp lệ → tạo yêu cầu thành công. TC-02: Mã không tồn tại → báo lỗi. TC-03: Số tiền vượt mức → từ chối. TC-04: Giao dịch đã hoàn → từ chối. TC-05: Hoàn thành → số dư và lịch sử được cập nhật.</w:t>
      </w:r>
    </w:p>
    <w:p>
      <w:pPr>
        <w:pStyle w:val="Heading2"/>
      </w:pPr>
      <w:r>
        <w:t>7.2 Tiêu chí nghiệm thu</w:t>
      </w:r>
    </w:p>
    <w:p>
      <w:r>
        <w:t>Tất cả yêu cầu FR/BR phải được kiểm thử; kết quả hoàn tiền phải đối soát được với giao dịch gốc; không phát sinh ghi nhận trùng; lịch sử trạng thái đầy đủ.</w:t>
      </w:r>
    </w:p>
    <w:p>
      <w:pPr>
        <w:pStyle w:val="Heading1"/>
      </w:pPr>
      <w:r>
        <w:t>8. Phụ lục</w:t>
      </w:r>
    </w:p>
    <w:p>
      <w:pPr>
        <w:pStyle w:val="Heading2"/>
      </w:pPr>
      <w:r>
        <w:t>8.1 Thuật ngữ</w:t>
      </w:r>
    </w:p>
    <w:p>
      <w:r>
        <w:t>SRS: Software Requirements Specification. FR: Functional Requirement. BR: Business Rule. TC: Test Case.</w:t>
      </w:r>
    </w:p>
    <w:p>
      <w:pPr>
        <w:pStyle w:val="Heading2"/>
      </w:pPr>
      <w:r>
        <w:t>8.2 Lịch sử phiên bản</w:t>
      </w:r>
    </w:p>
    <w:p>
      <w:r>
        <w:t>1.0 – Xây dựng đặc tả chức năng hoàn tiền cho PayKX.</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