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【实验名称】：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NAT网络地址转换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学生姓名：2151133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孙韩雅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18"/>
          <w:szCs w:val="21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实验地点：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2"/>
          <w:szCs w:val="22"/>
          <w:lang w:eastAsia="zh-CN" w:bidi="ar"/>
        </w:rPr>
        <w:t xml:space="preserve">济事楼330  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实验时间：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2023-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宋体" w:hAnsi="宋体" w:eastAsia="宋体" w:cs="宋体"/>
          <w:b w:val="0"/>
          <w:bCs w:val="0"/>
          <w:color w:val="000000"/>
          <w:kern w:val="0"/>
          <w:sz w:val="22"/>
          <w:szCs w:val="22"/>
          <w:lang w:eastAsia="zh-CN" w:bidi="ar"/>
        </w:rPr>
        <w:t>-</w:t>
      </w: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30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【实验目的】</w:t>
      </w:r>
    </w:p>
    <w:p>
      <w:pPr>
        <w:spacing w:line="300" w:lineRule="auto"/>
        <w:ind w:firstLine="420" w:firstLineChars="200"/>
        <w:jc w:val="left"/>
        <w:rPr>
          <w:rFonts w:hint="default" w:ascii="Times New Roman" w:hAnsi="Times New Roman"/>
          <w:color w:val="000000"/>
          <w:lang w:val="en-US"/>
        </w:rPr>
      </w:pPr>
      <w:r>
        <w:rPr>
          <w:rFonts w:hint="eastAsia" w:ascii="Times New Roman" w:hAnsi="Times New Roman"/>
          <w:color w:val="000000"/>
        </w:rPr>
        <w:t>了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解地址转换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的技术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原理，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熟悉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配置静态NAT的方法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、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指令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与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操作，理解与掌握网络地址转换技术以及NAT转换表的相关内容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【实验原理】</w:t>
      </w:r>
    </w:p>
    <w:p>
      <w:pPr>
        <w:spacing w:line="300" w:lineRule="auto"/>
        <w:ind w:firstLine="420" w:firstLineChars="200"/>
        <w:jc w:val="left"/>
        <w:rPr>
          <w:rFonts w:ascii="Times New Roman" w:hAnsi="Times New Roman"/>
          <w:color w:val="000000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1.技术原理：</w:t>
      </w:r>
      <w:r>
        <w:rPr>
          <w:rFonts w:hint="eastAsia" w:ascii="Times New Roman" w:hAnsi="Times New Roman"/>
          <w:color w:val="000000"/>
        </w:rPr>
        <w:t>网</w:t>
      </w:r>
      <w:r>
        <w:rPr>
          <w:rFonts w:ascii="Times New Roman" w:hAnsi="Times New Roman"/>
          <w:color w:val="000000"/>
        </w:rPr>
        <w:t>络地址转换被广泛应用于各种类型Internet</w:t>
      </w:r>
      <w:r>
        <w:rPr>
          <w:rFonts w:hint="eastAsia" w:ascii="Times New Roman" w:hAnsi="Times New Roman"/>
          <w:color w:val="000000"/>
        </w:rPr>
        <w:t>接入方式和各种类型的网络中。原因很简单，</w:t>
      </w:r>
      <w:r>
        <w:rPr>
          <w:rFonts w:ascii="Times New Roman" w:hAnsi="Times New Roman"/>
          <w:color w:val="000000"/>
        </w:rPr>
        <w:t>NAT不仅完美地解决了lP地址不足的问题，而</w:t>
      </w:r>
      <w:r>
        <w:rPr>
          <w:rFonts w:hint="eastAsia" w:ascii="Times New Roman" w:hAnsi="Times New Roman"/>
          <w:color w:val="000000"/>
        </w:rPr>
        <w:t>且还能够有效地避免来自网络外部的攻击，隐藏并保护网络内部的计算机。</w:t>
      </w:r>
    </w:p>
    <w:p>
      <w:pPr>
        <w:spacing w:line="300" w:lineRule="auto"/>
        <w:ind w:firstLine="420" w:firstLineChars="200"/>
        <w:jc w:val="left"/>
        <w:rPr>
          <w:rFonts w:ascii="Times New Roman" w:hAnsi="Times New Roman"/>
          <w:color w:val="000000"/>
        </w:rPr>
      </w:pPr>
      <w:r>
        <w:rPr>
          <w:rFonts w:hint="eastAsia" w:ascii="Times New Roman" w:hAnsi="Times New Roman"/>
          <w:color w:val="000000"/>
        </w:rPr>
        <w:t>默认情况下，内部</w:t>
      </w:r>
      <w:r>
        <w:rPr>
          <w:rFonts w:ascii="Times New Roman" w:hAnsi="Times New Roman"/>
          <w:color w:val="000000"/>
        </w:rPr>
        <w:t>IP地址是无法被路由到外网的，</w:t>
      </w:r>
      <w:r>
        <w:rPr>
          <w:rFonts w:hint="eastAsia" w:ascii="Times New Roman" w:hAnsi="Times New Roman"/>
          <w:color w:val="000000"/>
        </w:rPr>
        <w:t>内部主机要与外部网络或</w:t>
      </w:r>
      <w:r>
        <w:rPr>
          <w:rFonts w:ascii="Times New Roman" w:hAnsi="Times New Roman"/>
          <w:color w:val="000000"/>
        </w:rPr>
        <w:t>internet通信，IP包到达NAT路由器时， IP包头的源地址被替换成一个合</w:t>
      </w:r>
      <w:r>
        <w:rPr>
          <w:rFonts w:hint="eastAsia" w:ascii="Times New Roman" w:hAnsi="Times New Roman"/>
          <w:color w:val="000000"/>
        </w:rPr>
        <w:t>法的外网</w:t>
      </w:r>
      <w:r>
        <w:rPr>
          <w:rFonts w:ascii="Times New Roman" w:hAnsi="Times New Roman"/>
          <w:color w:val="000000"/>
        </w:rPr>
        <w:t>IP，并在NAT转换表中保存这条记录。</w:t>
      </w:r>
      <w:r>
        <w:rPr>
          <w:rFonts w:hint="eastAsia" w:ascii="Times New Roman" w:hAnsi="Times New Roman"/>
          <w:color w:val="000000"/>
        </w:rPr>
        <w:t>当外部主机发送一个应答到内网时，</w:t>
      </w:r>
      <w:r>
        <w:rPr>
          <w:rFonts w:ascii="Times New Roman" w:hAnsi="Times New Roman"/>
          <w:color w:val="000000"/>
        </w:rPr>
        <w:t>NAT路由器</w:t>
      </w:r>
      <w:r>
        <w:rPr>
          <w:rFonts w:hint="eastAsia" w:ascii="Times New Roman" w:hAnsi="Times New Roman"/>
          <w:color w:val="000000"/>
        </w:rPr>
        <w:t>收到后，查看当前</w:t>
      </w:r>
      <w:r>
        <w:rPr>
          <w:rFonts w:ascii="Times New Roman" w:hAnsi="Times New Roman"/>
          <w:color w:val="000000"/>
        </w:rPr>
        <w:t>NAT转换表，用内网地址替换</w:t>
      </w:r>
      <w:r>
        <w:rPr>
          <w:rFonts w:hint="eastAsia" w:ascii="Times New Roman" w:hAnsi="Times New Roman"/>
          <w:color w:val="000000"/>
        </w:rPr>
        <w:t>掉这个外网地址。</w:t>
      </w:r>
    </w:p>
    <w:p>
      <w:pPr>
        <w:ind w:firstLine="42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/>
        </w:rPr>
        <w:t>NAT将网络划分为内部网络和外部网络两部分，局域网主机利用NAT访问网络时，是将局域网内部的本地地址转换为全局地址（外部网络或互联网合法的IP地址）后转发数据包。</w:t>
      </w:r>
    </w:p>
    <w:p>
      <w:pPr>
        <w:numPr>
          <w:ilvl w:val="0"/>
          <w:numId w:val="0"/>
        </w:numPr>
        <w:spacing w:line="300" w:lineRule="auto"/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2.NAT分为两种类型：NAT（网络地址转换）和NAPT（网络端口地址转换IP地址对应一个全局地址）。</w:t>
      </w:r>
    </w:p>
    <w:p>
      <w:pPr>
        <w:numPr>
          <w:ilvl w:val="0"/>
          <w:numId w:val="0"/>
        </w:numPr>
        <w:spacing w:line="300" w:lineRule="auto"/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静态NAT：实现内部地址与外部地址一对一的映射。现实中，一般都用于服务器；</w:t>
      </w:r>
    </w:p>
    <w:p>
      <w:pPr>
        <w:numPr>
          <w:ilvl w:val="0"/>
          <w:numId w:val="0"/>
        </w:numPr>
        <w:spacing w:line="300" w:lineRule="auto"/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动态NAT：定义一个地址池，自动映射，也是一对多的。现实中，用得比较少；</w:t>
      </w:r>
    </w:p>
    <w:p>
      <w:pPr>
        <w:numPr>
          <w:ilvl w:val="0"/>
          <w:numId w:val="0"/>
        </w:numPr>
        <w:spacing w:line="300" w:lineRule="auto"/>
        <w:ind w:firstLine="420" w:firstLineChars="200"/>
        <w:jc w:val="left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NAPT：使用不同的端口来映射多个内网IP地址到一个指定的外网IP地址，多对一。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【实验设备】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HUAWEI MateBook X Pro（安装有</w:t>
      </w:r>
      <w:r>
        <w:rPr>
          <w:rFonts w:hint="eastAsia" w:ascii="宋体" w:hAnsi="宋体"/>
          <w:b/>
          <w:bCs/>
          <w:sz w:val="24"/>
        </w:rPr>
        <w:t>Cisco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Packet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hint="eastAsia" w:ascii="宋体" w:hAnsi="宋体"/>
          <w:b/>
          <w:bCs/>
          <w:sz w:val="24"/>
        </w:rPr>
        <w:t>Tracer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18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【实验步骤】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1.首先规划网络地址及拓扑图：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0" distR="0">
            <wp:extent cx="3355340" cy="1896110"/>
            <wp:effectExtent l="0" t="0" r="698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2.配置PC机、服务器及路由器口IP地址；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3.在各路由器上配置静态路由协议，让pc间能相互ping通；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4.在路由器上配置静态NAT；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5.在路由器上定义内外部网络接口；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6.验证主机之间的互通性。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【实验现象】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1.按照拓扑图进行连线：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center"/>
        <w:textAlignment w:val="auto"/>
      </w:pPr>
      <w:r>
        <w:drawing>
          <wp:inline distT="0" distB="0" distL="114300" distR="114300">
            <wp:extent cx="4473575" cy="1792605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both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2.</w:t>
      </w: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配置PC机、服务器及路由器口IP地址（略）；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3.在各路由器上配置端口地址、静态路由表以及NAT的出入口（以Router0为例），让pc间能相互ping通：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center"/>
        <w:textAlignment w:val="auto"/>
      </w:pPr>
      <w:r>
        <w:drawing>
          <wp:inline distT="0" distB="0" distL="114300" distR="114300">
            <wp:extent cx="3748405" cy="2670810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4.配置路由器的NAT转换后，观测（show ip nattranslations）：</w:t>
      </w:r>
    </w:p>
    <w:p>
      <w:pPr>
        <w:jc w:val="center"/>
      </w:pPr>
      <w:r>
        <w:drawing>
          <wp:inline distT="0" distB="0" distL="114300" distR="114300">
            <wp:extent cx="5100955" cy="389890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105400" cy="38671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5.在各自PC端访问（以PC1为例）：</w:t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</w:pPr>
      <w:r>
        <w:drawing>
          <wp:inline distT="0" distB="0" distL="114300" distR="114300">
            <wp:extent cx="2464435" cy="3291840"/>
            <wp:effectExtent l="0" t="0" r="2540" b="381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3805" cy="3291205"/>
            <wp:effectExtent l="0" t="0" r="1270" b="444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l="1228"/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最终结果如下表所示：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75"/>
        <w:gridCol w:w="1311"/>
        <w:gridCol w:w="1311"/>
        <w:gridCol w:w="1176"/>
        <w:gridCol w:w="1216"/>
        <w:gridCol w:w="1319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D7D7D7" w:themeFill="background1" w:themeFillShade="D8"/>
          </w:tcPr>
          <w:p>
            <w:pPr>
              <w:pStyle w:val="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vertAlign w:val="baseline"/>
              </w:rPr>
            </w:pPr>
          </w:p>
        </w:tc>
        <w:tc>
          <w:tcPr>
            <w:tcW w:w="1217" w:type="dxa"/>
            <w:shd w:val="clear" w:color="auto" w:fill="F1F1F1" w:themeFill="background1" w:themeFillShade="F2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ascii="Times New Roman" w:hAnsi="Times New Roman"/>
                <w:color w:val="000000"/>
              </w:rPr>
              <w:t>192.168.1.11</w:t>
            </w:r>
          </w:p>
        </w:tc>
        <w:tc>
          <w:tcPr>
            <w:tcW w:w="1217" w:type="dxa"/>
            <w:shd w:val="clear" w:color="auto" w:fill="F1F1F1" w:themeFill="background1" w:themeFillShade="F2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10.120.1</w:t>
            </w:r>
            <w:r>
              <w:rPr>
                <w:rFonts w:hint="eastAsia" w:ascii="Times New Roman" w:hAnsi="Times New Roman"/>
                <w:color w:val="000000"/>
              </w:rPr>
              <w:t>.</w:t>
            </w:r>
            <w:r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1217" w:type="dxa"/>
            <w:shd w:val="clear" w:color="auto" w:fill="F1F1F1" w:themeFill="background1" w:themeFillShade="F2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0.60.2.22</w:t>
            </w:r>
          </w:p>
        </w:tc>
        <w:tc>
          <w:tcPr>
            <w:tcW w:w="1218" w:type="dxa"/>
            <w:shd w:val="clear" w:color="auto" w:fill="F1F1F1" w:themeFill="background1" w:themeFillShade="F2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72.16.3.33</w:t>
            </w:r>
          </w:p>
        </w:tc>
        <w:tc>
          <w:tcPr>
            <w:tcW w:w="1218" w:type="dxa"/>
            <w:shd w:val="clear" w:color="auto" w:fill="F1F1F1" w:themeFill="background1" w:themeFillShade="F2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</w:rPr>
              <w:t>18.100.3.33</w:t>
            </w:r>
          </w:p>
        </w:tc>
        <w:tc>
          <w:tcPr>
            <w:tcW w:w="1218" w:type="dxa"/>
            <w:shd w:val="clear" w:color="auto" w:fill="F1F1F1" w:themeFill="background1" w:themeFillShade="F2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</w:rPr>
              <w:t>18.18.4.44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D7D7D7" w:themeFill="background1" w:themeFillShade="D8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</w:rPr>
              <w:t>C0</w:t>
            </w:r>
          </w:p>
        </w:tc>
        <w:tc>
          <w:tcPr>
            <w:tcW w:w="1217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  <w:tc>
          <w:tcPr>
            <w:tcW w:w="1217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不通</w:t>
            </w:r>
          </w:p>
        </w:tc>
        <w:tc>
          <w:tcPr>
            <w:tcW w:w="1217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  <w:tc>
          <w:tcPr>
            <w:tcW w:w="1218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不通</w:t>
            </w:r>
          </w:p>
        </w:tc>
        <w:tc>
          <w:tcPr>
            <w:tcW w:w="1218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  <w:tc>
          <w:tcPr>
            <w:tcW w:w="1218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D7D7D7" w:themeFill="background1" w:themeFillShade="D8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</w:rPr>
              <w:t>C1</w:t>
            </w:r>
          </w:p>
        </w:tc>
        <w:tc>
          <w:tcPr>
            <w:tcW w:w="1217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  <w:tc>
          <w:tcPr>
            <w:tcW w:w="1217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不通</w:t>
            </w:r>
          </w:p>
        </w:tc>
        <w:tc>
          <w:tcPr>
            <w:tcW w:w="1217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  <w:tc>
          <w:tcPr>
            <w:tcW w:w="1218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不通</w:t>
            </w:r>
          </w:p>
        </w:tc>
        <w:tc>
          <w:tcPr>
            <w:tcW w:w="1218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  <w:tc>
          <w:tcPr>
            <w:tcW w:w="1218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D7D7D7" w:themeFill="background1" w:themeFillShade="D8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</w:rPr>
              <w:t>C2</w:t>
            </w:r>
          </w:p>
        </w:tc>
        <w:tc>
          <w:tcPr>
            <w:tcW w:w="1217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不通</w:t>
            </w:r>
          </w:p>
        </w:tc>
        <w:tc>
          <w:tcPr>
            <w:tcW w:w="1217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  <w:tc>
          <w:tcPr>
            <w:tcW w:w="1217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  <w:tc>
          <w:tcPr>
            <w:tcW w:w="1218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  <w:tc>
          <w:tcPr>
            <w:tcW w:w="1218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不通</w:t>
            </w:r>
          </w:p>
        </w:tc>
        <w:tc>
          <w:tcPr>
            <w:tcW w:w="1218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  <w:shd w:val="clear" w:color="auto" w:fill="D7D7D7" w:themeFill="background1" w:themeFillShade="D8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P</w:t>
            </w:r>
            <w:r>
              <w:rPr>
                <w:rFonts w:ascii="Times New Roman" w:hAnsi="Times New Roman"/>
                <w:color w:val="000000"/>
              </w:rPr>
              <w:t>C3</w:t>
            </w:r>
          </w:p>
        </w:tc>
        <w:tc>
          <w:tcPr>
            <w:tcW w:w="1217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不通</w:t>
            </w:r>
          </w:p>
        </w:tc>
        <w:tc>
          <w:tcPr>
            <w:tcW w:w="1217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  <w:tc>
          <w:tcPr>
            <w:tcW w:w="1217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  <w:tc>
          <w:tcPr>
            <w:tcW w:w="1218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  <w:tc>
          <w:tcPr>
            <w:tcW w:w="1218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不通</w:t>
            </w:r>
          </w:p>
        </w:tc>
        <w:tc>
          <w:tcPr>
            <w:tcW w:w="1218" w:type="dxa"/>
            <w:vAlign w:val="center"/>
          </w:tcPr>
          <w:p>
            <w:pPr>
              <w:spacing w:line="300" w:lineRule="auto"/>
              <w:jc w:val="center"/>
              <w:rPr>
                <w:rFonts w:ascii="Times New Roman" w:hAnsi="Times New Roman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color w:val="000000"/>
              </w:rPr>
              <w:t>通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【分析讨论】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在实验中，我们通过ping的操作寻找问题，并从ping的结果中得到一些结论。ping可能会返回发送失败、丢包、回应错误等情况，需要对不同的结果进行分析和解释，找到问题所在，并进行调整或修复。</w:t>
      </w:r>
      <w:r>
        <w:rPr>
          <w:rFonts w:hint="eastAsia"/>
        </w:rPr>
        <w:t>比较上述的两台PC的ping的结果，可以发现，大部分的ping都可</w:t>
      </w:r>
      <w:r>
        <w:rPr>
          <w:rFonts w:hint="eastAsia"/>
          <w:lang w:val="en-US" w:eastAsia="zh-CN"/>
        </w:rPr>
        <w:t>以获得回复，少部分发送包失败，但也会收到中间某个结点的reply。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对于ping 192.168.1.11，pc1可以成功收到回复，这是因为pc1在同一子网并且直接连接到路由器A，所以数据包可以直接到达并收到回复。但对于pc3来说，它需要经过两个路由器才能到达目标地址。数据包只能到达路由器B的内部本地接口172.16.3.254，并被返回，无法到达目标地址192.168.1.11。这是由于目标地址是路由器A的内部地址，外界请求无法到达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对于ping 210.120.1.0，该地址是路由器A的全局地址，表示向路由器A发送的数据包。对于pc1来说，数据包被返回到路由器A的f0/0接口，这是因为pc1发送的数据包可能没有进入路由器A就被返回。对于pc3来说，它可以成功收到回复，因为210.120.1.0是路由器A的全局地址，可以接收外界的请求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对于ping 10.60.2.22，pc1可以成功访问，因为它与目标地址连接在同一台路由器上。对于pc3，经过两个路由器的转换，它的数据包可以成功发送到对方并收到回复。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对于ping 172.16.3.33，pc1无法访问该地址，因为它是路由器B的内部访问接口，pc1无法直接访问到这里。对于pc3来说，它可以访问到该地址，因为它与目标地址连接在同一台路由器上。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对于ping 218.100.3.33，该地址是路由器B的全局地址，表示向路由器B发送的数据包。pc1和pc3都可以成功发送数据包并收到回复，因为该地址是全局可访问的。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对于ping 118.18.4.44，该地址是pc4的IP地址。对于pc1而言，由于该地址不在NAT路由表中，它可以直接访问到该地址。对于pc3而言，它与目标地址连接在同一台路由器上，所以也可以成功访问。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总的来说，NAT网络地址转换是一个需要技术积累并进行多次实验验证的过程。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45682BE0"/>
    <w:rsid w:val="23C16B35"/>
    <w:rsid w:val="45682BE0"/>
    <w:rsid w:val="7AE7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2023-10-30T12:17:00Z</dcterms:created>
  <dc:creator>八百斤鸭</dc:creator>
  <cp:lastModifiedBy>八百斤鸭</cp:lastModifiedBy>
  <dcterms:modified xsi:type="dcterms:W3CDTF">2023-11-04T15:36:41Z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9A5D478F0E41461391C2CC8E262D0B3E_11</vt:lpwstr>
  </property>
</Properties>
</file>