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Use Case Summary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tabs>
                <w:tab w:val="left" w:pos="810"/>
              </w:tabs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Realizar Trasferencia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ind w:right="9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  <w:vMerge w:val="restart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img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01/12/2016 11:25:48 p.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  <w:vMerge w:val="continue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Luis Fernando Gomez Alejandre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C:\Users\DARKENSES\Documents\GitHub\ExamenDis\ExamenDis.EAP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TOC \o "1-9"</w:instrText>
        <w:fldChar w:fldCharType="separate"/>
        <w:t xml:space="preserve">Realizar Trasferencia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bookmarkStart w:id="3" w:name="BKM_E0CF2BA9_4842_4EEF_948C_776ED1E9DD66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Realizar Trasferencia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'Funcionalidad'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Realizar Trasferencia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Luis Fernando Gomez Alejandre created on 01/12/2016.  Last modified 01/12/2016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Flujo Normal: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Selecciona la opción de trasferir dinero.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Muestra un formulario para transferir dinero a otra cuenta.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Selecciona los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datos a transferir de dinero.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confirma la identidad apartir de una clave de acceso.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5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Se confirma con el reporte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de transferencia.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Alternate Paths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Contraseña incorrecta: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(at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Muestra que la contraseña ingresada no es la correcta. Ingresa su contraseña nuevamente.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Cuenta no existente: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(at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Muestra que no existe el N° de cuenta ingresado. Corrobora los datos ingresados.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Exceptions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Fondos insuficientes: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(at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Muestra que no se pudo completar la transaccion puesto que no hay fondos suficientes. Trata de realizar transferencia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menor monto.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bfbfbf"/>
              <w:right w:val="single" w:sz="4" w:color="bfbfbf"/>
              <w:top w:val="single" w:sz="4" w:color="bfbfbf"/>
              <w:bottom w:val="single" w:sz="4" w:color="bfbfb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sz w:val="0"/>
                <w:szCs w:val="0"/>
                <w:b w:val="false"/>
                <w:color w:val="auto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  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bfbfbf"/>
              <w:right w:val="single" w:sz="4" w:color="bfbfbf"/>
              <w:top w:val="single" w:sz="4" w:color="bfbfbf"/>
              <w:bottom w:val="single" w:sz="4" w:color="bfbfb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disminuira los fondos de la cuenta origen 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</w:tabs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Type: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Post-condition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Status: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Approved	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Weight: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0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bfbfbf"/>
              <w:right w:val="single" w:sz="4" w:color="bfbfbf"/>
              <w:top w:val="single" w:sz="4" w:color="bfbfbf"/>
              <w:bottom w:val="single" w:sz="4" w:color="bfbfb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cliente debe haber iniciado sesi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antes 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</w:tabs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Type: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Pre-condition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Status: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Approved	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Weight: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1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E0CF2BA9_4842_4EEF_948C_776ED1E9DD66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Liberation Sans Narrow">
    <w:charset w:val="0"/>
    <w:family w:val="swiss"/>
  </w:font>
  <w:font w:name="Times New Roman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 diciembre, 2016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png"/><Relationship Id="img10" Type="http://schemas.openxmlformats.org/officeDocument/2006/relationships/image" Target="media/document_img10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7" Type="http://schemas.openxmlformats.org/officeDocument/2006/relationships/image" Target="media/document_img2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2016-12-01T23:25:50</dcterms:created>
  <dcterms:modified xsi:type="dcterms:W3CDTF">2016-12-01T23:25:50</dcterms:modified>
</cp:coreProperties>
</file>