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Trung tâm Đổi mới Sáng tạo Công nghiệp 4.0 (IIC) tại Trường Đại học Quốc tế Miền Đông (EIU)</w:t>
      </w:r>
    </w:p>
    <w:p>
      <w:pPr>
        <w:pStyle w:val="Heading1"/>
      </w:pPr>
      <w:r>
        <w:t>Giới thiệu &amp; Hợp tác</w:t>
      </w:r>
    </w:p>
    <w:p>
      <w:r>
        <w:t>IIC là kết quả hợp tác giữa Becamex IDC, VSIP và EIU, được thành lập nhằm hỗ trợ doanh nghiệp chuyển đổi số, áp dụng công nghệ 4.0 và đào tạo nguồn nhân lực chất lượng cao tại Bình Dương.</w:t>
      </w:r>
    </w:p>
    <w:p>
      <w:pPr>
        <w:pStyle w:val="Heading1"/>
      </w:pPr>
      <w:r>
        <w:t>Mục tiêu &amp; Chức năng</w:t>
      </w:r>
    </w:p>
    <w:p>
      <w:r>
        <w:t>1. Chuyển đổi số cho doanh nghiệp (CĐS): Sử dụng tiêu chuẩn SIRI để đánh giá và nâng cấp mức độ thông minh của doanh nghiệp.</w:t>
        <w:br/>
        <w:t>2. Ứng dụng thực tế công nghệ 4.0: Triển khai IoT, AI, Hệ thống quản lý kho thông minh (RFID, predictive maintenance), robot tự động hóa, AR/VR và hệ thống HMI để giám sát và tối ưu hóa quy trình.</w:t>
        <w:br/>
        <w:t>3. Đào tạo chuyên sâu: Các khoá học về: tự động hóa, cảm biến, khí nén, thủy lực, điều khiển robot và bảo trì toàn diện.</w:t>
      </w:r>
    </w:p>
    <w:p>
      <w:pPr>
        <w:pStyle w:val="Heading1"/>
      </w:pPr>
      <w:r>
        <w:t>Đào tạo &amp; R&amp;D</w:t>
      </w:r>
    </w:p>
    <w:p>
      <w:r>
        <w:t>Nguồn nhân lực quốc tế: IIC tiếp đón sinh viên quốc tế thực tập và tham gia dự án số hóa, như từ Singapore Management University (SMU) và Nanyang Polytechnic.</w:t>
        <w:br/>
        <w:t>R&amp;D tại doanh nghiệp: Số hóa máy CNC, thử nghiệm Digital Twin — nhằm nâng cao hiệu suất và chất lượng sản xuất.</w:t>
      </w:r>
    </w:p>
    <w:p>
      <w:pPr>
        <w:pStyle w:val="Heading1"/>
      </w:pPr>
      <w:r>
        <w:t>Môi trường &amp; Chiến lược</w:t>
      </w:r>
    </w:p>
    <w:p>
      <w:r>
        <w:t>Thiết kế môi trường làm việc liên ngành và đa văn hóa, kết nối sinh viên EIU và thực tập sinh quốc tế, tạo nền tảng kỹ năng toàn cầu.</w:t>
        <w:br/>
        <w:t>Là một trong những hạt nhân đổi mới sáng tạo tại Bình Dương, hỗ trợ chiến lược chuyển đổi từ công xưởng sản xuất đến vùng đô thị thông minh.</w:t>
      </w:r>
    </w:p>
    <w:p>
      <w:pPr>
        <w:pStyle w:val="Heading1"/>
      </w:pPr>
      <w:r>
        <w:t>Định hướng tương lai</w:t>
      </w:r>
    </w:p>
    <w:p>
      <w:r>
        <w:t>IIC sẽ tiếp tục triển khai chuẩn SIRI và chuyển giao các giải pháp công nghiệp 4.0 để hỗ trợ doanh nghiệp số hóa bền vững.</w:t>
        <w:br/>
        <w:t>Mở rộng hợp tác quốc tế để nâng cao chất lượng đào tạo và thực nghiệm công nghệ.</w:t>
      </w:r>
    </w:p>
    <w:p>
      <w:pPr>
        <w:pStyle w:val="Heading1"/>
      </w:pPr>
      <w:r>
        <w:t>Tóm tắt ngắn gọn</w:t>
      </w:r>
    </w:p>
    <w:tbl>
      <w:tblPr>
        <w:tblStyle w:val="LightGrid-Accent1"/>
        <w:tblW w:type="auto" w:w="0"/>
        <w:tblLook w:firstColumn="1" w:firstRow="1" w:lastColumn="0" w:lastRow="0" w:noHBand="0" w:noVBand="1" w:val="04A0"/>
      </w:tblPr>
      <w:tblGrid>
        <w:gridCol w:w="4320"/>
        <w:gridCol w:w="4320"/>
      </w:tblGrid>
      <w:tr>
        <w:tc>
          <w:tcPr>
            <w:tcW w:type="dxa" w:w="4320"/>
          </w:tcPr>
          <w:p>
            <w:r>
              <w:t>Lĩnh vực</w:t>
            </w:r>
          </w:p>
        </w:tc>
        <w:tc>
          <w:tcPr>
            <w:tcW w:type="dxa" w:w="4320"/>
          </w:tcPr>
          <w:p>
            <w:r>
              <w:t>Hoạt động nổi bật</w:t>
            </w:r>
          </w:p>
        </w:tc>
      </w:tr>
      <w:tr>
        <w:tc>
          <w:tcPr>
            <w:tcW w:type="dxa" w:w="4320"/>
          </w:tcPr>
          <w:p>
            <w:r>
              <w:t>Doanh nghiệp</w:t>
            </w:r>
          </w:p>
        </w:tc>
        <w:tc>
          <w:tcPr>
            <w:tcW w:type="dxa" w:w="4320"/>
          </w:tcPr>
          <w:p>
            <w:r>
              <w:t>Chuyển đổi số, số hóa CNC, kho thông minh, robot, predictive maintenance</w:t>
            </w:r>
          </w:p>
        </w:tc>
      </w:tr>
      <w:tr>
        <w:tc>
          <w:tcPr>
            <w:tcW w:type="dxa" w:w="4320"/>
          </w:tcPr>
          <w:p>
            <w:r>
              <w:t>Giáo dục &amp; nhân lực</w:t>
            </w:r>
          </w:p>
        </w:tc>
        <w:tc>
          <w:tcPr>
            <w:tcW w:type="dxa" w:w="4320"/>
          </w:tcPr>
          <w:p>
            <w:r>
              <w:t>Đào tạo chuyên sâu; thực tập quốc tế; phát triển kiến thức AI/IoT</w:t>
            </w:r>
          </w:p>
        </w:tc>
      </w:tr>
      <w:tr>
        <w:tc>
          <w:tcPr>
            <w:tcW w:type="dxa" w:w="4320"/>
          </w:tcPr>
          <w:p>
            <w:r>
              <w:t>R&amp;D &amp; ứng dụng</w:t>
            </w:r>
          </w:p>
        </w:tc>
        <w:tc>
          <w:tcPr>
            <w:tcW w:type="dxa" w:w="4320"/>
          </w:tcPr>
          <w:p>
            <w:r>
              <w:t>Digital Twin; tích hợp IoT–AI vào quản lý tòa nhà, môi trường</w:t>
            </w:r>
          </w:p>
        </w:tc>
      </w:tr>
      <w:tr>
        <w:tc>
          <w:tcPr>
            <w:tcW w:type="dxa" w:w="4320"/>
          </w:tcPr>
          <w:p>
            <w:r>
              <w:t>Tầm nhìn</w:t>
            </w:r>
          </w:p>
        </w:tc>
        <w:tc>
          <w:tcPr>
            <w:tcW w:type="dxa" w:w="4320"/>
          </w:tcPr>
          <w:p>
            <w:r>
              <w:t>Hạt nhân đổi mới sáng tạo; trung tâm số hóa DN; kết nối sinh viên toàn cầu</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