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Centralized Print JSON and Dashboard Enhancements – Elastic Implementation Summary</w:t>
      </w:r>
    </w:p>
    <w:p>
      <w:pPr>
        <w:pStyle w:val="Heading1"/>
      </w:pPr>
      <w:r>
        <w:t>1. JSON File Naming Convention Change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Previous File Naming</w:t>
            </w:r>
          </w:p>
        </w:tc>
        <w:tc>
          <w:tcPr>
            <w:tcW w:type="dxa" w:w="4320"/>
          </w:tcPr>
          <w:p>
            <w:r>
              <w:t>bsc_brcc_php_interactive_cp_letter_print_MMDDCCYYHHMMSSsss_001.&lt;env&gt;.json</w:t>
            </w:r>
          </w:p>
        </w:tc>
      </w:tr>
      <w:tr>
        <w:tc>
          <w:tcPr>
            <w:tcW w:type="dxa" w:w="4320"/>
          </w:tcPr>
          <w:p>
            <w:r>
              <w:t>Updated File Naming</w:t>
            </w:r>
          </w:p>
        </w:tc>
        <w:tc>
          <w:tcPr>
            <w:tcW w:type="dxa" w:w="4320"/>
          </w:tcPr>
          <w:p>
            <w:r>
              <w:t>bsc_&lt;tbd&gt;_php_interactive_cp_letter_print_MMDDCCYYHHMMSSsss_001.&lt;env&gt;.json</w:t>
            </w:r>
          </w:p>
        </w:tc>
      </w:tr>
      <w:tr>
        <w:tc>
          <w:tcPr>
            <w:tcW w:type="dxa" w:w="4320"/>
          </w:tcPr>
          <w:p>
            <w:r>
              <w:t>Change Summary</w:t>
            </w:r>
          </w:p>
        </w:tc>
        <w:tc>
          <w:tcPr>
            <w:tcW w:type="dxa" w:w="4320"/>
          </w:tcPr>
          <w:p>
            <w:r>
              <w:t>The hardcoded vendor designation (brcc) in the filename is replaced with a dynamic vendor value.</w:t>
            </w:r>
          </w:p>
        </w:tc>
      </w:tr>
      <w:tr>
        <w:tc>
          <w:tcPr>
            <w:tcW w:type="dxa" w:w="4320"/>
          </w:tcPr>
          <w:p>
            <w:r>
              <w:t>Routing Impact</w:t>
            </w:r>
          </w:p>
        </w:tc>
        <w:tc>
          <w:tcPr>
            <w:tcW w:type="dxa" w:w="4320"/>
          </w:tcPr>
          <w:p>
            <w:r>
              <w:t>No routing changes are required. Logstash continues to ingest JSON files without modification.</w:t>
            </w:r>
          </w:p>
        </w:tc>
      </w:tr>
      <w:tr>
        <w:tc>
          <w:tcPr>
            <w:tcW w:type="dxa" w:w="4320"/>
          </w:tcPr>
          <w:p>
            <w:r>
              <w:t>Vendor Identification</w:t>
            </w:r>
          </w:p>
        </w:tc>
        <w:tc>
          <w:tcPr>
            <w:tcW w:type="dxa" w:w="4320"/>
          </w:tcPr>
          <w:p>
            <w:r>
              <w:t>Vendor name will be extracted from the filename using Logstash processing (e.g., grok pattern match).</w:t>
            </w:r>
          </w:p>
        </w:tc>
      </w:tr>
    </w:tbl>
    <w:p>
      <w:pPr>
        <w:pStyle w:val="Heading1"/>
      </w:pPr>
      <w:r>
        <w:t>2. Dashboard Requirements</w:t>
      </w:r>
    </w:p>
    <w:p>
      <w:pPr>
        <w:pStyle w:val="Heading2"/>
      </w:pPr>
      <w:r>
        <w:t>New Dashboards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Requirement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Dashboard Creation</w:t>
            </w:r>
          </w:p>
        </w:tc>
        <w:tc>
          <w:tcPr>
            <w:tcW w:type="dxa" w:w="4320"/>
          </w:tcPr>
          <w:p>
            <w:r>
              <w:t>Dashboards will be created as described in the attached documentation once data is available.</w:t>
            </w:r>
          </w:p>
        </w:tc>
      </w:tr>
      <w:tr>
        <w:tc>
          <w:tcPr>
            <w:tcW w:type="dxa" w:w="4320"/>
          </w:tcPr>
          <w:p>
            <w:r>
              <w:t>Content Guidelines</w:t>
            </w:r>
          </w:p>
        </w:tc>
        <w:tc>
          <w:tcPr>
            <w:tcW w:type="dxa" w:w="4320"/>
          </w:tcPr>
          <w:p>
            <w:r>
              <w:t>Must follow rules around section ordering, product-type fields, and event capture formatting.</w:t>
            </w:r>
          </w:p>
        </w:tc>
      </w:tr>
      <w:tr>
        <w:tc>
          <w:tcPr>
            <w:tcW w:type="dxa" w:w="4320"/>
          </w:tcPr>
          <w:p>
            <w:r>
              <w:t>Cleanup Tasks</w:t>
            </w:r>
          </w:p>
        </w:tc>
        <w:tc>
          <w:tcPr>
            <w:tcW w:type="dxa" w:w="4320"/>
          </w:tcPr>
          <w:p>
            <w:r>
              <w:t>Remove placeholder text: "New Dashboard Development Requirements".</w:t>
            </w:r>
          </w:p>
        </w:tc>
      </w:tr>
    </w:tbl>
    <w:p>
      <w:pPr>
        <w:pStyle w:val="Heading2"/>
      </w:pPr>
      <w:r>
        <w:t>Existing Dashboards (Kibana)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Dashboard Area</w:t>
            </w:r>
          </w:p>
        </w:tc>
        <w:tc>
          <w:tcPr>
            <w:tcW w:type="dxa" w:w="4320"/>
          </w:tcPr>
          <w:p>
            <w:r>
              <w:t>Change Summary</w:t>
            </w:r>
          </w:p>
        </w:tc>
      </w:tr>
      <w:tr>
        <w:tc>
          <w:tcPr>
            <w:tcW w:type="dxa" w:w="4320"/>
          </w:tcPr>
          <w:p>
            <w:r>
              <w:t>Broadridge Field Update</w:t>
            </w:r>
          </w:p>
        </w:tc>
        <w:tc>
          <w:tcPr>
            <w:tcW w:type="dxa" w:w="4320"/>
          </w:tcPr>
          <w:p>
            <w:r>
              <w:t>The existing "Broadridge" field in dashboards will be renamed to "Broadridge Mailed".</w:t>
            </w:r>
          </w:p>
        </w:tc>
      </w:tr>
      <w:tr>
        <w:tc>
          <w:tcPr>
            <w:tcW w:type="dxa" w:w="4320"/>
          </w:tcPr>
          <w:p>
            <w:r>
              <w:t>New Vendor Field</w:t>
            </w:r>
          </w:p>
        </w:tc>
        <w:tc>
          <w:tcPr>
            <w:tcW w:type="dxa" w:w="4320"/>
          </w:tcPr>
          <w:p>
            <w:r>
              <w:t>A new field "&lt;Vendor Name&gt; Mailed" will be added to support counts per new vendor.</w:t>
            </w:r>
          </w:p>
        </w:tc>
      </w:tr>
      <w:tr>
        <w:tc>
          <w:tcPr>
            <w:tcW w:type="dxa" w:w="4320"/>
          </w:tcPr>
          <w:p>
            <w:r>
              <w:t>Vendor Dashboards</w:t>
            </w:r>
          </w:p>
        </w:tc>
        <w:tc>
          <w:tcPr>
            <w:tcW w:type="dxa" w:w="4320"/>
          </w:tcPr>
          <w:p>
            <w:r>
              <w:t>Update filters and aggregations to incorporate the new vendor field.</w:t>
            </w:r>
          </w:p>
        </w:tc>
      </w:tr>
      <w:tr>
        <w:tc>
          <w:tcPr>
            <w:tcW w:type="dxa" w:w="4320"/>
          </w:tcPr>
          <w:p>
            <w:r>
              <w:t>Cleanup Tasks</w:t>
            </w:r>
          </w:p>
        </w:tc>
        <w:tc>
          <w:tcPr>
            <w:tcW w:type="dxa" w:w="4320"/>
          </w:tcPr>
          <w:p>
            <w:r>
              <w:t>Remove placeholder text: "Existing Dashboard Changes".</w:t>
            </w:r>
          </w:p>
        </w:tc>
      </w:tr>
    </w:tbl>
    <w:p>
      <w:pPr>
        <w:pStyle w:val="Heading1"/>
      </w:pPr>
      <w:r>
        <w:t>3. Acceptance Criteria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Criteria</w:t>
            </w:r>
          </w:p>
        </w:tc>
        <w:tc>
          <w:tcPr>
            <w:tcW w:type="dxa" w:w="4320"/>
          </w:tcPr>
          <w:p>
            <w:r>
              <w:t>Expected Outcome</w:t>
            </w:r>
          </w:p>
        </w:tc>
      </w:tr>
      <w:tr>
        <w:tc>
          <w:tcPr>
            <w:tcW w:type="dxa" w:w="4320"/>
          </w:tcPr>
          <w:p>
            <w:r>
              <w:t>Vendor has created compliant #3 JSON</w:t>
            </w:r>
          </w:p>
        </w:tc>
        <w:tc>
          <w:tcPr>
            <w:tcW w:type="dxa" w:w="4320"/>
          </w:tcPr>
          <w:p>
            <w:r>
              <w:t>JSON files follow the new naming convention and field structure.</w:t>
            </w:r>
          </w:p>
        </w:tc>
      </w:tr>
      <w:tr>
        <w:tc>
          <w:tcPr>
            <w:tcW w:type="dxa" w:w="4320"/>
          </w:tcPr>
          <w:p>
            <w:r>
              <w:t>JSON files are successfully ingested</w:t>
            </w:r>
          </w:p>
        </w:tc>
        <w:tc>
          <w:tcPr>
            <w:tcW w:type="dxa" w:w="4320"/>
          </w:tcPr>
          <w:p>
            <w:r>
              <w:t>Vendor name is extracted correctly from filename during ingestion.</w:t>
            </w:r>
          </w:p>
        </w:tc>
      </w:tr>
      <w:tr>
        <w:tc>
          <w:tcPr>
            <w:tcW w:type="dxa" w:w="4320"/>
          </w:tcPr>
          <w:p>
            <w:r>
              <w:t>Metadata fields appear in dashboards</w:t>
            </w:r>
          </w:p>
        </w:tc>
        <w:tc>
          <w:tcPr>
            <w:tcW w:type="dxa" w:w="4320"/>
          </w:tcPr>
          <w:p>
            <w:r>
              <w:t>"Broadridge Mailed" and "&lt;Vendor Name&gt; Mailed" data is visualized appropriately.</w:t>
            </w:r>
          </w:p>
        </w:tc>
      </w:tr>
      <w:tr>
        <w:tc>
          <w:tcPr>
            <w:tcW w:type="dxa" w:w="4320"/>
          </w:tcPr>
          <w:p>
            <w:r>
              <w:t>Routing remains unchanged</w:t>
            </w:r>
          </w:p>
        </w:tc>
        <w:tc>
          <w:tcPr>
            <w:tcW w:type="dxa" w:w="4320"/>
          </w:tcPr>
          <w:p>
            <w:r>
              <w:t>No changes required to Logstash routing or ingestion pipelines.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