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СРАВНИТЕЛЬНЫЙ АНАЛИЗ МЕТОДОЛОГИЙ ВНЕДРЕНИЯ ИС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2"/>
          <w14:ligatures w14:val="none"/>
        </w:rPr>
      </w:pPr>
      <w:r>
        <w:rPr>
          <w:sz w:val="22"/>
          <w:szCs w:val="20"/>
          <w14:ligatures w14:val="none"/>
        </w:rPr>
      </w:r>
      <w:r>
        <w:rPr>
          <w:sz w:val="22"/>
          <w:szCs w:val="20"/>
          <w14:ligatures w14:val="none"/>
        </w:rPr>
      </w:r>
    </w:p>
    <w:p>
      <w:pPr>
        <w:pBdr/>
        <w:tabs>
          <w:tab w:val="left" w:leader="none" w:pos="5978"/>
        </w:tabs>
        <w:spacing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1. Классификация рисков внедрения ИС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Все риски можно разделить на несколько категорий в зависимости от источника возникновения.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1.1. Организационные и управленческие риски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Эти риски связаны с готовностью компании к изменениям и качеством управления проектом.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308"/>
        <w:gridCol w:w="3152"/>
        <w:gridCol w:w="310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Отсутствие поддержки руководства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Топ-менеджмент не участвует в проекте, не выделяет ресурсы, не продвигает изменения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Потеря приоритета проекта, увольнение ключевых сотрудников, игнорирование решений проектной командой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Сопротивление персонала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Сотрудники саботируют внедрение, не используют новую систему, вводят некорректные данные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Снижение эффективности, искажение данных, возврат к старым процессам после завершения проекта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Нечёткое распределение ответственности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Отсутствие назначенных владельцев процессов (Process Owners) и ответственных за принятие решений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Затягивание согласований, принятие неоптимальных решений, конфликты между подразделениями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Недостаточная вовлечённость бизнес-пользователей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Ключевые эксперты не освобождены от основной работы и не могут уделять время проекту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Низкое качество требований, ошибки в настройках, слабое 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Отсутствие formalized change management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Процесс управления изменениями не выстроен или игнорируется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10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Хаотичные изменения требований, потеря целостности решения, раздувание бюджета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1.2. Технические и технологические риски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Связаны с выбранными технологиями, архитектурой и качеством реализации.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366"/>
        <w:gridCol w:w="3168"/>
        <w:gridCol w:w="30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Неверный выбор платформы/вендора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Выбрана система, не соответствующая масштабам бизнеса или технологическому стеку компании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Ограничения масштабируемости, сложность интеграции, высокие затраты на владение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366"/>
        <w:gridCol w:w="3168"/>
        <w:gridCol w:w="30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Проблемы с интеграцией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Сложности при сопряжении новой ИС с legacy-системами (бухгалтерия, склад, CRM)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Неполная автоматизация, двойной ввод данных, потеря синхронизации, сбои в работе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Низкое качество данных при миграции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Ошибки при переносе данных из старых систем (дубликаты, неполные или некорректные данные)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Сбои при запуске, недоверие пользователей к новой системе, необходимость ручной доочистки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Недостаточное 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Пропуск этапов нагрузочного, интеграционного или UAT (User Acceptance Testing)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Критические ошибки в productive-среде, отказы системы в часы пик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Отсутствие плана отказоустойчивости (DRP)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 проработаны сценарии восстановления после сбоев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03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Длительные простои, потеря данных, остановка бизнес-процессов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1.3. Финансовые и ресурсные риски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495"/>
        <w:gridCol w:w="3204"/>
        <w:gridCol w:w="286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Превышение бюджета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Неучтённые затраты (дополнительные лицензии, кастомизация, консультанты, инфраструктура)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Заморозка проекта, сокращение функционала, конфликты с инвесторами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Недооценка трудозатрат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Ошибки в планировании сроков и человеко-часов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Срыв сроков, переработки команды, выгорание сотрудников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Отток ключевых сотрудников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Уход архитектора, руководителя проекта или ключевого эксперта от вендора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Потеря экспертизы, остановка работ, необходимость передачи знаний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Недостаток квалифицированных ресурсов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Отсутствие на рынке специалистов с нужными компетенциями (редкие ERP, специфические технологии)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Задержки, найм неоптимальных кадров, снижение качества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1.4. Правовые и комплаенс-риски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374"/>
        <w:gridCol w:w="3282"/>
        <w:gridCol w:w="29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Несоответствие регуляторным требованиям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Система не поддерживает требования законодательства (152-ФЗ, 54-ФЗ, МСФО, отраслевые стандарты)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Штрафы, невозможность легальной работы, доработки «задним числом»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374"/>
        <w:gridCol w:w="3282"/>
        <w:gridCol w:w="29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Нарушение требований к защите данных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Недостаточные меры по информационной безопасности (шифрование, разграничение доступа, логирование)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Утечки данных, репутационные потери, санкции регуляторов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3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Споры по интеллектуальной собственности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Использование нелицензионного ПО, компонентов с открытым исходным кодом без проверки лицензий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Юридические иски, запрет на использование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1.5. Риски, связанные с вендором и подрядчиками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159"/>
        <w:gridCol w:w="3473"/>
        <w:gridCol w:w="293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Финансовая нестабильность вендора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Банкротство или уход вендора с рынка (особенно актуально для зарубежных решений после 2022 года)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Отсутствие поддержки, невозможность обновлений, потеря инвестиций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Низкое качество услуг подрядчика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Непрофессиональная команда, несоблюдение сроков, невыполнение обязательств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Переделка работ, затягивание проекта, судебные разбирательства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Зависимость от узких специалистов вендора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Критические знания сосредоточены у одного консультанта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Риск при увольнении такого специалиста, невозможность поддержки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Процесс управления рисками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Управление рисками строится по итеративному циклу, который сопровождает весь проект.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2.1. Идентификация рисков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этом этапе формируется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реестр рисков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 Используются методы: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Экспертные интервью с ключевыми стейкхолдерами.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Анализ предыдущих проектов (lessons learned).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чек-листов и отраслевых баз знаний.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«мозгового штурма» с проектной командой.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2.2. Оценка рисков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Каждый риск оценивается по двум параметрам: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Вероятность (P):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от 1 (очень мала) до 5 (почти неизбежно).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Влияние (I):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от 1 (незначительное) до 5 (катастрофическое).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Уровень риска = P × 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Матрица приоритетов: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620"/>
        <w:gridCol w:w="1500"/>
        <w:gridCol w:w="1500"/>
        <w:gridCol w:w="149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Вероятность \ Влияние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1 (Низкое)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2-3 (Среднее)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4-5 (Высокое)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1 (Низкая)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2-3 (Средняя)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4-5 (Высокая)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9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Критический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2.3. Планирование реагирования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Для каждого критического и высокого риска разрабатывается стратегия: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076"/>
        <w:gridCol w:w="3821"/>
        <w:gridCol w:w="36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Стратегия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Пример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Избегание (Avoid)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Устранение источника риска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6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Отказ от кастомизации в пользу использования стандартного функционала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Снижение (Mitigate)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Уменьшение вероятности или последствий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6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Раннее тестирование, обучение пользователей, увеличение бюджета на качественные ресурсы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Передача (Transfer)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Передача риска третьей стороне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6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Страхование, заключение SLA с вендором с высокими штрафами, аутсорсинг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Принятие (Accept)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2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Осознанное принятие риска с планом действий при его реализации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6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Формирование резервного фонда, разработка плана восстановления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2.4. Мониторинг и контроль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Регулярный пересмотр реестра рисков на проектных комитетах (еженедельно или раз в две недели).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Назначение </w:t>
      </w:r>
      <w:r>
        <w:t xml:space="preserve">риск-овнеров</w:t>
      </w:r>
      <w:r>
        <w:t xml:space="preserve"> (ответственных за мониторинг конкретных рисков).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Ведение журнала рисков с отслеживанием статуса и эффективности принятых мер.</w:t>
      </w:r>
      <w:r/>
    </w:p>
    <w:p>
      <w:pPr>
        <w:pStyle w:val="917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Типовые риски по этапам внедрения ИС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4346"/>
        <w:gridCol w:w="57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Этап проекта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Характерные риски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Предпроектное обследование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Неверно собранные требования, невыявленные ограничения legacy-систем, недооценка масштаба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</w:tbl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4346"/>
        <w:gridCol w:w="57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Проектирование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Архитектурные ошибки, выбор неверного подхода к интеграции, несогласованность между модулями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Разработка/Настройка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Отставание от графика, «разрастание» требований (scope creep), низкое качество кода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Недостаточное покрытие сценариев, отсутствие среды, приближенной к productive, слабое участие бизнеса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Миграция данных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Потеря данных, длительное окно перехода, некорректная трансформация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Внедрение и запуск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Параллельная работа старых и новых систем, отсутствие оперативной поддержки, сбои в первый день работы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4"/>
              </w:rPr>
              <w:t xml:space="preserve">Пост-внедрение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4"/>
              </w:rPr>
              <w:t xml:space="preserve">Отток обученных пользователей, отсутствие процессов поддержки, накопление технического долга</w:t>
            </w:r>
            <w:r>
              <w:rPr>
                <w:rFonts w:ascii="Times New Roman" w:hAnsi="Times New Roman" w:eastAsia="Times New Roman" w:cs="Times New Roman"/>
                <w:sz w:val="28"/>
                <w:szCs w:val="24"/>
              </w:rPr>
            </w:r>
          </w:p>
        </w:tc>
      </w:tr>
    </w:tbl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 Методы и инструменты анализа рисков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5143"/>
        <w:gridCol w:w="490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Инструмент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SWOT-анализ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Выявление сильных и слабых сторон проекта, возможностей и угроз на высоком уровне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FMEA (Failure Mode and Effects Analysis)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Глубокий анализ потенциальных отказов системы и их влияния на бизнес-процессы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Дерево решений (Decision Tree)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Оценка альтернативных сценариев с учётом вероятностей и выгод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Метод Дельфи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Экспертная оценка рисков с анонимным сбором мнений для снижения влияния авторитетов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Имитационное моделирование (Монте-Карло)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Оценка вероятностного распределения сроков и бюджета на основе вариативности исходных данных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Анализ чувствительности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90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Определение факторов, оказывающих наибольшее влияние на успех проекта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5. Практические рекомендации по снижению рисков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Начните с управления изменениями (Change Management) на этапе Pre-sale.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Чем раньше топ-менеджмент и ключевые пользователи будут вовлечены, тем ниже сопротивление.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Создайте независимый проектный офис (PMO).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Это позволит объективно отслеживать риски, не завися от исполнителя или бизнес-подразделения.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Используйте пошаговый (пилотный) подход вместо «большого взрыва».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Поэтапный запуск по подразделениям или бизнес-функциям снижает масштаб последствий сбоев.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Закладывайте резервы.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15–20% от общего бюджета и 20–30% времени — стандартная практика для непредвиденных рисков.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Документируйте всё.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Особенно — согласованные требования, изменения scope, архитектурные решения и результаты приёмочных испытаний.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Проводите аудиты качества на ключевых вехах.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Внешний аудит архитектуры или кода на стадии проектирования обходится дешевле, чем исправление критических ошибок после запуска.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Формализуйте отношения с вендором.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Чёткий SLA, эскалационные процедуры, условия передачи исходного кода на escrow — обязательные элементы договора.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2026-03-25T03:30:27Z</dcterms:modified>
</cp:coreProperties>
</file>