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Лекция 9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rPr>
          <w:bCs w:val="0"/>
          <w:i w:val="0"/>
          <w:szCs w:val="28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8"/>
          <w:szCs w:val="28"/>
        </w:rPr>
        <w:t xml:space="preserve">1. Формализация целей внедрения ИС</w:t>
      </w:r>
      <w:r>
        <w:rPr>
          <w:i w:val="0"/>
          <w:iCs w:val="0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rPr>
          <w:rFonts w:ascii="Times New Roman" w:hAnsi="Times New Roman" w:eastAsia="Times New Roman" w:cs="Times New Roman"/>
          <w:bCs w:val="0"/>
          <w:i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8"/>
          <w:szCs w:val="28"/>
        </w:rPr>
        <w:t xml:space="preserve">Формализация — это перевод потребностей бизнеса на язык измеримых показателей. Цели должны соответствовать принципу </w:t>
      </w: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8"/>
          <w:szCs w:val="28"/>
        </w:rPr>
        <w:t xml:space="preserve">SMART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8"/>
          <w:szCs w:val="28"/>
        </w:rPr>
        <w:t xml:space="preserve"> (конкретные, измеримые, достижимые, релевантные, ограниченные во времени).</w:t>
      </w:r>
      <w:r>
        <w:rPr>
          <w:i w:val="0"/>
          <w:iCs w:val="0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rPr>
          <w:rFonts w:ascii="Times New Roman" w:hAnsi="Times New Roman" w:eastAsia="Times New Roman" w:cs="Times New Roman"/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8"/>
          <w:szCs w:val="28"/>
          <w:highlight w:val="none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rPr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8"/>
          <w:szCs w:val="28"/>
        </w:rPr>
        <w:t xml:space="preserve">Этап 1.1. Определение типов целей</w:t>
      </w:r>
      <w:r>
        <w:rPr>
          <w:i w:val="0"/>
          <w:iCs w:val="0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rPr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8"/>
          <w:szCs w:val="28"/>
        </w:rPr>
        <w:t xml:space="preserve">Цели делятся на три категории:</w:t>
      </w:r>
      <w:r>
        <w:rPr>
          <w:i w:val="0"/>
          <w:iCs w:val="0"/>
          <w:sz w:val="28"/>
          <w:szCs w:val="28"/>
        </w:rPr>
      </w:r>
    </w:p>
    <w:tbl>
      <w:tblPr>
        <w:tblW w:w="0" w:type="auto"/>
        <w:tblBorders/>
        <w:tblLayout w:type="autofit"/>
        <w:tblLook w:val="04A0" w:firstRow="1" w:lastRow="0" w:firstColumn="1" w:lastColumn="0" w:noHBand="0" w:noVBand="1"/>
        <w:tblStyle w:val="11"/>
      </w:tblPr>
      <w:tblGrid>
        <w:gridCol w:w="1744"/>
        <w:gridCol w:w="5828"/>
        <w:gridCol w:w="9415"/>
      </w:tblGrid>
      <w:tr>
        <w:trPr/>
        <w:tc>
          <w:tcPr>
            <w:tcBorders/>
            <w:tcW w:w="174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Категория</w:t>
            </w:r>
            <w:r/>
          </w:p>
        </w:tc>
        <w:tc>
          <w:tcPr>
            <w:tcBorders/>
            <w:tcW w:w="582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Описание</w:t>
            </w:r>
            <w:r/>
          </w:p>
        </w:tc>
        <w:tc>
          <w:tcPr>
            <w:tcBorders/>
            <w:tcW w:w="941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Пример формулировки</w:t>
            </w:r>
            <w:r/>
          </w:p>
        </w:tc>
      </w:tr>
      <w:tr>
        <w:trPr/>
        <w:tc>
          <w:tcPr>
            <w:tcBorders/>
            <w:tcW w:w="174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Стратегические</w:t>
            </w:r>
            <w:r/>
          </w:p>
        </w:tc>
        <w:tc>
          <w:tcPr>
            <w:tcBorders/>
            <w:tcW w:w="582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Связаны с развитием бизнеса, конкурентоспособностью.</w:t>
            </w:r>
            <w:r/>
          </w:p>
        </w:tc>
        <w:tc>
          <w:tcPr>
            <w:tcBorders/>
            <w:tcW w:w="941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Выход на новый рынок (через поддержку стандартов учета); рост капитализации компании.</w:t>
            </w:r>
            <w:r/>
          </w:p>
        </w:tc>
      </w:tr>
      <w:tr>
        <w:trPr/>
        <w:tc>
          <w:tcPr>
            <w:tcBorders/>
            <w:tcW w:w="174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Тактические</w:t>
            </w:r>
            <w:r/>
          </w:p>
        </w:tc>
        <w:tc>
          <w:tcPr>
            <w:tcBorders/>
            <w:tcW w:w="582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Улучшение управляемости и эффективности процессов.</w:t>
            </w:r>
            <w:r/>
          </w:p>
        </w:tc>
        <w:tc>
          <w:tcPr>
            <w:tcBorders/>
            <w:tcW w:w="941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Сокращение операционного цикла; повышение прозрачности себестоимости продукции.</w:t>
            </w:r>
            <w:r/>
          </w:p>
        </w:tc>
      </w:tr>
      <w:tr>
        <w:trPr/>
        <w:tc>
          <w:tcPr>
            <w:tcBorders/>
            <w:tcW w:w="174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Операционные</w:t>
            </w:r>
            <w:r/>
          </w:p>
        </w:tc>
        <w:tc>
          <w:tcPr>
            <w:tcBorders/>
            <w:tcW w:w="582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Автоматизация рутинных операций, снижение ошибок.</w:t>
            </w:r>
            <w:r/>
          </w:p>
        </w:tc>
        <w:tc>
          <w:tcPr>
            <w:tcBorders/>
            <w:tcW w:w="941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Сокращение времени обработки заказа; исключение дублирования ввода данных.</w:t>
            </w:r>
            <w:r/>
          </w:p>
        </w:tc>
      </w:tr>
    </w:tbl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afterAutospacing="0" w:before="0" w:beforeAutospacing="0" w:line="360" w:lineRule="auto"/>
        <w:ind w:right="0" w:firstLine="709" w:left="0"/>
        <w:jc w:val="both"/>
        <w:rPr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8"/>
          <w:szCs w:val="28"/>
        </w:rPr>
        <w:t xml:space="preserve">Этап 1.2. Построение системы KPI для целей</w:t>
      </w:r>
      <w:r>
        <w:rPr>
          <w:i w:val="0"/>
          <w:iCs w:val="0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afterAutospacing="0" w:before="0" w:beforeAutospacing="0" w:line="360" w:lineRule="auto"/>
        <w:ind w:right="0" w:firstLine="709" w:left="0"/>
        <w:jc w:val="both"/>
        <w:rPr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8"/>
          <w:szCs w:val="28"/>
        </w:rPr>
        <w:t xml:space="preserve">Каждая цель должна получить метрику. Без метрики формализация невозможна.</w:t>
      </w:r>
      <w:r>
        <w:rPr>
          <w:i w:val="0"/>
          <w:iCs w:val="0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afterAutospacing="0" w:before="0" w:beforeAutospacing="0" w:line="360" w:lineRule="auto"/>
        <w:ind w:right="0" w:firstLine="709" w:left="0"/>
        <w:jc w:val="both"/>
        <w:rPr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8"/>
          <w:szCs w:val="28"/>
        </w:rPr>
        <w:t xml:space="preserve">Пример формализации цели "Повышение эффективности работы склада":</w:t>
      </w:r>
      <w:r>
        <w:rPr>
          <w:i w:val="0"/>
          <w:iCs w:val="0"/>
          <w:sz w:val="28"/>
          <w:szCs w:val="28"/>
        </w:rPr>
      </w:r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afterAutospacing="0" w:before="0" w:beforeAutospacing="0" w:line="360" w:lineRule="auto"/>
        <w:ind w:right="0" w:firstLine="709" w:left="0"/>
        <w:jc w:val="both"/>
        <w:rPr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8"/>
          <w:szCs w:val="28"/>
        </w:rPr>
        <w:t xml:space="preserve">Цель: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8"/>
          <w:szCs w:val="28"/>
        </w:rPr>
        <w:t xml:space="preserve"> Снизить операционные издержки складской логистики.</w:t>
      </w:r>
      <w:r>
        <w:rPr>
          <w:i w:val="0"/>
          <w:iCs w:val="0"/>
          <w:sz w:val="28"/>
          <w:szCs w:val="28"/>
        </w:rPr>
      </w:r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afterAutospacing="0" w:before="0" w:beforeAutospacing="0" w:line="360" w:lineRule="auto"/>
        <w:ind w:right="0" w:firstLine="709" w:left="0"/>
        <w:jc w:val="both"/>
        <w:rPr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8"/>
          <w:szCs w:val="28"/>
        </w:rPr>
        <w:t xml:space="preserve">Метрика (KPI):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8"/>
          <w:szCs w:val="28"/>
        </w:rPr>
        <w:t xml:space="preserve"> Затраты на хранение единицы товара (руб./паллето-место).</w:t>
      </w:r>
      <w:r>
        <w:rPr>
          <w:i w:val="0"/>
          <w:iCs w:val="0"/>
          <w:sz w:val="28"/>
          <w:szCs w:val="28"/>
        </w:rPr>
      </w:r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afterAutospacing="0" w:before="0" w:beforeAutospacing="0" w:line="360" w:lineRule="auto"/>
        <w:ind w:right="0" w:firstLine="709" w:left="0"/>
        <w:jc w:val="both"/>
        <w:rPr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8"/>
          <w:szCs w:val="28"/>
        </w:rPr>
        <w:t xml:space="preserve">Базовое значение (As-Is):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8"/>
          <w:szCs w:val="28"/>
        </w:rPr>
        <w:t xml:space="preserve"> 150 руб.</w:t>
      </w:r>
      <w:r>
        <w:rPr>
          <w:i w:val="0"/>
          <w:iCs w:val="0"/>
          <w:sz w:val="28"/>
          <w:szCs w:val="28"/>
        </w:rPr>
      </w:r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afterAutospacing="0" w:before="0" w:beforeAutospacing="0" w:line="360" w:lineRule="auto"/>
        <w:ind w:right="0" w:firstLine="709" w:left="0"/>
        <w:jc w:val="both"/>
        <w:rPr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8"/>
          <w:szCs w:val="28"/>
        </w:rPr>
        <w:t xml:space="preserve">Плановое значение (To-Be):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8"/>
          <w:szCs w:val="28"/>
        </w:rPr>
        <w:t xml:space="preserve"> 100 руб.</w:t>
      </w:r>
      <w:r>
        <w:rPr>
          <w:i w:val="0"/>
          <w:iCs w:val="0"/>
          <w:sz w:val="28"/>
          <w:szCs w:val="28"/>
        </w:rPr>
      </w:r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afterAutospacing="0" w:before="0" w:beforeAutospacing="0" w:line="360" w:lineRule="auto"/>
        <w:ind w:right="0" w:firstLine="709" w:left="0"/>
        <w:jc w:val="both"/>
        <w:rPr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8"/>
          <w:szCs w:val="28"/>
        </w:rPr>
        <w:t xml:space="preserve">Срок: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8"/>
          <w:szCs w:val="28"/>
        </w:rPr>
        <w:t xml:space="preserve"> 6 месяцев после ввода системы в промышленную эксплуатацию.</w:t>
      </w:r>
      <w:r>
        <w:rPr>
          <w:i w:val="0"/>
          <w:iCs w:val="0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afterAutospacing="0" w:before="0" w:beforeAutospacing="0" w:line="360" w:lineRule="auto"/>
        <w:ind w:right="0" w:firstLine="709" w:left="0"/>
        <w:jc w:val="both"/>
        <w:rPr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8"/>
          <w:szCs w:val="28"/>
        </w:rPr>
        <w:t xml:space="preserve">Другие примеры метрик:</w:t>
      </w:r>
      <w:r>
        <w:rPr>
          <w:i w:val="0"/>
          <w:iCs w:val="0"/>
          <w:sz w:val="28"/>
          <w:szCs w:val="28"/>
        </w:rPr>
      </w:r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afterAutospacing="0" w:before="0" w:beforeAutospacing="0" w:line="360" w:lineRule="auto"/>
        <w:ind w:right="0" w:firstLine="709" w:left="0"/>
        <w:jc w:val="both"/>
        <w:rPr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8"/>
          <w:szCs w:val="28"/>
        </w:rPr>
        <w:t xml:space="preserve">Финансы: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8"/>
          <w:szCs w:val="28"/>
        </w:rPr>
        <w:t xml:space="preserve"> ROI (возврат инвестиций), TCO (совокупная стоимость владения), сокращение дебиторской задолженности (%).</w:t>
      </w:r>
      <w:r>
        <w:rPr>
          <w:i w:val="0"/>
          <w:iCs w:val="0"/>
          <w:sz w:val="28"/>
          <w:szCs w:val="28"/>
        </w:rPr>
      </w:r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afterAutospacing="0" w:before="0" w:beforeAutospacing="0" w:line="360" w:lineRule="auto"/>
        <w:ind w:right="0" w:firstLine="709" w:left="0"/>
        <w:jc w:val="both"/>
        <w:rPr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8"/>
          <w:szCs w:val="28"/>
        </w:rPr>
        <w:t xml:space="preserve">Процессы: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8"/>
          <w:szCs w:val="28"/>
        </w:rPr>
        <w:t xml:space="preserve"> Скорость закрытия отчетного периода (дни), точность планирования (%, снижение кассовых разрывов).</w:t>
      </w:r>
      <w:r>
        <w:rPr>
          <w:i w:val="0"/>
          <w:iCs w:val="0"/>
          <w:sz w:val="28"/>
          <w:szCs w:val="28"/>
        </w:rPr>
      </w:r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afterAutospacing="0" w:before="0" w:beforeAutospacing="0" w:line="360" w:lineRule="auto"/>
        <w:ind w:right="0" w:firstLine="709" w:left="0"/>
        <w:jc w:val="both"/>
        <w:rPr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8"/>
          <w:szCs w:val="28"/>
        </w:rPr>
        <w:t xml:space="preserve">Клиенты: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8"/>
          <w:szCs w:val="28"/>
        </w:rPr>
        <w:t xml:space="preserve"> Время обработки запроса (мин), доля автоматизированных каналов взаимодействия (%).</w:t>
      </w:r>
      <w:r>
        <w:rPr>
          <w:i w:val="0"/>
          <w:iCs w:val="0"/>
          <w:sz w:val="28"/>
          <w:szCs w:val="28"/>
        </w:rPr>
      </w:r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afterAutospacing="0" w:before="0" w:beforeAutospacing="0" w:line="360" w:lineRule="auto"/>
        <w:ind w:right="0" w:firstLine="709" w:left="0"/>
        <w:jc w:val="both"/>
        <w:rPr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8"/>
          <w:szCs w:val="28"/>
        </w:rPr>
        <w:t xml:space="preserve">Персонал: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8"/>
          <w:szCs w:val="28"/>
        </w:rPr>
        <w:t xml:space="preserve"> Сокращение ручного ввода (чел./часов в месяц).</w:t>
      </w:r>
      <w:r>
        <w:rPr>
          <w:i w:val="0"/>
          <w:iCs w:val="0"/>
          <w:sz w:val="28"/>
          <w:szCs w:val="28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afterAutospacing="0" w:before="0" w:beforeAutospacing="0" w:line="360" w:lineRule="auto"/>
        <w:ind w:right="0" w:firstLine="709" w:left="0"/>
        <w:jc w:val="both"/>
        <w:rPr>
          <w:bCs w:val="0"/>
          <w:i w:val="0"/>
          <w:szCs w:val="28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8"/>
          <w:szCs w:val="28"/>
        </w:rPr>
        <w:t xml:space="preserve">2. Оценка затрат внедрения ИС</w:t>
      </w:r>
      <w:r>
        <w:rPr>
          <w:i w:val="0"/>
          <w:iCs w:val="0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afterAutospacing="0" w:before="0" w:beforeAutospacing="0" w:line="360" w:lineRule="auto"/>
        <w:ind w:right="0" w:firstLine="709" w:left="0"/>
        <w:jc w:val="both"/>
        <w:rPr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8"/>
          <w:szCs w:val="28"/>
        </w:rPr>
        <w:t xml:space="preserve">Затраты делятся на </w:t>
      </w: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8"/>
          <w:szCs w:val="28"/>
        </w:rPr>
        <w:t xml:space="preserve">прямые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8"/>
          <w:szCs w:val="28"/>
        </w:rPr>
        <w:t xml:space="preserve"> (капитальные) и </w:t>
      </w: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8"/>
          <w:szCs w:val="28"/>
        </w:rPr>
        <w:t xml:space="preserve">косвенные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8"/>
          <w:szCs w:val="28"/>
        </w:rPr>
        <w:t xml:space="preserve"> (операционные), а также на </w:t>
      </w: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8"/>
          <w:szCs w:val="28"/>
        </w:rPr>
        <w:t xml:space="preserve">единовременные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8"/>
          <w:szCs w:val="28"/>
        </w:rPr>
        <w:t xml:space="preserve"> и </w:t>
      </w: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8"/>
          <w:szCs w:val="28"/>
        </w:rPr>
        <w:t xml:space="preserve">периодические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8"/>
          <w:szCs w:val="28"/>
        </w:rPr>
        <w:t xml:space="preserve">.</w:t>
      </w:r>
      <w:r>
        <w:rPr>
          <w:i w:val="0"/>
          <w:iCs w:val="0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afterAutospacing="0" w:before="0" w:beforeAutospacing="0" w:line="360" w:lineRule="auto"/>
        <w:ind w:right="0" w:firstLine="709" w:left="0"/>
        <w:jc w:val="both"/>
        <w:rPr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8"/>
          <w:szCs w:val="28"/>
        </w:rPr>
        <w:t xml:space="preserve">Для оценки используется концепция </w:t>
      </w: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8"/>
          <w:szCs w:val="28"/>
        </w:rPr>
        <w:t xml:space="preserve">TCO (Total Cost of Ownership)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8"/>
          <w:szCs w:val="28"/>
        </w:rPr>
        <w:t xml:space="preserve"> — совокупная стоимость владения.</w:t>
      </w:r>
      <w:r>
        <w:rPr>
          <w:i w:val="0"/>
          <w:iCs w:val="0"/>
          <w:sz w:val="28"/>
          <w:szCs w:val="28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afterAutospacing="0" w:before="0" w:beforeAutospacing="0" w:line="360" w:lineRule="auto"/>
        <w:ind w:right="0" w:firstLine="709" w:left="0"/>
        <w:jc w:val="both"/>
        <w:rPr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8"/>
          <w:szCs w:val="28"/>
        </w:rPr>
        <w:t xml:space="preserve">2.1. Структура затрат</w:t>
      </w:r>
      <w:r>
        <w:rPr>
          <w:i w:val="0"/>
          <w:iCs w:val="0"/>
          <w:sz w:val="28"/>
          <w:szCs w:val="28"/>
        </w:rPr>
      </w:r>
    </w:p>
    <w:tbl>
      <w:tblPr>
        <w:tblW w:w="0" w:type="auto"/>
        <w:tblBorders/>
        <w:tblLayout w:type="autofit"/>
        <w:tblLook w:val="04A0" w:firstRow="1" w:lastRow="0" w:firstColumn="1" w:lastColumn="0" w:noHBand="0" w:noVBand="1"/>
        <w:tblStyle w:val="11"/>
      </w:tblPr>
      <w:tblGrid>
        <w:gridCol w:w="2871"/>
        <w:gridCol w:w="17767"/>
        <w:gridCol w:w="15186"/>
      </w:tblGrid>
      <w:tr>
        <w:trPr/>
        <w:tc>
          <w:tcPr>
            <w:tcBorders/>
            <w:tcW w:w="287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Категория затрат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1776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Составляющие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1518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Особенности оценки</w:t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Borders/>
            <w:tcW w:w="287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Программное обеспечение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1776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Лицензии (серверные, клиентские), подписки (SaaS), платформенные сборы (Oracle, MS SQL, 1С).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1518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Для коробочных решений — стоимость лицензий; для кастомных — стоимость человеко-часов разработки.</w:t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Borders/>
            <w:tcW w:w="287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Аппаратное обеспечение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1776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Серверы, СХД (системы хранения данных), сетевое оборудование, АРМ (автоматизированные рабочие места) пользователей.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1518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Расчет ведется по амортизации (обычно 3-5 лет) или аренде мощностей (облако).</w:t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Borders/>
            <w:tcW w:w="287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Внедрение и услуги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1776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Обследование, проектирование, разработка, настройка, миграция данных, обучение пользователей.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1518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Самая сложная для оценки часть. Зависит от сложности интеграций и объемов доработок. Обычно составляет 100–300% от стоимости лицензий.</w:t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Borders/>
            <w:tcW w:w="287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Сопровождение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1776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Техническая поддержка (вендора или внутренней службы), обновления версий, исправление ошибок.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1518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Часто рассчитывается как % от стоимости лицензий в год (обычно 15–22%).</w:t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Borders/>
            <w:tcW w:w="287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Косвенные затраты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1776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Простои основного бизнеса</w:t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 во время перехода, снижение производительности труда сотрудников в период адаптации, "человеческий фактор" (сопротивление изменениям).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1518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Оцениваются через упущенную выгоду или стоимость простоя. Зачастую превышают прямые затраты при неправильном управлении изменениями.</w:t>
            </w:r>
            <w:r>
              <w:rPr>
                <w:sz w:val="22"/>
                <w:szCs w:val="22"/>
              </w:rPr>
            </w:r>
          </w:p>
        </w:tc>
      </w:tr>
    </w:tbl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afterAutospacing="0" w:before="0" w:beforeAutospacing="0"/>
        <w:ind w:right="0" w:firstLine="709" w:left="0"/>
        <w:jc w:val="both"/>
        <w:rPr>
          <w:rFonts w:ascii="Times New Roman" w:hAnsi="Times New Roman" w:eastAsia="Times New Roman" w:cs="Times New Roman"/>
          <w:b/>
          <w:bCs w:val="0"/>
          <w:i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8"/>
          <w:szCs w:val="28"/>
        </w:rPr>
        <w:t xml:space="preserve">2.2. Модели оценки затрат</w:t>
      </w:r>
      <w:r>
        <w:rPr>
          <w:i w:val="0"/>
          <w:iCs w:val="0"/>
          <w:sz w:val="28"/>
          <w:szCs w:val="28"/>
        </w:rPr>
      </w:r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afterAutospacing="0" w:before="0" w:beforeAutospacing="0"/>
        <w:ind w:right="0" w:firstLine="709" w:left="0"/>
        <w:jc w:val="both"/>
        <w:rPr>
          <w:rFonts w:ascii="Times New Roman" w:hAnsi="Times New Roman" w:eastAsia="Times New Roman" w:cs="Times New Roman"/>
          <w:b/>
          <w:bCs w:val="0"/>
          <w:i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8"/>
          <w:szCs w:val="28"/>
        </w:rPr>
        <w:t xml:space="preserve">Принцип "Снизу вверх" (Bottom-Up):</w:t>
      </w: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</w:rPr>
      </w:r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afterAutospacing="0" w:before="0" w:beforeAutospacing="0"/>
        <w:ind w:right="0" w:firstLine="709" w:left="0"/>
        <w:jc w:val="both"/>
        <w:rPr>
          <w:rFonts w:ascii="Times New Roman" w:hAnsi="Times New Roman" w:eastAsia="Times New Roman" w:cs="Times New Roman"/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8"/>
          <w:szCs w:val="28"/>
        </w:rPr>
        <w:t xml:space="preserve">Используется на этапе формирования бюджета. Оценка ведется по каждому рабочему пакету (WBS):</w:t>
      </w:r>
      <w:r>
        <w:rPr>
          <w:i w:val="0"/>
          <w:iCs w:val="0"/>
          <w:sz w:val="28"/>
          <w:szCs w:val="28"/>
        </w:rPr>
      </w:r>
      <w:r>
        <w:rPr>
          <w:i w:val="0"/>
          <w:iCs w:val="0"/>
        </w:rPr>
      </w:r>
    </w:p>
    <w:p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afterAutospacing="0" w:before="0" w:beforeAutospacing="0"/>
        <w:ind w:right="0" w:firstLine="709" w:left="0"/>
        <w:jc w:val="both"/>
        <w:rPr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8"/>
          <w:szCs w:val="28"/>
        </w:rPr>
        <w:t xml:space="preserve">Затраты = (Время разработки * Ставка ресурса) + Стоимость оборудования + Стоимость лицензий.</w:t>
      </w:r>
      <w:r>
        <w:rPr>
          <w:i w:val="0"/>
          <w:iCs w:val="0"/>
          <w:sz w:val="28"/>
          <w:szCs w:val="28"/>
        </w:rPr>
      </w:r>
    </w:p>
    <w:p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afterAutospacing="0" w:before="0" w:beforeAutospacing="0"/>
        <w:ind w:right="0" w:firstLine="709" w:left="0"/>
        <w:jc w:val="both"/>
        <w:rPr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8"/>
          <w:szCs w:val="28"/>
        </w:rPr>
        <w:t xml:space="preserve">Плюс: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8"/>
          <w:szCs w:val="28"/>
        </w:rPr>
        <w:t xml:space="preserve"> Высокая точность.</w:t>
      </w:r>
      <w:r>
        <w:rPr>
          <w:i w:val="0"/>
          <w:iCs w:val="0"/>
          <w:sz w:val="28"/>
          <w:szCs w:val="28"/>
        </w:rPr>
      </w:r>
    </w:p>
    <w:p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afterAutospacing="0" w:before="0" w:beforeAutospacing="0"/>
        <w:ind w:right="0" w:firstLine="709" w:left="0"/>
        <w:jc w:val="both"/>
        <w:rPr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8"/>
          <w:szCs w:val="28"/>
        </w:rPr>
        <w:t xml:space="preserve">Минус: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8"/>
          <w:szCs w:val="28"/>
        </w:rPr>
        <w:t xml:space="preserve"> Трудоемкость, требует детального ТЗ.</w:t>
      </w:r>
      <w:r>
        <w:rPr>
          <w:i w:val="0"/>
          <w:iCs w:val="0"/>
          <w:sz w:val="28"/>
          <w:szCs w:val="28"/>
        </w:rPr>
      </w:r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afterAutospacing="0" w:before="0" w:beforeAutospacing="0"/>
        <w:ind w:right="0" w:firstLine="709" w:left="0"/>
        <w:jc w:val="both"/>
        <w:rPr>
          <w:rFonts w:ascii="Times New Roman" w:hAnsi="Times New Roman" w:eastAsia="Times New Roman" w:cs="Times New Roman"/>
          <w:b/>
          <w:bCs w:val="0"/>
          <w:i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8"/>
          <w:szCs w:val="28"/>
        </w:rPr>
        <w:t xml:space="preserve">Параметрическая оценка (аналогия):</w:t>
      </w: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</w:rPr>
      </w:r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afterAutospacing="0" w:before="0" w:beforeAutospacing="0"/>
        <w:ind w:right="0" w:firstLine="709" w:left="0"/>
        <w:jc w:val="both"/>
        <w:rPr>
          <w:rFonts w:ascii="Times New Roman" w:hAnsi="Times New Roman" w:eastAsia="Times New Roman" w:cs="Times New Roman"/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8"/>
          <w:szCs w:val="28"/>
        </w:rPr>
        <w:t xml:space="preserve">Используется на ранних этапах.</w:t>
      </w:r>
      <w:r>
        <w:rPr>
          <w:i w:val="0"/>
          <w:iCs w:val="0"/>
          <w:sz w:val="28"/>
          <w:szCs w:val="28"/>
        </w:rPr>
      </w:r>
      <w:r>
        <w:rPr>
          <w:i w:val="0"/>
          <w:iCs w:val="0"/>
        </w:rPr>
      </w:r>
    </w:p>
    <w:p>
      <w:pPr>
        <w:pStyle w:val="668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afterAutospacing="0" w:before="0" w:beforeAutospacing="0"/>
        <w:ind w:right="0" w:firstLine="709" w:left="0"/>
        <w:jc w:val="both"/>
        <w:rPr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8"/>
          <w:szCs w:val="28"/>
        </w:rPr>
        <w:t xml:space="preserve">Сравнение с аналогичными проектами.</w:t>
      </w:r>
      <w:r>
        <w:rPr>
          <w:i w:val="0"/>
          <w:iCs w:val="0"/>
          <w:sz w:val="28"/>
          <w:szCs w:val="28"/>
        </w:rPr>
      </w:r>
    </w:p>
    <w:p>
      <w:pPr>
        <w:pStyle w:val="668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afterAutospacing="0" w:before="0" w:beforeAutospacing="0"/>
        <w:ind w:right="0" w:firstLine="709" w:left="0"/>
        <w:jc w:val="both"/>
        <w:rPr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8"/>
          <w:szCs w:val="28"/>
        </w:rPr>
        <w:t xml:space="preserve">Использование нормативов (например, стоимость автоматизации 1 рабочего места в определенной отрасли).</w:t>
      </w:r>
      <w:r>
        <w:rPr>
          <w:i w:val="0"/>
          <w:iCs w:val="0"/>
          <w:sz w:val="28"/>
          <w:szCs w:val="28"/>
        </w:rPr>
      </w:r>
    </w:p>
    <w:p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afterAutospacing="0" w:before="0" w:beforeAutospacing="0"/>
        <w:ind w:right="0" w:firstLine="709" w:left="0"/>
        <w:jc w:val="both"/>
        <w:rPr>
          <w:rFonts w:ascii="Times New Roman" w:hAnsi="Times New Roman" w:eastAsia="Times New Roman" w:cs="Times New Roman"/>
          <w:b/>
          <w:bCs w:val="0"/>
          <w:i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8"/>
          <w:szCs w:val="28"/>
        </w:rPr>
        <w:t xml:space="preserve">Учет резервов:</w:t>
      </w: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</w:rPr>
      </w:r>
    </w:p>
    <w:p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afterAutospacing="0" w:before="0" w:beforeAutospacing="0"/>
        <w:ind w:right="0" w:firstLine="709" w:left="0"/>
        <w:jc w:val="both"/>
        <w:rPr>
          <w:rFonts w:ascii="Times New Roman" w:hAnsi="Times New Roman" w:eastAsia="Times New Roman" w:cs="Times New Roman"/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8"/>
          <w:szCs w:val="28"/>
        </w:rPr>
        <w:t xml:space="preserve">Практика показывает, что в ИТ-проектах фактическая стоимость часто превышает первоначальную смету.</w:t>
      </w:r>
      <w:r>
        <w:rPr>
          <w:i w:val="0"/>
          <w:iCs w:val="0"/>
          <w:sz w:val="28"/>
          <w:szCs w:val="28"/>
        </w:rPr>
      </w:r>
      <w:r>
        <w:rPr>
          <w:i w:val="0"/>
          <w:iCs w:val="0"/>
        </w:rPr>
      </w:r>
    </w:p>
    <w:p>
      <w:pPr>
        <w:pStyle w:val="668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afterAutospacing="0" w:before="0" w:beforeAutospacing="0"/>
        <w:ind w:right="0" w:firstLine="709" w:left="0"/>
        <w:jc w:val="both"/>
        <w:rPr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8"/>
          <w:szCs w:val="28"/>
        </w:rPr>
        <w:t xml:space="preserve">Резерв на непредвиденные обстоятельства: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8"/>
          <w:szCs w:val="28"/>
        </w:rPr>
        <w:t xml:space="preserve"> +10–20% от бюджета (на уточнение требований, неучтенные интеграции).</w:t>
      </w:r>
      <w:r>
        <w:rPr>
          <w:i w:val="0"/>
          <w:iCs w:val="0"/>
          <w:sz w:val="28"/>
          <w:szCs w:val="28"/>
        </w:rPr>
      </w:r>
    </w:p>
    <w:p>
      <w:pPr>
        <w:pStyle w:val="668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afterAutospacing="0" w:before="0" w:beforeAutospacing="0"/>
        <w:ind w:right="0" w:firstLine="709" w:left="0"/>
        <w:jc w:val="both"/>
        <w:rPr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8"/>
          <w:szCs w:val="28"/>
        </w:rPr>
        <w:t xml:space="preserve">Управленческий резерв: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8"/>
          <w:szCs w:val="28"/>
        </w:rPr>
        <w:t xml:space="preserve"> +5–10% (форс-мажор, смена валютных курсов для импортного ПО).</w:t>
      </w:r>
      <w:r>
        <w:rPr>
          <w:i w:val="0"/>
          <w:iCs w:val="0"/>
          <w:sz w:val="28"/>
          <w:szCs w:val="28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afterAutospacing="0" w:before="0" w:beforeAutospacing="0"/>
        <w:ind w:right="0" w:firstLine="709" w:left="0"/>
        <w:jc w:val="both"/>
        <w:rPr>
          <w:bCs w:val="0"/>
          <w:i w:val="0"/>
          <w:szCs w:val="28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8"/>
          <w:szCs w:val="28"/>
        </w:rPr>
        <w:t xml:space="preserve">3. Связь целей и затрат (Бизнес-кейс)</w:t>
      </w:r>
      <w:r>
        <w:rPr>
          <w:i w:val="0"/>
          <w:iCs w:val="0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afterAutospacing="0" w:before="0" w:beforeAutospacing="0"/>
        <w:ind w:right="0" w:firstLine="709" w:left="0"/>
        <w:jc w:val="both"/>
        <w:rPr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8"/>
          <w:szCs w:val="28"/>
        </w:rPr>
        <w:t xml:space="preserve">После формализации целей и оценки затрат строится </w:t>
      </w: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8"/>
          <w:szCs w:val="28"/>
        </w:rPr>
        <w:t xml:space="preserve">бизнес-кейс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8"/>
          <w:szCs w:val="28"/>
        </w:rPr>
        <w:t xml:space="preserve">. Он должен ответить на вопрос: "Стоят ли ожидаемые выгоды затраченных ресурсов?"</w:t>
      </w:r>
      <w:r>
        <w:rPr>
          <w:i w:val="0"/>
          <w:iCs w:val="0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afterAutospacing="0" w:before="0" w:beforeAutospacing="0"/>
        <w:ind w:right="0" w:firstLine="709" w:left="0"/>
        <w:jc w:val="both"/>
        <w:rPr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8"/>
          <w:szCs w:val="28"/>
        </w:rPr>
        <w:t xml:space="preserve">Основные финансовые метрики для оценки эффективности инвестиций в ИС:</w:t>
      </w:r>
      <w:r>
        <w:rPr>
          <w:i w:val="0"/>
          <w:iCs w:val="0"/>
          <w:sz w:val="28"/>
          <w:szCs w:val="28"/>
        </w:rPr>
      </w:r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afterAutospacing="0" w:before="0" w:beforeAutospacing="0"/>
        <w:ind w:right="0" w:firstLine="709" w:left="0"/>
        <w:jc w:val="both"/>
        <w:rPr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8"/>
          <w:szCs w:val="28"/>
        </w:rPr>
        <w:t xml:space="preserve">NPV (Net Present Value):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8"/>
          <w:szCs w:val="28"/>
        </w:rPr>
        <w:t xml:space="preserve"> Чистая приведенная стоимость. Должна быть &gt; 0.</w:t>
      </w:r>
      <w:r>
        <w:rPr>
          <w:i w:val="0"/>
          <w:iCs w:val="0"/>
          <w:sz w:val="28"/>
          <w:szCs w:val="28"/>
        </w:rPr>
      </w:r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afterAutospacing="0" w:before="0" w:beforeAutospacing="0"/>
        <w:ind w:right="0" w:firstLine="709" w:left="0"/>
        <w:jc w:val="both"/>
        <w:rPr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8"/>
          <w:szCs w:val="28"/>
        </w:rPr>
        <w:t xml:space="preserve">IRR (Internal Rate of Return):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8"/>
          <w:szCs w:val="28"/>
        </w:rPr>
        <w:t xml:space="preserve"> Внутренняя норма доходности. Должна превышать ставку дисконтирования.</w:t>
      </w:r>
      <w:r>
        <w:rPr>
          <w:i w:val="0"/>
          <w:iCs w:val="0"/>
          <w:sz w:val="28"/>
          <w:szCs w:val="28"/>
        </w:rPr>
      </w:r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afterAutospacing="0" w:before="0" w:beforeAutospacing="0"/>
        <w:ind w:right="0" w:firstLine="709" w:left="0"/>
        <w:jc w:val="both"/>
        <w:rPr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8"/>
          <w:szCs w:val="28"/>
        </w:rPr>
        <w:t xml:space="preserve">DPBP (Discounted Payback Period):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8"/>
          <w:szCs w:val="28"/>
        </w:rPr>
        <w:t xml:space="preserve"> Дисконтированный срок окупаемости. Ключевой показатель для руководства.</w:t>
      </w:r>
      <w:r>
        <w:rPr>
          <w:i w:val="0"/>
          <w:iCs w:val="0"/>
          <w:sz w:val="28"/>
          <w:szCs w:val="28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afterAutospacing="0" w:before="0" w:beforeAutospacing="0"/>
        <w:ind w:right="0" w:firstLine="709" w:left="0"/>
        <w:jc w:val="both"/>
        <w:rPr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8"/>
          <w:szCs w:val="28"/>
        </w:rPr>
        <w:t xml:space="preserve">Таблица: Пример бизнес-кейса (тыс. руб.)</w:t>
      </w:r>
      <w:r>
        <w:rPr>
          <w:i w:val="0"/>
          <w:iCs w:val="0"/>
          <w:sz w:val="28"/>
          <w:szCs w:val="28"/>
        </w:rPr>
      </w:r>
    </w:p>
    <w:tbl>
      <w:tblPr>
        <w:tblW w:w="0" w:type="auto"/>
        <w:tblBorders/>
        <w:tblLayout w:type="autofit"/>
        <w:tblLook w:val="04A0" w:firstRow="1" w:lastRow="0" w:firstColumn="1" w:lastColumn="0" w:noHBand="0" w:noVBand="1"/>
        <w:tblStyle w:val="11"/>
      </w:tblPr>
      <w:tblGrid>
        <w:gridCol w:w="2566"/>
        <w:gridCol w:w="2107"/>
        <w:gridCol w:w="700"/>
        <w:gridCol w:w="700"/>
        <w:gridCol w:w="700"/>
      </w:tblGrid>
      <w:tr>
        <w:trPr/>
        <w:tc>
          <w:tcPr>
            <w:tcBorders/>
            <w:tcW w:w="256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Показатель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W w:w="210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Год 0 (Инвестиции)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W w:w="7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Год 1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W w:w="7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Год 2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W w:w="7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Год 3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256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Затраты (TCO)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W w:w="210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(10 000)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W w:w="7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(2 500)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W w:w="7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(2 700)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W w:w="7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(2 900)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256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  <w:sz w:val="22"/>
                <w:szCs w:val="22"/>
              </w:rPr>
              <w:t xml:space="preserve">Лицензии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W w:w="210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(4 000)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W w:w="7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(800)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W w:w="7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(800)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W w:w="7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(800)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256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  <w:sz w:val="22"/>
                <w:szCs w:val="22"/>
              </w:rPr>
              <w:t xml:space="preserve">Внедрение/Услуги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W w:w="210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(5 000)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W w:w="7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(1 000)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W w:w="7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(1 200)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W w:w="7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(1 400)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256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  <w:sz w:val="22"/>
                <w:szCs w:val="22"/>
              </w:rPr>
              <w:t xml:space="preserve">Оборудование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W w:w="210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(1 000)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W w:w="7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(700)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W w:w="7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(700)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W w:w="7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(700)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256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Выгоды (EBITDA)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W w:w="210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W w:w="7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4 000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W w:w="7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6 000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W w:w="7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8 000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256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  <w:sz w:val="22"/>
                <w:szCs w:val="22"/>
              </w:rPr>
              <w:t xml:space="preserve">Сокращение запасов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W w:w="210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W w:w="7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2 000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W w:w="7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2 500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W w:w="7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3 000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256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  <w:sz w:val="22"/>
                <w:szCs w:val="22"/>
              </w:rPr>
              <w:t xml:space="preserve">Снижение трудозатрат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W w:w="210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W w:w="7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1 500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W w:w="7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2 500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W w:w="7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3 500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256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  <w:sz w:val="22"/>
                <w:szCs w:val="22"/>
              </w:rPr>
              <w:t xml:space="preserve">Снижение брака/потерь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W w:w="210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W w:w="7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500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W w:w="7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1 000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W w:w="7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1 500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256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Денежный поток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W w:w="210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(10 000)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W w:w="7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1 500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W w:w="7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3 300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W w:w="7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5 100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256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  <w:sz w:val="22"/>
                <w:szCs w:val="22"/>
              </w:rPr>
              <w:t xml:space="preserve">Накопленный поток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W w:w="210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(10 000)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W w:w="7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(8 500)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W w:w="7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</w:rPr>
              <w:t xml:space="preserve">(5 200)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  <w:tc>
          <w:tcPr>
            <w:tcBorders/>
            <w:tcW w:w="7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  <w:szCs w:val="22"/>
              </w:rPr>
              <w:t xml:space="preserve">(100)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</w:r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bCs w:val="0"/>
          <w:i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8"/>
          <w:szCs w:val="28"/>
        </w:rPr>
        <w:t xml:space="preserve">Вывод: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8"/>
          <w:szCs w:val="28"/>
        </w:rPr>
        <w:t xml:space="preserve"> Окупаемость наступает на 3-й год.</w:t>
      </w:r>
      <w:r>
        <w:rPr>
          <w:i w:val="0"/>
          <w:iCs w:val="0"/>
          <w:sz w:val="28"/>
          <w:szCs w:val="28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afterAutospacing="0" w:before="0" w:beforeAutospacing="0" w:line="360" w:lineRule="auto"/>
        <w:ind w:right="0" w:firstLine="709" w:left="0"/>
        <w:jc w:val="both"/>
        <w:rPr>
          <w:bCs w:val="0"/>
          <w:i w:val="0"/>
          <w:szCs w:val="28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8"/>
          <w:szCs w:val="28"/>
        </w:rPr>
        <w:t xml:space="preserve">4. Типичные ошибки при формализации и оценке</w:t>
      </w:r>
      <w:r>
        <w:rPr>
          <w:i w:val="0"/>
          <w:iCs w:val="0"/>
          <w:sz w:val="28"/>
          <w:szCs w:val="28"/>
        </w:rPr>
      </w:r>
    </w:p>
    <w:p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b/>
          <w:bCs w:val="0"/>
          <w:i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8"/>
          <w:szCs w:val="28"/>
        </w:rPr>
        <w:t xml:space="preserve">Подмена целей внедрения перечнем функций.</w:t>
      </w:r>
      <w:r>
        <w:rPr>
          <w:rFonts w:ascii="Times New Roman" w:hAnsi="Times New Roman" w:eastAsia="Times New Roman" w:cs="Times New Roman"/>
          <w:bCs w:val="0"/>
          <w:i w:val="0"/>
          <w:color w:val="000000"/>
          <w:sz w:val="28"/>
          <w:szCs w:val="28"/>
        </w:rPr>
      </w:r>
    </w:p>
    <w:p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bCs w:val="0"/>
          <w:i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8"/>
          <w:szCs w:val="28"/>
        </w:rPr>
        <w:t xml:space="preserve">Ошибка: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8"/>
          <w:szCs w:val="28"/>
        </w:rPr>
        <w:t xml:space="preserve"> "Цель — установить модуль CRM".</w:t>
      </w:r>
      <w:r>
        <w:rPr>
          <w:rFonts w:ascii="Times New Roman" w:hAnsi="Times New Roman" w:eastAsia="Times New Roman" w:cs="Times New Roman"/>
          <w:bCs w:val="0"/>
          <w:i w:val="0"/>
          <w:sz w:val="28"/>
          <w:szCs w:val="28"/>
        </w:rPr>
      </w:r>
      <w:r/>
    </w:p>
    <w:p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8"/>
          <w:szCs w:val="28"/>
        </w:rPr>
        <w:t xml:space="preserve">Правильно: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8"/>
          <w:szCs w:val="28"/>
        </w:rPr>
        <w:t xml:space="preserve"> "Цель — увеличить конверсию лидов в сделки на 15% за счет автоматизации воронки продаж".</w:t>
      </w:r>
      <w:r>
        <w:rPr>
          <w:i w:val="0"/>
          <w:iCs w:val="0"/>
          <w:sz w:val="28"/>
          <w:szCs w:val="28"/>
        </w:rPr>
      </w:r>
      <w:r/>
    </w:p>
    <w:p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b/>
          <w:bCs w:val="0"/>
          <w:i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8"/>
          <w:szCs w:val="28"/>
        </w:rPr>
        <w:t xml:space="preserve">Игнорирование стоимости владения (TCO).</w:t>
      </w:r>
      <w:r>
        <w:rPr>
          <w:rFonts w:ascii="Times New Roman" w:hAnsi="Times New Roman" w:eastAsia="Times New Roman" w:cs="Times New Roman"/>
          <w:bCs w:val="0"/>
          <w:i w:val="0"/>
          <w:sz w:val="28"/>
          <w:szCs w:val="28"/>
        </w:rPr>
      </w:r>
    </w:p>
    <w:p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8"/>
          <w:szCs w:val="28"/>
        </w:rPr>
        <w:t xml:space="preserve">Руководство часто утверждает только бюджет на покупку ПО, забывая, что ежегодная поддержка, зарплата администраторов и стоимость электроэнергии для серверов составляют значительную часть затрат.</w:t>
      </w:r>
      <w:r>
        <w:rPr>
          <w:i w:val="0"/>
          <w:iCs w:val="0"/>
          <w:sz w:val="28"/>
          <w:szCs w:val="28"/>
        </w:rPr>
      </w:r>
      <w:r/>
    </w:p>
    <w:p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b/>
          <w:bCs w:val="0"/>
          <w:i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8"/>
          <w:szCs w:val="28"/>
        </w:rPr>
        <w:t xml:space="preserve">Недоучет затрат на качество данных (Миграция).</w:t>
      </w:r>
      <w:r>
        <w:rPr>
          <w:rFonts w:ascii="Times New Roman" w:hAnsi="Times New Roman" w:eastAsia="Times New Roman" w:cs="Times New Roman"/>
          <w:bCs w:val="0"/>
          <w:i w:val="0"/>
          <w:sz w:val="28"/>
          <w:szCs w:val="28"/>
        </w:rPr>
      </w:r>
    </w:p>
    <w:p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8"/>
          <w:szCs w:val="28"/>
        </w:rPr>
        <w:t xml:space="preserve">Очистка, нормализация и перенос данных из старых систем часто занимают до 30-40% бюджета проекта, но редко закладываются на этапе инициации.</w:t>
      </w:r>
      <w:r>
        <w:rPr>
          <w:i w:val="0"/>
          <w:iCs w:val="0"/>
          <w:sz w:val="28"/>
          <w:szCs w:val="28"/>
        </w:rPr>
      </w:r>
      <w:r/>
    </w:p>
    <w:p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b/>
          <w:bCs w:val="0"/>
          <w:i w:val="0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8"/>
          <w:szCs w:val="28"/>
        </w:rPr>
        <w:t xml:space="preserve">Неучет рисков "сопротивления".</w:t>
      </w:r>
      <w:r>
        <w:rPr>
          <w:rFonts w:ascii="Times New Roman" w:hAnsi="Times New Roman" w:eastAsia="Times New Roman" w:cs="Times New Roman"/>
          <w:bCs w:val="0"/>
          <w:i w:val="0"/>
          <w:sz w:val="28"/>
          <w:szCs w:val="28"/>
        </w:rPr>
      </w:r>
    </w:p>
    <w:p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afterAutospacing="0" w:before="0" w:beforeAutospacing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8"/>
          <w:szCs w:val="28"/>
        </w:rPr>
        <w:t xml:space="preserve">Если не заложить бюджет на обучение, мотивацию и поддержку пользователей, система может не дать расчетной эффективности (KPI не будут достигнуты), даже будучи технически внедренной.</w:t>
      </w:r>
      <w:r>
        <w:rPr>
          <w:i w:val="0"/>
          <w:iCs w:val="0"/>
          <w:sz w:val="28"/>
          <w:szCs w:val="28"/>
        </w:rPr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afterAutospacing="0" w:before="0" w:beforeAutospacing="0" w:line="360" w:lineRule="auto"/>
        <w:ind w:right="0" w:firstLine="709" w:left="0"/>
        <w:jc w:val="both"/>
        <w:rPr>
          <w:bCs w:val="0"/>
          <w:i w:val="0"/>
          <w:szCs w:val="28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8"/>
          <w:szCs w:val="28"/>
        </w:rPr>
        <w:t xml:space="preserve">Заключение</w:t>
      </w:r>
      <w:r>
        <w:rPr>
          <w:i w:val="0"/>
          <w:iCs w:val="0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992"/>
        </w:tabs>
        <w:spacing w:after="0" w:afterAutospacing="0" w:before="0" w:beforeAutospacing="0" w:line="360" w:lineRule="auto"/>
        <w:ind w:right="0" w:firstLine="709" w:left="0"/>
        <w:jc w:val="both"/>
        <w:rPr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i w:val="0"/>
          <w:iCs w:val="0"/>
          <w:color w:val="000000"/>
          <w:sz w:val="28"/>
          <w:szCs w:val="28"/>
        </w:rPr>
        <w:t xml:space="preserve">Формализация целей и оценка затрат — это итеративный процесс. Начинать следует не с выбора программы, а с </w:t>
      </w: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8"/>
          <w:szCs w:val="28"/>
        </w:rPr>
        <w:t xml:space="preserve">аудита бизнес-процессов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8"/>
          <w:szCs w:val="28"/>
        </w:rPr>
        <w:t xml:space="preserve">. Формализованные цели становятся техническим заданием, а оценка затрат в формате TCO — основой для принятия инвестиционного решения (бюджетирования). Только наличие измеримых KPI и прозрачной сметы с учетом всех фаз жизненного цикла позволяет говорить об </w:t>
      </w:r>
      <w:r>
        <w:rPr>
          <w:rFonts w:ascii="Times New Roman" w:hAnsi="Times New Roman" w:eastAsia="Times New Roman" w:cs="Times New Roman"/>
          <w:i w:val="0"/>
          <w:iCs w:val="0"/>
          <w:color w:val="000000"/>
          <w:sz w:val="28"/>
          <w:szCs w:val="28"/>
        </w:rPr>
        <w:t xml:space="preserve">успешном внедрении информационной системы.</w:t>
      </w:r>
      <w:r>
        <w:rPr>
          <w:i w:val="0"/>
          <w:iCs w:val="0"/>
          <w:sz w:val="28"/>
          <w:szCs w:val="28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sectPr>
      <w:footnotePr/>
      <w:endnotePr/>
      <w:type w:val="nextPage"/>
      <w:pgSz w:h="16838" w:orient="portrait" w:w="11906"/>
      <w:pgMar w:top="567" w:right="567" w:bottom="567" w:left="1134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4"/>
    <w:next w:val="664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4"/>
    <w:next w:val="664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4"/>
    <w:next w:val="664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4"/>
    <w:next w:val="664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4"/>
    <w:next w:val="664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4"/>
    <w:next w:val="664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4"/>
    <w:next w:val="664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4"/>
    <w:next w:val="664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4"/>
    <w:next w:val="664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4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4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4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4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89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0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1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2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3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4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5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6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7">
    <w:name w:val="Placeholder Text"/>
    <w:basedOn w:val="147"/>
    <w:uiPriority w:val="99"/>
    <w:semiHidden/>
    <w:pPr>
      <w:pBdr/>
      <w:spacing/>
      <w:ind/>
    </w:pPr>
    <w:rPr>
      <w:color w:val="666666"/>
    </w:rPr>
  </w:style>
  <w:style w:type="paragraph" w:styleId="207">
    <w:name w:val="TOC Heading"/>
    <w:uiPriority w:val="39"/>
    <w:unhideWhenUsed/>
    <w:pPr>
      <w:pBdr/>
      <w:spacing/>
      <w:ind/>
    </w:pPr>
  </w:style>
  <w:style w:type="paragraph" w:styleId="208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ONLYOFFICE/9.0.0.172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2026-03-25T02:33:05Z</dcterms:modified>
</cp:coreProperties>
</file>