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680" w:rsidRPr="004D1079" w:rsidRDefault="00663CC2" w:rsidP="004D1079">
      <w:pPr>
        <w:spacing w:after="0" w:line="240" w:lineRule="auto"/>
        <w:jc w:val="center"/>
        <w:rPr>
          <w:rFonts w:ascii="Arial" w:hAnsi="Arial" w:cs="Arial"/>
          <w:b/>
          <w:sz w:val="24"/>
          <w:szCs w:val="24"/>
        </w:rPr>
      </w:pPr>
      <w:r w:rsidRPr="004D1079">
        <w:rPr>
          <w:rFonts w:ascii="Arial" w:hAnsi="Arial" w:cs="Arial"/>
          <w:b/>
          <w:noProof/>
          <w:sz w:val="24"/>
          <w:szCs w:val="24"/>
          <w:lang w:eastAsia="en-GB"/>
        </w:rPr>
        <w:drawing>
          <wp:anchor distT="0" distB="0" distL="114300" distR="114300" simplePos="0" relativeHeight="251658240" behindDoc="0" locked="0" layoutInCell="1" allowOverlap="1">
            <wp:simplePos x="0" y="0"/>
            <wp:positionH relativeFrom="column">
              <wp:posOffset>5162550</wp:posOffset>
            </wp:positionH>
            <wp:positionV relativeFrom="paragraph">
              <wp:posOffset>-542925</wp:posOffset>
            </wp:positionV>
            <wp:extent cx="1019911" cy="4625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P logo"/>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19911" cy="46259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B23BC">
        <w:rPr>
          <w:rFonts w:ascii="Arial" w:hAnsi="Arial" w:cs="Arial"/>
          <w:b/>
          <w:noProof/>
          <w:sz w:val="24"/>
          <w:szCs w:val="24"/>
          <w:lang w:eastAsia="en-GB"/>
        </w:rPr>
        <w:t xml:space="preserve">PROFESSIONAL STANDARDS MAPPING </w:t>
      </w:r>
      <w:bookmarkStart w:id="0" w:name="_GoBack"/>
      <w:bookmarkEnd w:id="0"/>
    </w:p>
    <w:p w:rsidR="00A37680" w:rsidRPr="000D0E74" w:rsidRDefault="00A37680" w:rsidP="00A37680">
      <w:pPr>
        <w:spacing w:after="0" w:line="240" w:lineRule="auto"/>
        <w:rPr>
          <w:rFonts w:ascii="Arial" w:hAnsi="Arial" w:cs="Arial"/>
          <w:i/>
          <w:sz w:val="16"/>
          <w:szCs w:val="16"/>
        </w:rPr>
      </w:pPr>
    </w:p>
    <w:p w:rsidR="003B23BC" w:rsidRDefault="003B23BC" w:rsidP="000D0E74">
      <w:pPr>
        <w:spacing w:after="0" w:line="240" w:lineRule="auto"/>
        <w:jc w:val="both"/>
        <w:rPr>
          <w:rFonts w:ascii="Arial" w:hAnsi="Arial" w:cs="Arial"/>
          <w:sz w:val="20"/>
          <w:szCs w:val="20"/>
        </w:rPr>
      </w:pPr>
      <w:r>
        <w:rPr>
          <w:rFonts w:ascii="Arial" w:hAnsi="Arial" w:cs="Arial"/>
          <w:sz w:val="20"/>
          <w:szCs w:val="20"/>
        </w:rPr>
        <w:t>In order to successfully complete the programme you are expected to evidence achievement of the 2014 Professional Standards for Teachers and Trainers as issued by the Education Training Foundation. Please complete the below mapping document which should enable you to reference where about you have met each criteria. Refer to the criteria card supplied to you at the start of the course.</w:t>
      </w:r>
    </w:p>
    <w:p w:rsidR="000B3824" w:rsidRDefault="000B3824" w:rsidP="00A37680">
      <w:pPr>
        <w:spacing w:after="0" w:line="240" w:lineRule="auto"/>
        <w:rPr>
          <w:rFonts w:ascii="Arial" w:hAnsi="Arial" w:cs="Arial"/>
          <w:b/>
          <w:sz w:val="20"/>
          <w:szCs w:val="20"/>
        </w:rPr>
      </w:pPr>
    </w:p>
    <w:tbl>
      <w:tblPr>
        <w:tblStyle w:val="TableGrid"/>
        <w:tblW w:w="10206" w:type="dxa"/>
        <w:tblInd w:w="-459" w:type="dxa"/>
        <w:tblLook w:val="04A0" w:firstRow="1" w:lastRow="0" w:firstColumn="1" w:lastColumn="0" w:noHBand="0" w:noVBand="1"/>
      </w:tblPr>
      <w:tblGrid>
        <w:gridCol w:w="425"/>
        <w:gridCol w:w="4224"/>
        <w:gridCol w:w="4282"/>
        <w:gridCol w:w="1275"/>
      </w:tblGrid>
      <w:tr w:rsidR="003B23BC" w:rsidTr="003B23BC">
        <w:tc>
          <w:tcPr>
            <w:tcW w:w="4649" w:type="dxa"/>
            <w:gridSpan w:val="2"/>
          </w:tcPr>
          <w:p w:rsidR="003B23BC" w:rsidRDefault="003B23BC" w:rsidP="003B23BC">
            <w:pPr>
              <w:jc w:val="center"/>
              <w:rPr>
                <w:rFonts w:ascii="Arial" w:hAnsi="Arial" w:cs="Arial"/>
                <w:b/>
                <w:sz w:val="20"/>
                <w:szCs w:val="20"/>
              </w:rPr>
            </w:pPr>
            <w:r>
              <w:rPr>
                <w:rFonts w:ascii="Arial" w:hAnsi="Arial" w:cs="Arial"/>
                <w:b/>
                <w:sz w:val="20"/>
                <w:szCs w:val="20"/>
              </w:rPr>
              <w:t>Criteria</w:t>
            </w:r>
          </w:p>
        </w:tc>
        <w:tc>
          <w:tcPr>
            <w:tcW w:w="4282" w:type="dxa"/>
          </w:tcPr>
          <w:p w:rsidR="003B23BC" w:rsidRDefault="003B23BC" w:rsidP="003B23BC">
            <w:pPr>
              <w:jc w:val="center"/>
              <w:rPr>
                <w:rFonts w:ascii="Arial" w:hAnsi="Arial" w:cs="Arial"/>
                <w:b/>
                <w:sz w:val="20"/>
                <w:szCs w:val="20"/>
              </w:rPr>
            </w:pPr>
            <w:r>
              <w:rPr>
                <w:rFonts w:ascii="Arial" w:hAnsi="Arial" w:cs="Arial"/>
                <w:b/>
                <w:sz w:val="20"/>
                <w:szCs w:val="20"/>
              </w:rPr>
              <w:t>Location of Evidence</w:t>
            </w:r>
          </w:p>
        </w:tc>
        <w:tc>
          <w:tcPr>
            <w:tcW w:w="1275" w:type="dxa"/>
          </w:tcPr>
          <w:p w:rsidR="003B23BC" w:rsidRDefault="003B23BC" w:rsidP="003B23BC">
            <w:pPr>
              <w:jc w:val="center"/>
              <w:rPr>
                <w:rFonts w:ascii="Arial" w:hAnsi="Arial" w:cs="Arial"/>
                <w:b/>
                <w:sz w:val="20"/>
                <w:szCs w:val="20"/>
              </w:rPr>
            </w:pPr>
            <w:r>
              <w:rPr>
                <w:rFonts w:ascii="Arial" w:hAnsi="Arial" w:cs="Arial"/>
                <w:b/>
                <w:sz w:val="20"/>
                <w:szCs w:val="20"/>
              </w:rPr>
              <w:t>Standard Met? (Y/N)</w:t>
            </w: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1</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 xml:space="preserve">Reflect on what works best in your teaching and learning to meet the diverse needs </w:t>
            </w:r>
          </w:p>
          <w:p w:rsidR="003B23BC" w:rsidRPr="003B23BC" w:rsidRDefault="003B23BC" w:rsidP="003B23BC">
            <w:pPr>
              <w:rPr>
                <w:rFonts w:ascii="Arial" w:hAnsi="Arial" w:cs="Arial"/>
                <w:sz w:val="18"/>
                <w:szCs w:val="18"/>
              </w:rPr>
            </w:pPr>
            <w:r w:rsidRPr="003B23BC">
              <w:rPr>
                <w:rFonts w:ascii="Arial" w:hAnsi="Arial" w:cs="Arial"/>
                <w:sz w:val="18"/>
                <w:szCs w:val="18"/>
              </w:rPr>
              <w:t>of learners</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2</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Evaluate and challenge your practice, values and beliefs</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3</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Inspire, motivate and raise aspirations of learners through your enthusiasm and knowledge</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4</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Be creative and innovative in selecting and adapting strategies to help learners to learn</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5</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Value and promote social and cultural diversity, equality of opportunity and inclusion</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6</w:t>
            </w:r>
          </w:p>
        </w:tc>
        <w:tc>
          <w:tcPr>
            <w:tcW w:w="4224" w:type="dxa"/>
          </w:tcPr>
          <w:p w:rsidR="003B23BC" w:rsidRPr="003B23BC" w:rsidRDefault="003B23BC" w:rsidP="003B23BC">
            <w:pPr>
              <w:tabs>
                <w:tab w:val="left" w:pos="989"/>
              </w:tabs>
              <w:rPr>
                <w:rFonts w:ascii="Arial" w:hAnsi="Arial" w:cs="Arial"/>
                <w:sz w:val="18"/>
                <w:szCs w:val="18"/>
              </w:rPr>
            </w:pPr>
            <w:r w:rsidRPr="003B23BC">
              <w:rPr>
                <w:rFonts w:ascii="Arial" w:hAnsi="Arial" w:cs="Arial"/>
                <w:sz w:val="18"/>
                <w:szCs w:val="18"/>
              </w:rPr>
              <w:t>Build positive and collaborative relationships with colleagues and learners</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7</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Maintain and update knowledge of your subject and/or vocational area</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8</w:t>
            </w:r>
          </w:p>
        </w:tc>
        <w:tc>
          <w:tcPr>
            <w:tcW w:w="4224" w:type="dxa"/>
          </w:tcPr>
          <w:p w:rsidR="003B23BC" w:rsidRPr="003B23BC" w:rsidRDefault="003B23BC" w:rsidP="003B23BC">
            <w:pPr>
              <w:tabs>
                <w:tab w:val="left" w:pos="1052"/>
              </w:tabs>
              <w:rPr>
                <w:rFonts w:ascii="Arial" w:hAnsi="Arial" w:cs="Arial"/>
                <w:sz w:val="18"/>
                <w:szCs w:val="18"/>
              </w:rPr>
            </w:pPr>
            <w:r w:rsidRPr="003B23BC">
              <w:rPr>
                <w:rFonts w:ascii="Arial" w:hAnsi="Arial" w:cs="Arial"/>
                <w:sz w:val="18"/>
                <w:szCs w:val="18"/>
              </w:rPr>
              <w:t>Maintain and update your knowledge of educational research to develop evidence-based practice</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9</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 xml:space="preserve">Apply theoretical understanding of effective practice in teaching, learning and assessment </w:t>
            </w:r>
          </w:p>
          <w:p w:rsidR="003B23BC" w:rsidRPr="003B23BC" w:rsidRDefault="003B23BC" w:rsidP="003B23BC">
            <w:pPr>
              <w:rPr>
                <w:rFonts w:ascii="Arial" w:hAnsi="Arial" w:cs="Arial"/>
                <w:sz w:val="18"/>
                <w:szCs w:val="18"/>
              </w:rPr>
            </w:pPr>
            <w:r w:rsidRPr="003B23BC">
              <w:rPr>
                <w:rFonts w:ascii="Arial" w:hAnsi="Arial" w:cs="Arial"/>
                <w:sz w:val="18"/>
                <w:szCs w:val="18"/>
              </w:rPr>
              <w:t>drawing on research and other evidence</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10</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Evaluate your practice with others and assess its impact on learning</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11</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Manage and promote positive learner behaviour</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12</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Understand the teaching and professional role and your responsibilities</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13</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Motivate and inspire learners to promote achievement and develop their skills to enable progression</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14</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Plan and deliver effective learning programmes for diverse groups or individuals in a safe and inclusive environment</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15</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Promote the benefits of technology and support learners in its use</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16</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Address the mathematics and English needs of learners and work creatively to overcome individual barriers to learning</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17</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Enable learners to share responsibility for their own learning and assessment, setting goals  that stretch and challenge</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18</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Apply appropriate and fair methods of assessment and provide constructive and timely feedback to support progression and achievement</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19</w:t>
            </w:r>
          </w:p>
          <w:p w:rsidR="003B23BC" w:rsidRPr="003B23BC" w:rsidRDefault="003B23BC" w:rsidP="003B23BC">
            <w:pPr>
              <w:rPr>
                <w:rFonts w:ascii="Arial" w:hAnsi="Arial" w:cs="Arial"/>
                <w:sz w:val="18"/>
                <w:szCs w:val="18"/>
              </w:rPr>
            </w:pP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Maintain and update your teaching and training expertise and vocational skills through collaboration with employers</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r w:rsidR="003B23BC" w:rsidTr="003B23BC">
        <w:tc>
          <w:tcPr>
            <w:tcW w:w="425" w:type="dxa"/>
          </w:tcPr>
          <w:p w:rsidR="003B23BC" w:rsidRPr="003B23BC" w:rsidRDefault="003B23BC" w:rsidP="003B23BC">
            <w:pPr>
              <w:rPr>
                <w:rFonts w:ascii="Arial" w:hAnsi="Arial" w:cs="Arial"/>
                <w:sz w:val="18"/>
                <w:szCs w:val="18"/>
              </w:rPr>
            </w:pPr>
            <w:r w:rsidRPr="003B23BC">
              <w:rPr>
                <w:rFonts w:ascii="Arial" w:hAnsi="Arial" w:cs="Arial"/>
                <w:sz w:val="18"/>
                <w:szCs w:val="18"/>
              </w:rPr>
              <w:t>20</w:t>
            </w:r>
          </w:p>
        </w:tc>
        <w:tc>
          <w:tcPr>
            <w:tcW w:w="4224" w:type="dxa"/>
          </w:tcPr>
          <w:p w:rsidR="003B23BC" w:rsidRPr="003B23BC" w:rsidRDefault="003B23BC" w:rsidP="003B23BC">
            <w:pPr>
              <w:rPr>
                <w:rFonts w:ascii="Arial" w:hAnsi="Arial" w:cs="Arial"/>
                <w:sz w:val="18"/>
                <w:szCs w:val="18"/>
              </w:rPr>
            </w:pPr>
            <w:r w:rsidRPr="003B23BC">
              <w:rPr>
                <w:rFonts w:ascii="Arial" w:hAnsi="Arial" w:cs="Arial"/>
                <w:sz w:val="18"/>
                <w:szCs w:val="18"/>
              </w:rPr>
              <w:t>Contribute to organisational development and quality improvement through collaboration with others</w:t>
            </w:r>
          </w:p>
        </w:tc>
        <w:tc>
          <w:tcPr>
            <w:tcW w:w="4282" w:type="dxa"/>
          </w:tcPr>
          <w:p w:rsidR="003B23BC" w:rsidRDefault="003B23BC" w:rsidP="00A37680">
            <w:pPr>
              <w:rPr>
                <w:rFonts w:ascii="Arial" w:hAnsi="Arial" w:cs="Arial"/>
                <w:b/>
                <w:sz w:val="20"/>
                <w:szCs w:val="20"/>
              </w:rPr>
            </w:pPr>
          </w:p>
        </w:tc>
        <w:tc>
          <w:tcPr>
            <w:tcW w:w="1275" w:type="dxa"/>
          </w:tcPr>
          <w:p w:rsidR="003B23BC" w:rsidRDefault="003B23BC" w:rsidP="00A37680">
            <w:pPr>
              <w:rPr>
                <w:rFonts w:ascii="Arial" w:hAnsi="Arial" w:cs="Arial"/>
                <w:b/>
                <w:sz w:val="20"/>
                <w:szCs w:val="20"/>
              </w:rPr>
            </w:pPr>
          </w:p>
        </w:tc>
      </w:tr>
    </w:tbl>
    <w:p w:rsidR="000B3824" w:rsidRDefault="000B3824" w:rsidP="003B23BC">
      <w:pPr>
        <w:spacing w:after="0" w:line="240" w:lineRule="auto"/>
        <w:rPr>
          <w:rFonts w:ascii="Arial" w:hAnsi="Arial" w:cs="Arial"/>
          <w:sz w:val="20"/>
          <w:szCs w:val="20"/>
        </w:rPr>
      </w:pPr>
    </w:p>
    <w:p w:rsidR="000D0E74" w:rsidRDefault="000D0E74" w:rsidP="000D0E74">
      <w:pPr>
        <w:spacing w:after="0" w:line="240" w:lineRule="auto"/>
        <w:rPr>
          <w:rFonts w:ascii="Arial" w:hAnsi="Arial" w:cs="Arial"/>
          <w:sz w:val="20"/>
          <w:szCs w:val="20"/>
        </w:rPr>
      </w:pPr>
    </w:p>
    <w:p w:rsidR="000D0E74" w:rsidRPr="000B3824" w:rsidRDefault="000D0E74" w:rsidP="000D0E74">
      <w:pPr>
        <w:spacing w:after="0" w:line="240" w:lineRule="auto"/>
        <w:rPr>
          <w:rFonts w:ascii="Arial" w:hAnsi="Arial" w:cs="Arial"/>
          <w:sz w:val="20"/>
          <w:szCs w:val="20"/>
        </w:rPr>
      </w:pPr>
      <w:r>
        <w:rPr>
          <w:rFonts w:ascii="Arial" w:hAnsi="Arial" w:cs="Arial"/>
          <w:sz w:val="20"/>
          <w:szCs w:val="20"/>
        </w:rPr>
        <w:t>Tutor</w:t>
      </w:r>
      <w:r w:rsidRPr="000B3824">
        <w:rPr>
          <w:rFonts w:ascii="Arial" w:hAnsi="Arial" w:cs="Arial"/>
          <w:sz w:val="20"/>
          <w:szCs w:val="20"/>
        </w:rPr>
        <w:t xml:space="preserve"> Signature</w:t>
      </w:r>
      <w:r>
        <w:rPr>
          <w:rFonts w:ascii="Arial" w:hAnsi="Arial" w:cs="Arial"/>
          <w:sz w:val="20"/>
          <w:szCs w:val="20"/>
        </w:rPr>
        <w:tab/>
      </w:r>
      <w:r>
        <w:rPr>
          <w:rFonts w:ascii="Arial" w:hAnsi="Arial" w:cs="Arial"/>
          <w:sz w:val="20"/>
          <w:szCs w:val="20"/>
        </w:rPr>
        <w:tab/>
      </w:r>
      <w:r w:rsidRPr="000B3824">
        <w:rPr>
          <w:rFonts w:ascii="Arial" w:hAnsi="Arial" w:cs="Arial"/>
          <w:sz w:val="20"/>
          <w:szCs w:val="20"/>
        </w:rPr>
        <w:tab/>
      </w:r>
      <w:r>
        <w:rPr>
          <w:rFonts w:ascii="Arial" w:hAnsi="Arial" w:cs="Arial"/>
          <w:sz w:val="20"/>
          <w:szCs w:val="20"/>
        </w:rPr>
        <w:t>............................................</w:t>
      </w:r>
      <w:r>
        <w:rPr>
          <w:rFonts w:ascii="Arial" w:hAnsi="Arial" w:cs="Arial"/>
          <w:sz w:val="20"/>
          <w:szCs w:val="20"/>
        </w:rPr>
        <w:tab/>
        <w:t>Date</w:t>
      </w:r>
      <w:r>
        <w:rPr>
          <w:rFonts w:ascii="Arial" w:hAnsi="Arial" w:cs="Arial"/>
          <w:sz w:val="20"/>
          <w:szCs w:val="20"/>
        </w:rPr>
        <w:tab/>
        <w:t>.....................</w:t>
      </w:r>
    </w:p>
    <w:p w:rsidR="000D0E74" w:rsidRPr="000B3824" w:rsidRDefault="000D0E74" w:rsidP="000D0E74">
      <w:pPr>
        <w:spacing w:after="0" w:line="240" w:lineRule="auto"/>
        <w:rPr>
          <w:rFonts w:ascii="Arial" w:hAnsi="Arial" w:cs="Arial"/>
          <w:sz w:val="20"/>
          <w:szCs w:val="20"/>
        </w:rPr>
      </w:pPr>
    </w:p>
    <w:p w:rsidR="000D0E74" w:rsidRPr="000B3824" w:rsidRDefault="000D0E74" w:rsidP="000D0E74">
      <w:pPr>
        <w:spacing w:after="0" w:line="240" w:lineRule="auto"/>
        <w:rPr>
          <w:rFonts w:ascii="Arial" w:hAnsi="Arial" w:cs="Arial"/>
          <w:sz w:val="20"/>
          <w:szCs w:val="20"/>
        </w:rPr>
      </w:pPr>
      <w:r w:rsidRPr="000B3824">
        <w:rPr>
          <w:rFonts w:ascii="Arial" w:hAnsi="Arial" w:cs="Arial"/>
          <w:sz w:val="20"/>
          <w:szCs w:val="20"/>
        </w:rPr>
        <w:t xml:space="preserve">Trainee </w:t>
      </w:r>
      <w:r>
        <w:rPr>
          <w:rFonts w:ascii="Arial" w:hAnsi="Arial" w:cs="Arial"/>
          <w:sz w:val="20"/>
          <w:szCs w:val="20"/>
        </w:rPr>
        <w:t>T</w:t>
      </w:r>
      <w:r w:rsidRPr="000B3824">
        <w:rPr>
          <w:rFonts w:ascii="Arial" w:hAnsi="Arial" w:cs="Arial"/>
          <w:sz w:val="20"/>
          <w:szCs w:val="20"/>
        </w:rPr>
        <w:t>eacher Signature</w:t>
      </w:r>
      <w:r>
        <w:rPr>
          <w:rFonts w:ascii="Arial" w:hAnsi="Arial" w:cs="Arial"/>
          <w:sz w:val="20"/>
          <w:szCs w:val="20"/>
        </w:rPr>
        <w:tab/>
        <w:t>............................................</w:t>
      </w:r>
      <w:r>
        <w:rPr>
          <w:rFonts w:ascii="Arial" w:hAnsi="Arial" w:cs="Arial"/>
          <w:sz w:val="20"/>
          <w:szCs w:val="20"/>
        </w:rPr>
        <w:tab/>
        <w:t>Date</w:t>
      </w:r>
      <w:r>
        <w:rPr>
          <w:rFonts w:ascii="Arial" w:hAnsi="Arial" w:cs="Arial"/>
          <w:sz w:val="20"/>
          <w:szCs w:val="20"/>
        </w:rPr>
        <w:tab/>
        <w:t>.....................</w:t>
      </w:r>
    </w:p>
    <w:p w:rsidR="000D0E74" w:rsidRPr="000B3824" w:rsidRDefault="000D0E74" w:rsidP="003B23BC">
      <w:pPr>
        <w:spacing w:after="0" w:line="240" w:lineRule="auto"/>
        <w:rPr>
          <w:rFonts w:ascii="Arial" w:hAnsi="Arial" w:cs="Arial"/>
          <w:sz w:val="20"/>
          <w:szCs w:val="20"/>
        </w:rPr>
      </w:pPr>
    </w:p>
    <w:sectPr w:rsidR="000D0E74" w:rsidRPr="000B3824" w:rsidSect="00457E6A">
      <w:headerReference w:type="default" r:id="rId8"/>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B0B" w:rsidRPr="0025553B" w:rsidRDefault="00D26B0B" w:rsidP="0025553B">
      <w:pPr>
        <w:spacing w:after="0" w:line="240" w:lineRule="auto"/>
      </w:pPr>
      <w:r>
        <w:separator/>
      </w:r>
    </w:p>
  </w:endnote>
  <w:endnote w:type="continuationSeparator" w:id="0">
    <w:p w:rsidR="00D26B0B" w:rsidRPr="0025553B" w:rsidRDefault="00D26B0B" w:rsidP="0025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B0B" w:rsidRPr="0025553B" w:rsidRDefault="00D26B0B" w:rsidP="0025553B">
      <w:pPr>
        <w:spacing w:after="0" w:line="240" w:lineRule="auto"/>
      </w:pPr>
      <w:r>
        <w:separator/>
      </w:r>
    </w:p>
  </w:footnote>
  <w:footnote w:type="continuationSeparator" w:id="0">
    <w:p w:rsidR="00D26B0B" w:rsidRPr="0025553B" w:rsidRDefault="00D26B0B" w:rsidP="00255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53B" w:rsidRDefault="003B23BC">
    <w:pPr>
      <w:pStyle w:val="Header"/>
    </w:pPr>
    <w:r>
      <w:t>PS1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32624"/>
    <w:multiLevelType w:val="hybridMultilevel"/>
    <w:tmpl w:val="FCAC1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885904"/>
    <w:multiLevelType w:val="hybridMultilevel"/>
    <w:tmpl w:val="D54A3076"/>
    <w:lvl w:ilvl="0" w:tplc="C65A165C">
      <w:start w:val="1"/>
      <w:numFmt w:val="bullet"/>
      <w:pStyle w:val="Bulletsstandard"/>
      <w:lvlText w:val=""/>
      <w:lvlJc w:val="left"/>
      <w:pPr>
        <w:tabs>
          <w:tab w:val="num" w:pos="-1341"/>
        </w:tabs>
        <w:ind w:left="-1341" w:hanging="360"/>
      </w:pPr>
      <w:rPr>
        <w:rFonts w:ascii="Wingdings" w:hAnsi="Wingdings" w:hint="default"/>
        <w:color w:val="auto"/>
      </w:rPr>
    </w:lvl>
    <w:lvl w:ilvl="1" w:tplc="08090005">
      <w:start w:val="1"/>
      <w:numFmt w:val="bullet"/>
      <w:lvlText w:val=""/>
      <w:lvlJc w:val="left"/>
      <w:pPr>
        <w:tabs>
          <w:tab w:val="num" w:pos="-828"/>
        </w:tabs>
        <w:ind w:left="-828" w:hanging="360"/>
      </w:pPr>
      <w:rPr>
        <w:rFonts w:ascii="Wingdings" w:hAnsi="Wingdings"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80"/>
    <w:rsid w:val="000563A3"/>
    <w:rsid w:val="00090A3F"/>
    <w:rsid w:val="000A36F5"/>
    <w:rsid w:val="000B3824"/>
    <w:rsid w:val="000B6F83"/>
    <w:rsid w:val="000D0E74"/>
    <w:rsid w:val="00104E12"/>
    <w:rsid w:val="001370D3"/>
    <w:rsid w:val="001573C5"/>
    <w:rsid w:val="001E4C24"/>
    <w:rsid w:val="001F4C4F"/>
    <w:rsid w:val="00235E26"/>
    <w:rsid w:val="0025553B"/>
    <w:rsid w:val="00270396"/>
    <w:rsid w:val="002B228F"/>
    <w:rsid w:val="002C70B0"/>
    <w:rsid w:val="00307C3C"/>
    <w:rsid w:val="00323974"/>
    <w:rsid w:val="0035202F"/>
    <w:rsid w:val="00367D2D"/>
    <w:rsid w:val="003A5FCF"/>
    <w:rsid w:val="003B23BC"/>
    <w:rsid w:val="0045001D"/>
    <w:rsid w:val="00457E6A"/>
    <w:rsid w:val="004D1079"/>
    <w:rsid w:val="00520651"/>
    <w:rsid w:val="00663CC2"/>
    <w:rsid w:val="0069468D"/>
    <w:rsid w:val="006C02A5"/>
    <w:rsid w:val="006F3172"/>
    <w:rsid w:val="006F621B"/>
    <w:rsid w:val="00705C7B"/>
    <w:rsid w:val="00896D78"/>
    <w:rsid w:val="0093557F"/>
    <w:rsid w:val="00971070"/>
    <w:rsid w:val="00992729"/>
    <w:rsid w:val="00A27800"/>
    <w:rsid w:val="00A37680"/>
    <w:rsid w:val="00A847E8"/>
    <w:rsid w:val="00AE26C4"/>
    <w:rsid w:val="00AF57C6"/>
    <w:rsid w:val="00B51220"/>
    <w:rsid w:val="00BD1CA9"/>
    <w:rsid w:val="00C43FD4"/>
    <w:rsid w:val="00C62E71"/>
    <w:rsid w:val="00C73BED"/>
    <w:rsid w:val="00CA3D3A"/>
    <w:rsid w:val="00CB13C1"/>
    <w:rsid w:val="00CB69C4"/>
    <w:rsid w:val="00D0779C"/>
    <w:rsid w:val="00D17249"/>
    <w:rsid w:val="00D26B0B"/>
    <w:rsid w:val="00D451E2"/>
    <w:rsid w:val="00E954D2"/>
    <w:rsid w:val="00ED67F1"/>
    <w:rsid w:val="00EE5CAC"/>
    <w:rsid w:val="00F323E7"/>
    <w:rsid w:val="00FB5F42"/>
    <w:rsid w:val="00FE7814"/>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23C582-941C-4BB1-BE1A-664A99DE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680"/>
    <w:pPr>
      <w:ind w:left="720"/>
      <w:contextualSpacing/>
    </w:pPr>
  </w:style>
  <w:style w:type="character" w:customStyle="1" w:styleId="UnnumberedparagraphChar">
    <w:name w:val="Unnumbered paragraph Char"/>
    <w:basedOn w:val="DefaultParagraphFont"/>
    <w:link w:val="Unnumberedparagraph"/>
    <w:locked/>
    <w:rsid w:val="00A37680"/>
    <w:rPr>
      <w:rFonts w:ascii="Tahoma" w:hAnsi="Tahoma" w:cs="Tahoma"/>
      <w:color w:val="000000"/>
      <w:sz w:val="24"/>
      <w:szCs w:val="24"/>
    </w:rPr>
  </w:style>
  <w:style w:type="paragraph" w:customStyle="1" w:styleId="Unnumberedparagraph">
    <w:name w:val="Unnumbered paragraph"/>
    <w:basedOn w:val="Normal"/>
    <w:link w:val="UnnumberedparagraphChar"/>
    <w:rsid w:val="00A37680"/>
    <w:pPr>
      <w:spacing w:after="240" w:line="240" w:lineRule="auto"/>
    </w:pPr>
    <w:rPr>
      <w:rFonts w:ascii="Tahoma" w:hAnsi="Tahoma" w:cs="Tahoma"/>
      <w:color w:val="000000"/>
      <w:sz w:val="24"/>
      <w:szCs w:val="24"/>
    </w:rPr>
  </w:style>
  <w:style w:type="character" w:customStyle="1" w:styleId="Tabletext-leftChar">
    <w:name w:val="Table text - left Char"/>
    <w:basedOn w:val="UnnumberedparagraphChar"/>
    <w:link w:val="Tabletext-left"/>
    <w:uiPriority w:val="99"/>
    <w:locked/>
    <w:rsid w:val="00A37680"/>
    <w:rPr>
      <w:rFonts w:ascii="Tahoma" w:hAnsi="Tahoma" w:cs="Tahoma"/>
      <w:color w:val="000000"/>
      <w:sz w:val="24"/>
      <w:szCs w:val="24"/>
    </w:rPr>
  </w:style>
  <w:style w:type="paragraph" w:customStyle="1" w:styleId="Tabletext-left">
    <w:name w:val="Table text - left"/>
    <w:basedOn w:val="Unnumberedparagraph"/>
    <w:link w:val="Tabletext-leftChar"/>
    <w:uiPriority w:val="99"/>
    <w:rsid w:val="00A37680"/>
    <w:pPr>
      <w:spacing w:before="60" w:after="60"/>
      <w:contextualSpacing/>
    </w:pPr>
  </w:style>
  <w:style w:type="paragraph" w:customStyle="1" w:styleId="Bulletsstandard">
    <w:name w:val="Bullets (standard)"/>
    <w:basedOn w:val="Normal"/>
    <w:rsid w:val="00A37680"/>
    <w:pPr>
      <w:numPr>
        <w:numId w:val="1"/>
      </w:numPr>
      <w:spacing w:after="0" w:line="240" w:lineRule="auto"/>
    </w:pPr>
    <w:rPr>
      <w:rFonts w:ascii="Tahoma" w:eastAsia="Times New Roman" w:hAnsi="Tahoma" w:cs="Times New Roman"/>
      <w:color w:val="000000"/>
      <w:sz w:val="24"/>
      <w:szCs w:val="24"/>
    </w:rPr>
  </w:style>
  <w:style w:type="paragraph" w:customStyle="1" w:styleId="Tabletextbullet">
    <w:name w:val="Table text bullet"/>
    <w:basedOn w:val="Bulletsstandard"/>
    <w:uiPriority w:val="99"/>
    <w:rsid w:val="00A37680"/>
    <w:pPr>
      <w:numPr>
        <w:numId w:val="0"/>
      </w:numPr>
      <w:tabs>
        <w:tab w:val="left" w:pos="567"/>
      </w:tabs>
      <w:spacing w:before="60" w:after="60"/>
      <w:ind w:left="927" w:hanging="360"/>
      <w:contextualSpacing/>
    </w:pPr>
    <w:rPr>
      <w:sz w:val="22"/>
    </w:rPr>
  </w:style>
  <w:style w:type="table" w:styleId="TableGrid">
    <w:name w:val="Table Grid"/>
    <w:basedOn w:val="TableNormal"/>
    <w:uiPriority w:val="59"/>
    <w:rsid w:val="004D1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AF57C6"/>
    <w:pPr>
      <w:spacing w:after="0" w:line="240" w:lineRule="auto"/>
      <w:ind w:firstLine="360"/>
    </w:pPr>
    <w:rPr>
      <w:rFonts w:ascii="Times New Roman" w:eastAsia="Times New Roman" w:hAnsi="Times New Roman" w:cs="Times New Roman"/>
      <w:lang w:eastAsia="en-GB" w:bidi="en-US"/>
    </w:rPr>
  </w:style>
  <w:style w:type="paragraph" w:styleId="BalloonText">
    <w:name w:val="Balloon Text"/>
    <w:basedOn w:val="Normal"/>
    <w:link w:val="BalloonTextChar"/>
    <w:uiPriority w:val="99"/>
    <w:semiHidden/>
    <w:unhideWhenUsed/>
    <w:rsid w:val="00D07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79C"/>
    <w:rPr>
      <w:rFonts w:ascii="Tahoma" w:hAnsi="Tahoma" w:cs="Tahoma"/>
      <w:sz w:val="16"/>
      <w:szCs w:val="16"/>
    </w:rPr>
  </w:style>
  <w:style w:type="paragraph" w:styleId="BodyText">
    <w:name w:val="Body Text"/>
    <w:basedOn w:val="Normal"/>
    <w:link w:val="BodyTextChar"/>
    <w:rsid w:val="00D0779C"/>
    <w:pPr>
      <w:widowControl w:val="0"/>
      <w:autoSpaceDE w:val="0"/>
      <w:autoSpaceDN w:val="0"/>
      <w:adjustRightInd w:val="0"/>
      <w:spacing w:after="0" w:line="240" w:lineRule="auto"/>
    </w:pPr>
    <w:rPr>
      <w:rFonts w:ascii="Arial" w:eastAsia="Times New Roman" w:hAnsi="Arial" w:cs="Arial"/>
      <w:sz w:val="24"/>
      <w:szCs w:val="38"/>
    </w:rPr>
  </w:style>
  <w:style w:type="character" w:customStyle="1" w:styleId="BodyTextChar">
    <w:name w:val="Body Text Char"/>
    <w:basedOn w:val="DefaultParagraphFont"/>
    <w:link w:val="BodyText"/>
    <w:rsid w:val="00D0779C"/>
    <w:rPr>
      <w:rFonts w:ascii="Arial" w:eastAsia="Times New Roman" w:hAnsi="Arial" w:cs="Arial"/>
      <w:sz w:val="24"/>
      <w:szCs w:val="38"/>
    </w:rPr>
  </w:style>
  <w:style w:type="paragraph" w:styleId="Header">
    <w:name w:val="header"/>
    <w:basedOn w:val="Normal"/>
    <w:link w:val="HeaderChar"/>
    <w:uiPriority w:val="99"/>
    <w:semiHidden/>
    <w:unhideWhenUsed/>
    <w:rsid w:val="002555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5553B"/>
  </w:style>
  <w:style w:type="paragraph" w:styleId="Footer">
    <w:name w:val="footer"/>
    <w:basedOn w:val="Normal"/>
    <w:link w:val="FooterChar"/>
    <w:uiPriority w:val="99"/>
    <w:semiHidden/>
    <w:unhideWhenUsed/>
    <w:rsid w:val="002555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55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9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PorterA</dc:creator>
  <cp:lastModifiedBy>David Mather</cp:lastModifiedBy>
  <cp:revision>2</cp:revision>
  <cp:lastPrinted>2012-08-09T11:00:00Z</cp:lastPrinted>
  <dcterms:created xsi:type="dcterms:W3CDTF">2019-03-22T10:10:00Z</dcterms:created>
  <dcterms:modified xsi:type="dcterms:W3CDTF">2019-03-22T10:10:00Z</dcterms:modified>
</cp:coreProperties>
</file>