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fixed monitoring stations and multiple pollutant and meteorological variables [2]. A subsequent study evaluated AI-based PM2.5 forecasting for HCMC over multiple horizons [3]. These studies justify the use of a local historical station data source and a forecasting layer. AIRPATH-AI does not ingest consumer air-quality apps; the empirical inputs are the six HealthyAir stations.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fixed monitoring stations, covering 23 February 2021 21:00 to 21 June 2022 17:00. Rakholia et al. [2] describe minute collection; the file analyzed here is hourly. Variables include PM2.5, TSP, O</w:t>
      </w:r>
      <w:r>
        <w:rPr>
          <w:vertAlign w:val="subscript"/>
        </w:rPr>
      </w:r>
      <w:r>
        <w:rPr/>
      </w:r>
      <w:r>
        <w:rPr>
          <w:vertAlign w:val="subscript"/>
        </w:rPr>
      </w:r>
      <w:r>
        <w:rPr/>
      </w:r>
      <w:r>
        <w:rPr>
          <w:vertAlign w:val="subscript"/>
        </w:rPr>
      </w:r>
      <w:r>
        <w:rPr/>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 Importantly, these are direct station observations, not values scraped from third-party air-quality apps. Off-station road locations are estimated by IDW and therefore remain model-based rather than independently measured.</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and 17:10 both map to 18:00. This ceiling rule matches the native hourly cadence of the station archive and keeps Method A/B comparable under a frozen assignment. It also limits temporal sensitivity: arrivals a few minutes apart can share one bucket. Sub-hourly refresh or minute-level interpolation would require denser observations than the present six-station hourly file and is left as future work.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Where a binomial test appears (Gap 2), it is used only to reject a “common cleaner detour” claim, not to assert a beneficial routing effect. Formulas for the Wilson interval and the binomial test are given in Appendix A.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(Method A vs Method B).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Method A↔B route-selection changes (δ &gt; 0)</w:t>
            </w:r>
          </w:p>
        </w:tc>
        <w:tc>
          <w:tcPr>
            <w:tcW w:type="dxa" w:w="1655"/>
          </w:tcPr>
          <w:p>
            <w:r>
              <w:t>19/300 (6.33%)</w:t>
            </w:r>
          </w:p>
        </w:tc>
        <w:tc>
          <w:tcPr>
            <w:tcW w:type="dxa" w:w="1800"/>
          </w:tcPr>
          <w:p>
            <w:r>
              <w:t>20/1,500 (1.33%)</w:t>
            </w:r>
          </w:p>
        </w:tc>
      </w:tr>
      <w:tr>
        <w:tc>
          <w:tcPr>
            <w:tcW w:type="dxa" w:w="1368"/>
          </w:tcPr>
          <w:p>
            <w:r>
              <w:t>Mean oracle exposure gain when selection differs</w:t>
            </w:r>
          </w:p>
        </w:tc>
        <w:tc>
          <w:tcPr>
            <w:tcW w:type="dxa" w:w="1655"/>
          </w:tcPr>
          <w:p>
            <w:r>
              <w:t>≈0.11%</w:t>
            </w:r>
          </w:p>
        </w:tc>
        <w:tc>
          <w:tcPr>
            <w:tcW w:type="dxa" w:w="1800"/>
          </w:tcPr>
          <w:p>
            <w:r>
              <w:t>≈0.02%</w:t>
            </w:r>
          </w:p>
        </w:tc>
      </w:tr>
      <w:tr>
        <w:tc>
          <w:tcPr>
            <w:tcW w:type="dxa" w:w="1368"/>
          </w:tcPr>
          <w:p>
            <w:r>
              <w:t>Route-selection changes at 12:00 / 17:00 /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 (feasible slower &amp; lower-exposure alternatives vs the fastest route).</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r>
              <w:t>Cases with ≥1 feasible slower &amp; lower-exposure alternative (vs fastest)</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r>
              <w:t>Maximum modeled exposure reduction (vs fastest)</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Unlike Table IV, which counts Method A↔B route-selection changes, Table V counts trade-offs relative to the fastest route under the absolute time budget.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(Appendix A).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4016501"/>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4016501"/>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stations—not consumer air-quality apps—and therefore cannot establish minute-level road-segment ground truth; off-station PM2.5 remains an IDW estimate. Second, the spatial field and the oracle depend on IDW interpolation, so the oracle is not an independent road-level reference; objective off-station comparison would require co-located measurements (for example mobile sensors or carefully controlled multi-source checks), which this pilot does not include.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 Conclusions are therefore scoped to this pilot setting rather than to all HCMC trips or all times of day.</w:t>
      </w:r>
    </w:p>
    <w:p>
      <w:pPr>
        <w:pStyle w:val="IEEEBody"/>
        <w:ind w:firstLine="216"/>
      </w:pPr>
      <w:r>
        <w:t>The most direct future step is to collect GPS-tagged mobile PM2.5 observations with synchronized timestamps and coordinates, and—where useful—to compare those readings with independent sources (including other apps or instruments) at the same location. This would allow a more objective check of off-station estimates, finer spatial/temporal validation, and a direct test of whether sub-hourly arrival-time assignment can increase temporal sensitivity beyond the present hourly ceiling (for example, avoiding mapping both 17:05 and 17:10 to 18:00). A second step is to widen the OD panel across more calendar days and hours and to include trips shorter than 2 km and longer than 6 km, while keeping the same frozen selection rule for fair comparison. A third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Route-selection changes are uncommon: 19/300 (6.33%) in P0-2A and 20/1,500 (1.33%) in P0-2B, with zero changes at 12:00, 17:00, and 20:00; the conclusion is MIXED/WEAK. Gap 2 finds 43/1,500 (2.87%) cases with a feasible slower lower-exposure alternative, with a maximum modeled reduction of 0.831%. These quantitative statements apply to the seeded 2–6 km, stations 2–6 hull panel under hourly six-station HealthyAir inputs; they are not claims about all HCMC routes, consumer-app PM2.5 feeds, or sub-hourly road truth.</w:t>
      </w:r>
    </w:p>
    <w:p>
      <w:pPr>
        <w:pStyle w:val="IEEEBody"/>
        <w:ind w:firstLine="216"/>
      </w:pPr>
      <w:r>
        <w:t>Accordingly, AIRPATH-AI should be interpreted as a transparent decision-support and route-comparison framework under sparse, hourly HCMC station data and the stated sample limits.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ind w:firstLine="216"/>
      </w:pPr>
      <w:r>
        <w:t>APPENDIX A</w:t>
      </w:r>
    </w:p>
    <w:p>
      <w:pPr>
        <w:pStyle w:val="IEEEHead1"/>
        <w:ind w:firstLine="216"/>
      </w:pPr>
      <w:r>
        <w:t>WILSON CONFIDENCE INTERVAL AND BINOMIAL TEST</w:t>
      </w:r>
    </w:p>
    <w:p>
      <w:pPr>
        <w:pStyle w:val="IEEEBody"/>
        <w:ind w:firstLine="216"/>
      </w:pPr>
      <w:r>
        <w:t>This appendix records the two elementary statistical calculations used for transparency in Gap 1/Gap 2. They do not change the frozen experimental counts.</w:t>
      </w:r>
    </w:p>
    <w:p>
      <w:pPr>
        <w:pStyle w:val="IEEEBody"/>
        <w:ind w:firstLine="216"/>
      </w:pPr>
      <w:r>
        <w:t>A. Wilson score 95% confidence interval for a proportion</w:t>
      </w:r>
    </w:p>
    <w:p>
      <w:pPr>
        <w:pStyle w:val="IEEEBody"/>
        <w:ind w:firstLine="216"/>
      </w:pPr>
      <w:r>
        <w:t>Let k be the number of positive events in n trials and let p̂ = k/n. For a two-sided (1−α) level with z = z_{1−α/2} (z = 1.96 when α = 0.05), the Wilson score interval is</w:t>
      </w:r>
    </w:p>
    <w:p>
      <w:pPr>
        <w:pStyle w:val="IEEEBody"/>
        <w:ind w:firstLine="216"/>
      </w:pPr>
      <w:r>
        <w:t>[ p̂ + z²/(2n) ± z √( p̂(1−p̂)/n + z²/(4n²) ) ] / [ 1 + z²/n ].</w:t>
      </w:r>
    </w:p>
    <w:p>
      <w:pPr>
        <w:pStyle w:val="IEEEBody"/>
        <w:ind w:firstLine="216"/>
      </w:pPr>
      <w:r>
        <w:t>Example (Gap 2): k = 43, n = 1,500, p̂ = 0.02867 yields the reported 95% interval 2.14–3.84%. The same formula is used for the Gap 1 rates 19/300 and 20/1,500. The interval assumes a Bernoulli approximation and is reported for transparency; it is not design-based survey inference for all HCMC travelers.</w:t>
      </w:r>
    </w:p>
    <w:p>
      <w:pPr>
        <w:pStyle w:val="IEEEBody"/>
        <w:ind w:firstLine="216"/>
      </w:pPr>
      <w:r>
        <w:t>B. One-sided binomial test</w:t>
      </w:r>
    </w:p>
    <w:p>
      <w:pPr>
        <w:pStyle w:val="IEEEBody"/>
        <w:ind w:firstLine="216"/>
      </w:pPr>
      <w:r>
        <w:t>For Gap 2 only, let X ~ Binomial(n, p) under a null rate p = p₀. A one-sided test of H₀: p ≥ p₀ versus H₁: p &lt; p₀ uses the lower-tail probability P(X ≤ k | n, p₀) = Σ_{i=0}^{k} C(n,i) p₀^i (1−p₀)^{n−i}. With n = 1,500 and k = 43, the paper reports rejection of p₀ = 0.10 and of p₀ = 0.05. The test is used solely to reject a “common cleaner detour” claim; it is not used to claim a beneficial routing effect.</w:t>
      </w:r>
    </w:p>
    <w:p>
      <w:pPr>
        <w:pStyle w:val="IEEEBody"/>
        <w:ind w:firstLine="216"/>
      </w:pPr>
      <w:r>
        <w:t>C. Terminology note for Tables IV and V</w:t>
      </w:r>
    </w:p>
    <w:p>
      <w:pPr>
        <w:pStyle w:val="IEEEBody"/>
        <w:ind w:firstLine="216"/>
      </w:pPr>
      <w:r>
        <w:t>Table IV counts Method A↔B route-selection changes under identical candidates and time budgets. Table V counts whether a feasible alternative is both slower and lower-exposure than the fastest route. The two tables answer different questions and must not be read as interchangeable rates.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