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Le Minh Duc¹ and Tran Duong Minh Tam¹</w:t>
      </w:r>
    </w:p>
    <w:p>
      <w:pPr>
        <w:spacing w:after="100"/>
        <w:jc w:val="center"/>
      </w:pPr>
      <w:r>
        <w:rPr>
          <w:rFonts w:ascii="Times New Roman" w:hAnsi="Times New Roman"/>
          <w:sz w:val="19"/>
        </w:rPr>
        <w:t>¹High School for the Gifted, Vietnam National University,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w:t>
      </w:r>
      <w:r>
        <w:rPr>
          <w:vertAlign w:val="subscript"/>
        </w:rPr>
        <w:t>3</w:t>
      </w:r>
      <w:r>
        <w:rPr/>
        <w:t>, CO, NO</w:t>
      </w:r>
      <w:r>
        <w:rPr>
          <w:vertAlign w:val="subscript"/>
        </w:rPr>
        <w:t>2</w:t>
      </w:r>
      <w:r>
        <w:rPr/>
        <w:t>, SO</w:t>
      </w:r>
      <w:r>
        <w:rPr>
          <w:vertAlign w:val="subscript"/>
        </w:rPr>
        <w:t>2</w:t>
      </w:r>
      <w:r>
        <w:rPr/>
        <w:t>,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0" w:after="0"/>
      </w:pPr>
      <w:r>
        <w:br w:type="page"/>
      </w:r>
    </w:p>
    <w:p>
      <w:r/>
    </w:p>
    <w:p>
      <w:r>
        <w:br w:type="page"/>
      </w:r>
    </w:p>
    <w:p>
      <w:pPr>
        <w:spacing w:before="40" w:after="20"/>
        <w:jc w:val="center"/>
      </w:pPr>
      <w:r>
        <w:drawing>
          <wp:inline xmlns:a="http://schemas.openxmlformats.org/drawingml/2006/main" xmlns:pic="http://schemas.openxmlformats.org/drawingml/2006/picture">
            <wp:extent cx="5943600" cy="3729608"/>
            <wp:docPr id="2" name="Picture 2"/>
            <wp:cNvGraphicFramePr>
              <a:graphicFrameLocks noChangeAspect="1"/>
            </wp:cNvGraphicFramePr>
            <a:graphic>
              <a:graphicData uri="http://schemas.openxmlformats.org/drawingml/2006/picture">
                <pic:pic>
                  <pic:nvPicPr>
                    <pic:cNvPr id="0" name="image2.jpeg"/>
                    <pic:cNvPicPr/>
                  </pic:nvPicPr>
                  <pic:blipFill>
                    <a:blip r:embed="rId11"/>
                    <a:stretch>
                      <a:fillRect/>
                    </a:stretch>
                  </pic:blipFill>
                  <pic:spPr>
                    <a:xfrm>
                      <a:off x="0" y="0"/>
                      <a:ext cx="5943600" cy="3729608"/>
                    </a:xfrm>
                    <a:prstGeom prst="rect"/>
                  </pic:spPr>
                </pic:pic>
              </a:graphicData>
            </a:graphic>
          </wp:inline>
        </w:drawing>
      </w:r>
    </w:p>
    <w:p>
      <w:pPr>
        <w:pStyle w:val="IEEECaption"/>
      </w:pPr>
      <w:r>
        <w:t>Fig. 2. AIRPATH-AI web prototype (motorbike, evening-peak demo window, +5 min): Hẻm Cao Thắng · Hòa Hưng to Khu phố 11 · Phú Lâm. High-resolution interface screenshot; the three-session control is a demo congestion proxy only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