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Lê Minh Đức and Trần Dương Minh Tâm</w:t>
      </w:r>
    </w:p>
    <w:p>
      <w:pPr>
        <w:spacing w:after="100"/>
        <w:jc w:val="center"/>
      </w:pPr>
      <w:r>
        <w:rPr>
          <w:rFonts w:ascii="Times New Roman" w:hAnsi="Times New Roman"/>
          <w:sz w:val="19"/>
        </w:rPr>
        <w:t>High School for the Gifted, Vietnam National University Ho Chi Minh City,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monitoring stations and multiple pollutant and meteorological variables [2]. A subsequent study evaluated AI-based PM2.5 forecasting for HCMC over multiple horizons [3]. These studies justify the use of a local historical data source and a forecasting layer.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4069080"/>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4069080"/>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stations, covering 23 February 2021 21:00 to 21 June 2022 17:00. Rakholia et al. [2] describe minute collection; the file analyzed here is hourly. Variables include PM2.5, TSP, O3, CO, NO2, SO2,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w:t>
      </w:r>
    </w:p>
    <w:p>
      <w:pPr>
        <w:pStyle w:val="IEEECaption"/>
      </w:pPr>
      <w:r>
        <w:t>TABLE I. Summary of the HealthyAir HCMC dataset.</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p>
      <w:pPr>
        <w:pStyle w:val="IEEECaption"/>
      </w:pPr>
      <w:r>
        <w:t>TABLE II. Validation MAE / RMSE / R² for Persistence and Current-PM XGBoost (+1 h, +2 h, and +3 h).</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p>
      <w:pPr>
        <w:pStyle w:val="IEEECaption"/>
      </w:pPr>
      <w:r>
        <w:t>TABLE III. Development evaluation of spatial estimation methods.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maps to 18:00.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 xml:space="preserve">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p>
      <w:pPr>
        <w:pStyle w:val="IEEECaption"/>
      </w:pPr>
      <w:r>
        <w:t>TABLE IV. Gap 1 temporal-assignment comparison; all counts exclude δ = 0, which leaves only the fastest route.</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Route changes (δ &gt; 0)</w:t>
            </w:r>
          </w:p>
        </w:tc>
        <w:tc>
          <w:tcPr>
            <w:tcW w:type="dxa" w:w="1655"/>
          </w:tcPr>
          <w:p>
            <w:r>
              <w:t>19/300 (6.33%)</w:t>
            </w:r>
          </w:p>
        </w:tc>
        <w:tc>
          <w:tcPr>
            <w:tcW w:type="dxa" w:w="1800"/>
          </w:tcPr>
          <w:p>
            <w:r>
              <w:t>20/1,500 (1.33%)</w:t>
            </w:r>
          </w:p>
        </w:tc>
      </w:tr>
      <w:tr>
        <w:tc>
          <w:tcPr>
            <w:tcW w:type="dxa" w:w="1368"/>
          </w:tcPr>
          <w:p>
            <w:r>
              <w:t>Oracle gain when route differs</w:t>
            </w:r>
          </w:p>
        </w:tc>
        <w:tc>
          <w:tcPr>
            <w:tcW w:type="dxa" w:w="1655"/>
          </w:tcPr>
          <w:p>
            <w:r>
              <w:t>≈0.11%</w:t>
            </w:r>
          </w:p>
        </w:tc>
        <w:tc>
          <w:tcPr>
            <w:tcW w:type="dxa" w:w="1800"/>
          </w:tcPr>
          <w:p>
            <w:r>
              <w:t>≈0.02%</w:t>
            </w:r>
          </w:p>
        </w:tc>
      </w:tr>
      <w:tr>
        <w:tc>
          <w:tcPr>
            <w:tcW w:type="dxa" w:w="1368"/>
          </w:tcPr>
          <w:p>
            <w:r>
              <w:t>12:00, 17:00,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p>
      <w:pPr>
        <w:pStyle w:val="IEEECaption"/>
      </w:pPr>
      <w:r>
        <w:t>TABLE V. Gap 2 exhaustive trade-off audit.</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pPr>
              <w:spacing w:after="0"/>
              <w:jc w:val="left"/>
            </w:pPr>
            <w:r/>
            <w:r>
              <w:rPr>
                <w:rFonts w:ascii="Times New Roman" w:hAnsi="Times New Roman" w:eastAsia="Times New Roman"/>
                <w:b w:val="0"/>
                <w:sz w:val="16"/>
              </w:rPr>
              <w:t>Cases with ≥1 feasible lower-exposure alternative</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pPr>
              <w:spacing w:after="0"/>
              <w:jc w:val="left"/>
            </w:pPr>
            <w:r/>
            <w:r>
              <w:rPr>
                <w:rFonts w:ascii="Times New Roman" w:hAnsi="Times New Roman" w:eastAsia="Times New Roman"/>
                <w:b w:val="0"/>
                <w:sz w:val="16"/>
              </w:rPr>
              <w:t>Maximum modeled exposure reduction</w:t>
            </w:r>
          </w:p>
        </w:tc>
        <w:tc>
          <w:tcPr>
            <w:tcW w:type="dxa" w:w="1512"/>
            <w:vAlign w:val="center"/>
          </w:tcPr>
          <w:p>
            <w:pPr>
              <w:spacing w:after="0"/>
              <w:jc w:val="center"/>
            </w:pPr>
            <w:r/>
            <w:r>
              <w:rPr>
                <w:rFonts w:ascii="Times New Roman" w:hAnsi="Times New Roman" w:eastAsia="Times New Roman"/>
                <w:b w:val="0"/>
                <w:sz w:val="16"/>
              </w:rPr>
              <w:t>0.831%</w:t>
            </w:r>
          </w:p>
        </w:tc>
      </w:tr>
    </w:tbl>
    <w:p>
      <w:pPr>
        <w:pStyle w:val="IEEEBody"/>
        <w:ind w:firstLine="216"/>
      </w:pPr>
      <w:r>
        <w:t>Only 43 of 1,500 cases contain at least one feasible alternative that is both slower and lower-exposure than the fastest route (2.87%; Wilson 95% CI 2.14–3.84%).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40" w:after="20"/>
        <w:jc w:val="center"/>
      </w:pPr>
      <w:r>
        <w:drawing>
          <wp:inline xmlns:a="http://schemas.openxmlformats.org/drawingml/2006/main" xmlns:pic="http://schemas.openxmlformats.org/drawingml/2006/picture">
            <wp:extent cx="2971800" cy="1352169"/>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2971800" cy="1352169"/>
                    </a:xfrm>
                    <a:prstGeom prst="rect"/>
                  </pic:spPr>
                </pic:pic>
              </a:graphicData>
            </a:graphic>
          </wp:inline>
        </w:drawing>
      </w:r>
    </w:p>
    <w:p>
      <w:pPr>
        <w:pStyle w:val="IEEECaption"/>
      </w:pPr>
      <w:r>
        <w:t>Fig. 2. AIRPATH-AI web prototype screenshot (motorbike, evening-peak demo window) for Hẻm Cao Thắng · Hòa Hưng to Khu phố 11 · Phú Lâm. The three-session control is a demo congestion proxy only; it is not Gap 1 or Gap 2.</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In the screenshot of Fig. 2 (evening-peak demo window, +5 min budget), the fastest motorbike route is 15.5 min with predicted exposure 739 (µg/m³)·min, and alternative 1 is 16.4 min with 514 (µg/m³)·min (about 30% lower on the demo scale). These values are demonstration outputs only. They are not panel-level Gap 1 or Gap 2 statistics, are not on-road measurements, and must not be cited as evidence that evening peak changes the scientific selection result.</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 and therefore cannot establish minute-level road-segment ground truth. Second, the spatial field and the oracle depend on IDW interpolation, so the oracle is not an independent road-level reference.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w:t>
      </w:r>
    </w:p>
    <w:p>
      <w:pPr>
        <w:pStyle w:val="IEEEBody"/>
        <w:ind w:firstLine="216"/>
      </w:pPr>
      <w:r>
        <w:t>The most direct future step is to collect GPS-tagged mobile PM2.5 observations with synchronized timestamps and coordinates. This would allow finer spatial and temporal validation and a direct test of whether sub-hourly arrival-time assignment can produce a stronger route-selection effect. A second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 changes are uncommon: 19/300 (6.33%) in P0-2A and 20/1,500 (1.33%) in P0-2B, with zero changes at 12:00, 17:00, and 20:00; the conclusion is MIXED/WEAK. Gap 2 finds 43/1,500 (2.87%) cases with a feasible slower lower-exposure alternative, with a maximum modeled reduction of 0.831%.</w:t>
      </w:r>
    </w:p>
    <w:p>
      <w:pPr>
        <w:pStyle w:val="IEEEBody"/>
        <w:ind w:firstLine="216"/>
      </w:pPr>
      <w:r>
        <w:t>Accordingly, AIRPATH-AI should be interpreted as a transparent decision-support and route-comparison framework under sparse, hourly HCMC data.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