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1621801"/>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1621801"/>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Caption"/>
      </w:pPr>
      <w:r>
        <w:t>TABLE I. Summary of the HealthyAir HCMC dataset.</w:t>
      </w:r>
    </w:p>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pStyle w:val="IEEECaption"/>
      </w:pPr>
      <w:r>
        <w:t>TABLE II. Validation MAE / RMSE / R² for Persistence and Current-PM XGBoost (+1 h, +2 h, and +3 h).</w:t>
      </w:r>
    </w:p>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Caption"/>
      </w:pPr>
      <w:r>
        <w:t>TABLE III. Development evaluation of spatial estimation methods.</w:t>
      </w:r>
    </w:p>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Caption"/>
      </w:pPr>
      <w:r>
        <w:t>TABLE IV. Gap 1 temporal-assignment comparison; all counts exclude δ = 0, which leaves only the fastest route.</w:t>
      </w:r>
    </w:p>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Caption"/>
      </w:pPr>
      <w:r>
        <w:t>TABLE V. Gap 2 exhaustive trade-off audit.</w:t>
      </w:r>
    </w:p>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193138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1931380"/>
                    </a:xfrm>
                    <a:prstGeom prst="rect"/>
                  </pic:spPr>
                </pic:pic>
              </a:graphicData>
            </a:graphic>
          </wp:inline>
        </w:drawing>
      </w:r>
    </w:p>
    <w:p>
      <w:pPr>
        <w:pStyle w:val="IEEECaption"/>
      </w:pPr>
      <w:r>
        <w:t>Fig. 2. AIRPATH-AI web prototype for a motorbike scenario, including the three-window demo congestion control.</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A representative interface case may show, for example, approximately 15.5 min and exposure 696–739 for the fastest motorbike route versus approximately 16.4 min and 490–514 for one alternative, depending on the selected demonstration window. These values are demonstration outputs only. They are not panel-level experimental statistics, are not direct on-road measurements, and are not evidence for Gap 1 or Gap 2.</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