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Lê Minh Đức and Trần Dương Minh Tâm</w:t>
      </w:r>
    </w:p>
    <w:p>
      <w:pPr>
        <w:spacing w:after="100"/>
        <w:jc w:val="center"/>
      </w:pPr>
      <w:r>
        <w:rPr>
          <w:rFonts w:ascii="Times New Roman" w:hAnsi="Times New Roman"/>
          <w:sz w:val="19"/>
        </w:rPr>
        <w:t>High School for the Gifted, Vietnam National University Ho Chi Minh City, Ho Chi Minh City, Vietnam</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monitoring stations and multiple pollutant and meteorological variables [2]. A subsequent study evaluated AI-based PM2.5 forecasting for HCMC over multiple horizons [3]. These studies justify the use of a local historical data source and a forecasting layer.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1621801"/>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1621801"/>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stations, covering 23 February 2021 21:00 to 21 June 2022 17:00. Rakholia et al. [2] describe minute collection; the file analyzed here is hourly. Variables include PM2.5, TSP, O3, CO, NO2, SO2,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Caption"/>
      </w:pPr>
      <w:r>
        <w:t>TABLE I. Summary of the HealthyAir HCMC dataset.</w:t>
      </w:r>
    </w:p>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pStyle w:val="IEEECaption"/>
      </w:pPr>
      <w:r>
        <w:t>TABLE II. Validation MAE / RMSE / R² for Persistence and Current-PM XGBoost (+1 h, +2 h, and +3 h).</w:t>
      </w:r>
    </w:p>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Caption"/>
      </w:pPr>
      <w:r>
        <w:t>TABLE III. Development evaluation of spatial estimation methods.</w:t>
      </w:r>
    </w:p>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maps to 18:00.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pStyle w:val="IEEEHead2"/>
      </w:pPr>
      <w:r>
        <w:t>H. Origin–Destination Sampling and Statistical Units</w:t>
      </w:r>
    </w:p>
    <w:p>
      <w:pPr>
        <w:pStyle w:val="IEEEBody"/>
        <w:ind w:firstLine="216"/>
      </w:pPr>
      <w:r>
        <w:t xml:space="preserve">The 30 origin–destination (OD) pairs are not a purposeful shortlist of interesting streets, nor a random sample of all Ho Chi Minh City trips. They were generated by seeded uniform rejection sampling (NumPy Generator seed 42) inside the convex hull of HealthyAir stations 2–6 (approximately 54.9 km²). Candidate coordinates were drawn uniformly in the bounding box, retained only if both endpoints lay inside the pilot polygon, and further required a straight-line separation of 2–6 km. The realized distances range from 2.29 km to 5.65 km (mean 3.50 km). The same 30 pairs are reused in P0-2A, P0-2B, and Gap 2 so that temporal assignment can be isolated from OD redraw. The panel therefore represents walkable/motorbike trips inside the five-station inner-city hull; it does not represent suburban HCMC, the distant Station-1 industry/university area, or city-wide geographic diversity. Distance-stratified web-demo subsets (8 of 30) are a display choice and are not the experimental panel.</w:t>
      </w:r>
    </w:p>
    <w:p>
      <w:pPr>
        <w:pStyle w:val="IEEEBody"/>
        <w:ind w:firstLine="216"/>
      </w:pPr>
      <w:r>
        <w:t xml:space="preserve">The primary unit of analysis is an OD × mode × extra-time-budget cell, and, in P0-2B, that cell crossed with departure clock time. These cells are not independent: the five positive δ values share the same candidate set, and walking/motorbike share the same endpoints. Counts and percentages are therefore descriptive of the designed panel, not of a simple random sample of HCMC travelers. Wilson 95% confidence intervals are reported as a transparency device under a Bernoulli approximation and should not be read as design-based survey inference. No p-value is used to claim a beneficial routing effect.</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the 30 seeded in-polygon OD pairs, two modes, and five positive budgets {1, 2, 3, 5, 10} min at 2022-02-28 06:00. This produces 30 × 2 × 5 = 300 nontrivial cases (δ &gt; 0). Spearman rank correlation between Method A and Method B is 0.992. The selected route changes in 19/300 cases, or 6.33% (Wilson 95% CI 4.09–9.68%): 9/150 for walking and 10/150 for motorbike. The mean oracle improvement when the selected route differs is approximately 0.11%.</w:t>
      </w:r>
    </w:p>
    <w:p>
      <w:pPr>
        <w:pStyle w:val="IEEEHead2"/>
      </w:pPr>
      <w:r>
        <w:t>B. P0-2B</w:t>
      </w:r>
    </w:p>
    <w:p>
      <w:pPr>
        <w:pStyle w:val="IEEEBody"/>
        <w:ind w:firstLine="216"/>
      </w:pPr>
      <w:r>
        <w:t>P0-2B holds the same 30 OD pairs and changes the observation clock on 2022-02-27: 06:00, 08:00, 12:00, 17:00, and 20:00. This is a limited date/time robustness check against diurnal confounding, not a multi-week calendar sample. 2022-02-27 is used because 2022-02-28 lacks complete Station-4 +1/+2/+3 h tables. This produces 30 × 2 × 5 × 5 = 1,500 nontrivial cases (δ &gt; 0). Spearman correlation is 0.997. The selected route changes in 20/1,500 cases, or 1.33% (Wilson 95% CI 0.86–2.05%). These 20 changes arise from four OD × mode × departure-time cells, each differing at all five positive δ values (4 × 5 = 20). At 12:00, 17:00, and 20:00, no route change is observed, even though midday |ΔE| can be large (about 17%) without reselection. The mean oracle improvement when the selected route differs is approximately 0.02%.</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Route changes (δ &gt; 0)</w:t>
            </w:r>
          </w:p>
        </w:tc>
        <w:tc>
          <w:tcPr>
            <w:tcW w:type="dxa" w:w="1655"/>
          </w:tcPr>
          <w:p>
            <w:r>
              <w:t>19/300 (6.33%)</w:t>
            </w:r>
          </w:p>
        </w:tc>
        <w:tc>
          <w:tcPr>
            <w:tcW w:type="dxa" w:w="1800"/>
          </w:tcPr>
          <w:p>
            <w:r>
              <w:t>20/1,500 (1.33%)</w:t>
            </w:r>
          </w:p>
        </w:tc>
      </w:tr>
      <w:tr>
        <w:tc>
          <w:tcPr>
            <w:tcW w:type="dxa" w:w="1368"/>
          </w:tcPr>
          <w:p>
            <w:r>
              <w:t>Oracle gain when route differs</w:t>
            </w:r>
          </w:p>
        </w:tc>
        <w:tc>
          <w:tcPr>
            <w:tcW w:type="dxa" w:w="1655"/>
          </w:tcPr>
          <w:p>
            <w:r>
              <w:t>≈0.11%</w:t>
            </w:r>
          </w:p>
        </w:tc>
        <w:tc>
          <w:tcPr>
            <w:tcW w:type="dxa" w:w="1800"/>
          </w:tcPr>
          <w:p>
            <w:r>
              <w:t>≈0.02%</w:t>
            </w:r>
          </w:p>
        </w:tc>
      </w:tr>
      <w:tr>
        <w:tc>
          <w:tcPr>
            <w:tcW w:type="dxa" w:w="1368"/>
          </w:tcPr>
          <w:p>
            <w:r>
              <w:t>12:00, 17:00,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Caption"/>
      </w:pPr>
      <w:r>
        <w:t>TABLE IV. Gap 1 temporal-assignment comparison; all counts exclude δ = 0, which leaves only the fastest route.</w:t>
      </w:r>
    </w:p>
    <w:p>
      <w:pPr>
        <w:pStyle w:val="IEEEHead2"/>
      </w:pPr>
      <w:r>
        <w:t>C. Interpretation of Gap 1</w:t>
      </w:r>
    </w:p>
    <w:p>
      <w:pPr>
        <w:pStyle w:val="IEEEBody"/>
        <w:ind w:firstLine="216"/>
      </w:pPr>
      <w:r>
        <w:t>The five-clock replication on a second calendar day does not strengthen the gap. P0-2B is weaker than P0-2A in route-change frequency, and three of the five departure times show zero changes. Changing the observation hour therefore acts as a negative-control / confound check: if rush-hour clocks had produced a large, stable reselection effect, that would have been visible here. They do not.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pPr>
              <w:spacing w:after="0"/>
              <w:jc w:val="left"/>
            </w:pPr>
            <w:r/>
            <w:r>
              <w:rPr>
                <w:rFonts w:ascii="Times New Roman" w:hAnsi="Times New Roman" w:eastAsia="Times New Roman"/>
                <w:b w:val="0"/>
                <w:sz w:val="16"/>
              </w:rPr>
              <w:t>Cases with ≥1 feasible lower-exposure alternative</w:t>
            </w:r>
          </w:p>
        </w:tc>
        <w:tc>
          <w:tcPr>
            <w:tcW w:type="dxa" w:w="1512"/>
            <w:vAlign w:val="center"/>
          </w:tcPr>
          <w:p>
            <w:pPr>
              <w:spacing w:after="0"/>
              <w:jc w:val="center"/>
            </w:pPr>
            <w:r/>
            <w:r>
              <w:rPr>
                <w:rFonts w:ascii="Times New Roman" w:hAnsi="Times New Roman" w:eastAsia="Times New Roman"/>
                <w:b w:val="0"/>
                <w:sz w:val="16"/>
              </w:rPr>
              <w:t>43/1,500 (2.87%; Wilson 95% CI 2.14–3.84%)</w:t>
            </w:r>
          </w:p>
        </w:tc>
      </w:tr>
      <w:tr>
        <w:tc>
          <w:tcPr>
            <w:tcW w:type="dxa" w:w="3240"/>
            <w:vAlign w:val="center"/>
          </w:tcPr>
          <w:p>
            <w:pPr>
              <w:spacing w:after="0"/>
              <w:jc w:val="left"/>
            </w:pPr>
            <w:r/>
            <w:r>
              <w:rPr>
                <w:rFonts w:ascii="Times New Roman" w:hAnsi="Times New Roman" w:eastAsia="Times New Roman"/>
                <w:b w:val="0"/>
                <w:sz w:val="16"/>
              </w:rPr>
              <w:t>Maximum modeled exposure reduction</w:t>
            </w:r>
          </w:p>
        </w:tc>
        <w:tc>
          <w:tcPr>
            <w:tcW w:type="dxa" w:w="1512"/>
            <w:vAlign w:val="center"/>
          </w:tcPr>
          <w:p>
            <w:pPr>
              <w:spacing w:after="0"/>
              <w:jc w:val="center"/>
            </w:pPr>
            <w:r/>
            <w:r>
              <w:rPr>
                <w:rFonts w:ascii="Times New Roman" w:hAnsi="Times New Roman" w:eastAsia="Times New Roman"/>
                <w:b w:val="0"/>
                <w:sz w:val="16"/>
              </w:rPr>
              <w:t>0.831%</w:t>
            </w:r>
          </w:p>
        </w:tc>
      </w:tr>
    </w:tbl>
    <w:p>
      <w:pPr>
        <w:pStyle w:val="IEEECaption"/>
      </w:pPr>
      <w:r>
        <w:t>TABLE V. Gap 2 exhaustive trade-off audit.</w:t>
      </w:r>
    </w:p>
    <w:p>
      <w:pPr>
        <w:pStyle w:val="IEEEBody"/>
        <w:ind w:firstLine="216"/>
      </w:pPr>
      <w:r>
        <w:t>Only 43 of 1,500 cases contain at least one feasible alternative that is both slower and lower-exposure than the fastest route (2.87%; Wilson 95% CI 2.14–3.84%). The maximum modeled reduction is 0.831%, and no case exceeds 1%. Treating the 1,500 cells as Bernoulli trials (an approximation, because δ is nested in OD), a one-sided binomial test of H0: the detour rate is at least 10% yields p ≪ 0.001; the same test against a 5% null also rejects (p ≈ 2.9×10⁻⁵). These tests are used only to reject a “common cleaner detour” claim, not to assert a beneficial effect. The result therefore does not justify saying that AIRPATH-AI routinely finds materially cleaner detours. Rather,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Body"/>
        <w:ind w:firstLine="216"/>
      </w:pPr>
      <w:r>
        <w:t xml:space="preserve">The 0.831% figure must be read against the pipeline’s own error, not against zero. Mean HealthyAir PM2.5 is about 21.1 µg/m³. Leave-one-station-out IDW p = 1 has MAE 7.061 µg/m³ (about 33% of that mean). The earlier XGBoost V1 + IDW end-to-end development MAE is 6.912 µg/m³ (also about 33%). Even the frozen Current-PM XGBoost +1 h validation MAE of 3.21 µg/m³ is about 15% of the mean concentration. Because exposure is Σ PM × minutes, a concentration error of that size dominates a 0.831% contrast between two modeled routes. On P0-2A, the mean absolute percentage difference between Method A and Method B exposures is only 0.72%, comparable to 0.831% and far below midday |ΔE| of about 17% that still produces no reselection. Therefore 0.831% is smaller than, or of the same order as, assignment noise already present in the hourly six-station substitute; it is not larger than measurement/model error and cannot be treated as a detected on-road benefit.</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maximum additional travel time, and a demonstration time-of-day control with three windows: morning peak, midday, and evening peak. The interface displays the fastest route and up to three feasible alternatives together with travel time, extra minutes, and predicted exposure.</w:t>
      </w:r>
    </w:p>
    <w:p>
      <w:pPr>
        <w:spacing w:before="40" w:after="20"/>
        <w:jc w:val="center"/>
      </w:pPr>
      <w:r>
        <w:drawing>
          <wp:inline xmlns:a="http://schemas.openxmlformats.org/drawingml/2006/main" xmlns:pic="http://schemas.openxmlformats.org/drawingml/2006/picture">
            <wp:extent cx="2971800" cy="5669280"/>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2971800" cy="5669280"/>
                    </a:xfrm>
                    <a:prstGeom prst="rect"/>
                  </pic:spPr>
                </pic:pic>
              </a:graphicData>
            </a:graphic>
          </wp:inline>
        </w:drawing>
      </w:r>
    </w:p>
    <w:p>
      <w:pPr>
        <w:pStyle w:val="IEEECaption"/>
      </w:pPr>
      <w:r>
        <w:t>Fig. 2. Print view of the AIRPATH-AI web prototype (motorbike, evening-peak demo window, +5 min): Hẻm Cao Thắng · Hòa Hưng to Khu phố 11 · Phú Lâm. Bold labels are kept inside each control and route card. The three-session control is a demo congestion proxy only.</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In the screenshot of Fig. 2 (evening-peak demo window, +5 min budget), the fastest motorbike route is 15.5 min with predicted exposure 739 (µg/m³)·min, and alternative 1 is 16.4 min with 514 (µg/m³)·min (about 30% lower on the demo scale). These values are demonstration outputs only. They are not panel-level Gap 1 or Gap 2 statistics, are not on-road measurements, and must not be cited as evidence that evening peak changes the scientific selection result.</w:t>
      </w:r>
    </w:p>
    <w:p>
      <w:pPr>
        <w:pStyle w:val="IEEEBody"/>
        <w:ind w:firstLine="216"/>
      </w:pPr>
      <w:r>
        <w:t xml:space="preserve">The three-window control is labeled in the interface as “Time of day (demo congestion proxy).” It is a product illustration, not a Gap 1 or Gap 2 experiment. Travel times, candidate geometry, and the station-IDW background remain the frozen 06:00 field. Only a deterministic arterial OSM-class multiplier changes (about 1.12 at the morning window, 1.04 at midday, and 1.20 at the evening window); residential and alley ways are left unchanged. The control therefore does not measure which street is congested, does not move HealthyAir to 12:00 or 18:00, and usually does not redraw the selected polyline—as expected when the same candidates and the same selector see only a small arterial scale factor. In the packaged demo scan, the number of cases with a lower-exposure alternative is 41/80 at morning and evening peak and 40/80 at midday. Those counts must not be substituted for the frozen Gap 1 rates 19/300 and 20/1,500 or the Gap 2 rate 43/1,500.</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(Wilson 95% CI 2.14–3.84%), and the maximum modeled reduction is 0.831%—smaller than the pipeline’s relative concentration error (about 15–33% of mean PM2.5).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six central limitations. First, HealthyAir provides hourly observations from six fixed stations and therefore cannot establish minute-level road-segment ground truth. Second, the spatial field and the oracle depend on IDW interpolation, so the oracle is not an independent road-level reference.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 Sixth, the 30 OD pairs are a seeded 2–6 km sample inside the stations 2–6 hull and do not represent the geographic diversity of HCMC; changing clocks on 27 February is only a limited diurnal confound check, not a multi-date observational design.</w:t>
      </w:r>
    </w:p>
    <w:p>
      <w:pPr>
        <w:pStyle w:val="IEEEBody"/>
        <w:ind w:firstLine="216"/>
      </w:pPr>
      <w:r>
        <w:t>The most direct future step is to collect GPS-tagged mobile PM2.5 observations with synchronized timestamps and coordinates. This would allow finer spatial and temporal validation and a direct test of whether sub-hourly arrival-time assignment can produce a stronger route-selection effect. A second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 changes are uncommon: 19/300 (6.33%) in P0-2A and 20/1,500 (1.33%) in P0-2B, with zero changes at 12:00, 17:00, and 20:00; the conclusion is MIXED/WEAK. Gap 2 finds 43/1,500 (2.87%) cases with a feasible slower lower-exposure alternative, with a maximum modeled reduction of 0.831%.</w:t>
      </w:r>
    </w:p>
    <w:p>
      <w:pPr>
        <w:pStyle w:val="IEEEBody"/>
        <w:ind w:firstLine="216"/>
      </w:pPr>
      <w:r>
        <w:t>Accordingly, AIRPATH-AI should be interpreted as a transparent decision-support and route-comparison framework under sparse, hourly HCMC data.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