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2727" w14:textId="77777777" w:rsidR="00CF2D20" w:rsidRPr="00CF2D20" w:rsidRDefault="00CF2D20" w:rsidP="00CF2D20">
      <w:pPr>
        <w:rPr>
          <w:rFonts w:ascii="Arial" w:hAnsi="Arial" w:cs="Arial"/>
          <w:b/>
          <w:bCs/>
        </w:rPr>
      </w:pPr>
      <w:r w:rsidRPr="00CF2D20">
        <w:rPr>
          <w:rFonts w:ascii="Arial" w:hAnsi="Arial" w:cs="Arial"/>
          <w:b/>
          <w:bCs/>
        </w:rPr>
        <w:t xml:space="preserve">Ethical Evaluation: </w:t>
      </w:r>
      <w:proofErr w:type="spellStart"/>
      <w:r w:rsidRPr="00CF2D20">
        <w:rPr>
          <w:rFonts w:ascii="Arial" w:hAnsi="Arial" w:cs="Arial"/>
          <w:b/>
          <w:bCs/>
        </w:rPr>
        <w:t>MediScan</w:t>
      </w:r>
      <w:proofErr w:type="spellEnd"/>
      <w:r w:rsidRPr="00CF2D20">
        <w:rPr>
          <w:rFonts w:ascii="Arial" w:hAnsi="Arial" w:cs="Arial"/>
          <w:b/>
          <w:bCs/>
        </w:rPr>
        <w:t xml:space="preserve"> AI Infection Detector</w:t>
      </w:r>
    </w:p>
    <w:p w14:paraId="2485D6D9" w14:textId="48486A6E" w:rsidR="00CF2D20" w:rsidRPr="00CF2D20" w:rsidRDefault="00CF2D20" w:rsidP="00CF2D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20">
        <w:rPr>
          <w:rFonts w:ascii="Arial" w:hAnsi="Arial" w:cs="Arial"/>
        </w:rPr>
        <w:t>Possible Sources of Bias in</w:t>
      </w:r>
      <w:r w:rsidRPr="00CF2D20">
        <w:rPr>
          <w:rFonts w:ascii="Arial" w:hAnsi="Arial" w:cs="Arial"/>
          <w:b/>
          <w:bCs/>
        </w:rPr>
        <w:t xml:space="preserve"> Training </w:t>
      </w:r>
      <w:r w:rsidRPr="00CF2D20">
        <w:rPr>
          <w:rFonts w:ascii="Arial" w:hAnsi="Arial" w:cs="Arial"/>
        </w:rPr>
        <w:t xml:space="preserve">Data: </w:t>
      </w:r>
      <w:r w:rsidRPr="00CF2D20">
        <w:rPr>
          <w:rFonts w:ascii="Arial" w:hAnsi="Arial" w:cs="Arial"/>
        </w:rPr>
        <w:br/>
      </w:r>
      <w:r w:rsidRPr="00CF2D20">
        <w:rPr>
          <w:rFonts w:ascii="Arial" w:hAnsi="Arial" w:cs="Arial"/>
        </w:rPr>
        <w:br/>
        <w:t xml:space="preserve">Skin Tone Bias: The model may perform poorly for darker skin tones if it is largely trained on light-skinned patients, which could result in infections being overlooked. </w:t>
      </w:r>
      <w:r w:rsidRPr="00CF2D20">
        <w:rPr>
          <w:rFonts w:ascii="Arial" w:hAnsi="Arial" w:cs="Arial"/>
        </w:rPr>
        <w:br/>
      </w:r>
      <w:r w:rsidRPr="00CF2D20">
        <w:rPr>
          <w:rFonts w:ascii="Arial" w:hAnsi="Arial" w:cs="Arial"/>
        </w:rPr>
        <w:br/>
        <w:t xml:space="preserve">Bias in Wound Type: An excessive number of surgical wounds compared to chronic ulcers may distort the results. </w:t>
      </w:r>
      <w:r w:rsidRPr="00CF2D20">
        <w:rPr>
          <w:rFonts w:ascii="Arial" w:hAnsi="Arial" w:cs="Arial"/>
        </w:rPr>
        <w:br/>
      </w:r>
      <w:r w:rsidRPr="00CF2D20">
        <w:rPr>
          <w:rFonts w:ascii="Arial" w:hAnsi="Arial" w:cs="Arial"/>
        </w:rPr>
        <w:br/>
        <w:t xml:space="preserve">Geographic Bias: Information from urban hospitals might not translate well to resource-poor rural areas. </w:t>
      </w:r>
      <w:r w:rsidRPr="00CF2D20">
        <w:rPr>
          <w:rFonts w:ascii="Arial" w:hAnsi="Arial" w:cs="Arial"/>
        </w:rPr>
        <w:br/>
      </w:r>
      <w:r w:rsidRPr="00CF2D20">
        <w:rPr>
          <w:rFonts w:ascii="Arial" w:hAnsi="Arial" w:cs="Arial"/>
        </w:rPr>
        <w:br/>
        <w:t xml:space="preserve">One way to mitigate this is to use a variety of datasets, such as HAM10000 for skin diversity. </w:t>
      </w:r>
      <w:r w:rsidRPr="00CF2D20">
        <w:rPr>
          <w:rFonts w:ascii="Arial" w:hAnsi="Arial" w:cs="Arial"/>
        </w:rPr>
        <w:br/>
      </w:r>
      <w:r w:rsidRPr="00CF2D20">
        <w:rPr>
          <w:rFonts w:ascii="Segoe UI Symbol" w:hAnsi="Segoe UI Symbol" w:cs="Segoe UI Symbol"/>
        </w:rPr>
        <w:t>✔</w:t>
      </w:r>
      <w:r w:rsidRPr="00CF2D20">
        <w:rPr>
          <w:rFonts w:ascii="Arial" w:hAnsi="Arial" w:cs="Arial"/>
        </w:rPr>
        <w:t xml:space="preserve"> Use fairness metrics (e.g., differential impact ratio) to audit subgroup performance. </w:t>
      </w:r>
      <w:r w:rsidRPr="00CF2D20">
        <w:rPr>
          <w:rFonts w:ascii="Arial" w:hAnsi="Arial" w:cs="Arial"/>
        </w:rPr>
        <w:br/>
      </w:r>
      <w:r w:rsidRPr="00CF2D20">
        <w:rPr>
          <w:rFonts w:ascii="Segoe UI Symbol" w:hAnsi="Segoe UI Symbol" w:cs="Segoe UI Symbol"/>
        </w:rPr>
        <w:t>✔</w:t>
      </w:r>
      <w:r w:rsidRPr="00CF2D20">
        <w:rPr>
          <w:rFonts w:ascii="Arial" w:hAnsi="Arial" w:cs="Arial"/>
        </w:rPr>
        <w:t xml:space="preserve"> Collaborate with clinics in underprivileged areas to gather data.</w:t>
      </w:r>
    </w:p>
    <w:p w14:paraId="3AB242E2" w14:textId="77777777" w:rsidR="00CF2D20" w:rsidRPr="00CF2D20" w:rsidRDefault="00CF2D20" w:rsidP="00CF2D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2. Implications for Privacy and Risk Mitigation: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Re-identification: Pictures of wounds with distinctive scars or tattoos may reveal the identities of the patients.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Data breaches are much more likely when raw photos are kept on centralized systems.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One way to mitigate this is to anonymize data by blurring background details and stripping metadata (EXIF).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On-device processing: </w:t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Analyze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images locally using TensorFlow Lite (no upload to the cloud).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Compliance: Adhere to de-identification standards (such as DICOM PS3.15) in accordance with HIPAA/GDPR.</w:t>
      </w:r>
    </w:p>
    <w:p w14:paraId="44FBDC68" w14:textId="77777777" w:rsidR="00CF2D20" w:rsidRPr="00CF2D20" w:rsidRDefault="00CF2D20" w:rsidP="00CF2D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3. Barriers to Accessibility Considerations: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Language: App instructions may be difficult for non-native English speakers to understand.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Disabilities: Users who are visually handicapped are unable to understand images of wounds.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Tech literacy: Older patients may have trouble understanding user interfaces.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Solutions: </w:t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Support for multiple languages: Include Google's free Translation API.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Voice guidance: Include support for screen readers (WCAG 2.1).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Large buttons and </w:t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color-blind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-friendly palettes (check with </w:t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WebAIM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Contrast Checker) are examples of a simplified user interface. </w:t>
      </w:r>
    </w:p>
    <w:p w14:paraId="58614F68" w14:textId="492253F6" w:rsidR="00CF2D20" w:rsidRPr="00CF2D20" w:rsidRDefault="00CF2D20" w:rsidP="00CF2D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Carbon Footprint Sources for Environmental Impact Assessment: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>Model Training: ResNet-50 emits about 300 kg of CO</w:t>
      </w:r>
      <w:r w:rsidRPr="00CF2D20">
        <w:rPr>
          <w:rFonts w:ascii="Cambria Math" w:eastAsia="Times New Roman" w:hAnsi="Cambria Math" w:cs="Cambria Math"/>
          <w:kern w:val="0"/>
          <w:lang w:eastAsia="en-ZA"/>
          <w14:ligatures w14:val="none"/>
        </w:rPr>
        <w:t>₂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when fine-tuned, which is equivalent to 1,500 km of driving.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lastRenderedPageBreak/>
        <w:t xml:space="preserve">Data Storage: To ensure round-the-clock uptime, cloud servers use energy.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Using smaller models, such as MobileNetV3, which is 80% lighter than </w:t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ResNet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, is one mitigation strategy.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Green hosting: Use carbon-neutral zones of Google Cloud.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Edge computing: Utilize </w:t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cellphones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to process data </w:t>
      </w:r>
      <w:proofErr w:type="gram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in order to</w:t>
      </w:r>
      <w:proofErr w:type="gram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lessen the need for servers.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>.</w:t>
      </w:r>
    </w:p>
    <w:p w14:paraId="1F68223E" w14:textId="77777777" w:rsidR="00CF2D20" w:rsidRPr="00CF2D20" w:rsidRDefault="00CF2D20" w:rsidP="00CF2D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Possible Unintentional Repercussions Hazards: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Over-reliance: Nurses may overlook edge instances because they trust AI more than clinical judgment.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Overtreatment: Unnecessary antibiotics may result from false positives.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Health disparities: Remote locations with inadequate internet connectivity might not be included.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Preventative measures: </w:t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Unambiguous disclaimers: "AI supports but does not replace physicians."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Human-in-the-loop: For serious diagnoses, seek confirmation from a professional.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Segoe UI Symbol" w:eastAsia="Times New Roman" w:hAnsi="Segoe UI Symbol" w:cs="Segoe UI Symbol"/>
          <w:kern w:val="0"/>
          <w:lang w:eastAsia="en-ZA"/>
          <w14:ligatures w14:val="none"/>
        </w:rPr>
        <w:t>✔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Offline mode: Store important functions in a cache for usage with little connectivity. </w:t>
      </w:r>
    </w:p>
    <w:p w14:paraId="2B1413AB" w14:textId="4C818214" w:rsidR="00CF2D20" w:rsidRPr="00CF2D20" w:rsidRDefault="00CF2D20" w:rsidP="00CF2D2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In conclusion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proofErr w:type="spellStart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>MediScan</w:t>
      </w:r>
      <w:proofErr w:type="spellEnd"/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t xml:space="preserve"> AI strikes a balance between creativity and moral obligation by: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carefully checking for prejudice in a variety of demographics.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putting privacy first by processing data on-device.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making designs that are accessible to people of all ages and languages.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reducing environmental damage with effective algorithms.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 xml:space="preserve">protecting human supervision procedures from abuse. </w:t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</w:r>
      <w:r w:rsidRPr="00CF2D20">
        <w:rPr>
          <w:rFonts w:ascii="Arial" w:eastAsia="Times New Roman" w:hAnsi="Arial" w:cs="Arial"/>
          <w:kern w:val="0"/>
          <w:lang w:eastAsia="en-ZA"/>
          <w14:ligatures w14:val="none"/>
        </w:rPr>
        <w:br/>
        <w:t>Before growing, it is advised to do a pilot study in regulated clinics under constant ethical review.</w:t>
      </w:r>
    </w:p>
    <w:p w14:paraId="302CF890" w14:textId="77777777" w:rsidR="00CF2D20" w:rsidRPr="00CF2D20" w:rsidRDefault="00CF2D20" w:rsidP="00CF2D20">
      <w:pPr>
        <w:ind w:left="45"/>
        <w:rPr>
          <w:rFonts w:ascii="Arial" w:hAnsi="Arial" w:cs="Arial"/>
        </w:rPr>
      </w:pPr>
    </w:p>
    <w:p w14:paraId="1F1F17E3" w14:textId="77777777" w:rsidR="00923C1F" w:rsidRPr="00CF2D20" w:rsidRDefault="00923C1F">
      <w:pPr>
        <w:rPr>
          <w:rFonts w:ascii="Arial" w:hAnsi="Arial" w:cs="Arial"/>
        </w:rPr>
      </w:pPr>
    </w:p>
    <w:sectPr w:rsidR="00923C1F" w:rsidRPr="00CF2D20" w:rsidSect="00FF55BE">
      <w:type w:val="continuous"/>
      <w:pgSz w:w="11906" w:h="16838" w:code="9"/>
      <w:pgMar w:top="1134" w:right="1134" w:bottom="1134" w:left="1134" w:header="709" w:footer="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3D6B"/>
    <w:multiLevelType w:val="hybridMultilevel"/>
    <w:tmpl w:val="8F2E726E"/>
    <w:lvl w:ilvl="0" w:tplc="676879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25" w:hanging="360"/>
      </w:pPr>
    </w:lvl>
    <w:lvl w:ilvl="2" w:tplc="1C09001B" w:tentative="1">
      <w:start w:val="1"/>
      <w:numFmt w:val="lowerRoman"/>
      <w:lvlText w:val="%3."/>
      <w:lvlJc w:val="right"/>
      <w:pPr>
        <w:ind w:left="1845" w:hanging="180"/>
      </w:pPr>
    </w:lvl>
    <w:lvl w:ilvl="3" w:tplc="1C09000F" w:tentative="1">
      <w:start w:val="1"/>
      <w:numFmt w:val="decimal"/>
      <w:lvlText w:val="%4."/>
      <w:lvlJc w:val="left"/>
      <w:pPr>
        <w:ind w:left="2565" w:hanging="360"/>
      </w:pPr>
    </w:lvl>
    <w:lvl w:ilvl="4" w:tplc="1C090019" w:tentative="1">
      <w:start w:val="1"/>
      <w:numFmt w:val="lowerLetter"/>
      <w:lvlText w:val="%5."/>
      <w:lvlJc w:val="left"/>
      <w:pPr>
        <w:ind w:left="3285" w:hanging="360"/>
      </w:pPr>
    </w:lvl>
    <w:lvl w:ilvl="5" w:tplc="1C09001B" w:tentative="1">
      <w:start w:val="1"/>
      <w:numFmt w:val="lowerRoman"/>
      <w:lvlText w:val="%6."/>
      <w:lvlJc w:val="right"/>
      <w:pPr>
        <w:ind w:left="4005" w:hanging="180"/>
      </w:pPr>
    </w:lvl>
    <w:lvl w:ilvl="6" w:tplc="1C09000F" w:tentative="1">
      <w:start w:val="1"/>
      <w:numFmt w:val="decimal"/>
      <w:lvlText w:val="%7."/>
      <w:lvlJc w:val="left"/>
      <w:pPr>
        <w:ind w:left="4725" w:hanging="360"/>
      </w:pPr>
    </w:lvl>
    <w:lvl w:ilvl="7" w:tplc="1C090019" w:tentative="1">
      <w:start w:val="1"/>
      <w:numFmt w:val="lowerLetter"/>
      <w:lvlText w:val="%8."/>
      <w:lvlJc w:val="left"/>
      <w:pPr>
        <w:ind w:left="5445" w:hanging="360"/>
      </w:pPr>
    </w:lvl>
    <w:lvl w:ilvl="8" w:tplc="1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1328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D20"/>
    <w:rsid w:val="001970E4"/>
    <w:rsid w:val="00267B6A"/>
    <w:rsid w:val="00470F0A"/>
    <w:rsid w:val="007E121E"/>
    <w:rsid w:val="00923C1F"/>
    <w:rsid w:val="00CF2D20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FD20B"/>
  <w15:chartTrackingRefBased/>
  <w15:docId w15:val="{30956409-0AB4-4A0F-B72A-945E6D2B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Masingita Ottis Maluleke</dc:creator>
  <cp:keywords/>
  <dc:description/>
  <cp:lastModifiedBy>Masingita Ottis Maluleke</cp:lastModifiedBy>
  <cp:revision>1</cp:revision>
  <dcterms:created xsi:type="dcterms:W3CDTF">2025-06-10T12:44:00Z</dcterms:created>
  <dcterms:modified xsi:type="dcterms:W3CDTF">2025-06-10T12:50:00Z</dcterms:modified>
</cp:coreProperties>
</file>