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5a8454"/>
          <w:sz w:val="40"/>
          <w:szCs w:val="40"/>
        </w:rPr>
        <w:t xml:space="preserve">Story Chain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Females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(optional: paper to write key points)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5a8454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One player starts a story with a single sentence (e.g., "Once upon a time, there was a picnic basket that could talk...").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next player adds one sentence to continue the story.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Continue around the circle, each player adding one sentence.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Try to build toward a natural ending after several rounds.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group votes on the funniest, most creative, or most dramatic story of the session.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a8454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Encourage wild twists! The more unexpected the contribution, the more memorable the story.</w:t>
      </w:r>
    </w:p>
    <w:p>
      <w:pPr>
        <w:pBdr>
          <w:top w:val="single" w:color="5a8454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2026-03-27T22:47:25.545Z</dcterms:created>
  <dcterms:modified xsi:type="dcterms:W3CDTF">2026-03-27T22:47:25.545Z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