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jc w:val="center"/>
      </w:pPr>
      <w:r>
        <w:rPr>
          <w:rFonts w:ascii="Segoe UI Emoji" w:cs="Segoe UI Emoji" w:eastAsia="Segoe UI Emoji" w:hAnsi="Segoe UI Emoji"/>
          <w:sz w:val="96"/>
          <w:szCs w:val="96"/>
        </w:rPr>
        <w:t xml:space="preserve">🔬</w:t>
      </w:r>
    </w:p>
    <w:p>
      <w:pPr>
        <w:spacing w:before="0" w:after="60"/>
        <w:jc w:val="center"/>
      </w:pPr>
      <w:r>
        <w:rPr>
          <w:rFonts w:ascii="Arial" w:cs="Arial" w:eastAsia="Arial" w:hAnsi="Arial"/>
          <w:i/>
          <w:iCs/>
          <w:color w:val="6B7280"/>
          <w:sz w:val="28"/>
          <w:szCs w:val="28"/>
        </w:rPr>
        <w:t xml:space="preserve">The Complete Guide to</w:t>
      </w:r>
    </w:p>
    <w:p>
      <w:pPr>
        <w:spacing w:before="0" w:after="80"/>
        <w:jc w:val="center"/>
      </w:pPr>
      <w:r>
        <w:rPr>
          <w:rFonts w:ascii="Arial" w:cs="Arial" w:eastAsia="Arial" w:hAnsi="Arial"/>
          <w:b/>
          <w:bCs/>
          <w:color w:val="1D3A2A"/>
          <w:sz w:val="46"/>
          <w:szCs w:val="46"/>
        </w:rPr>
        <w:t xml:space="preserve">COMMON GARDEN DISEASES</w:t>
      </w:r>
    </w:p>
    <w:p>
      <w:pPr>
        <w:spacing w:before="0" w:after="120"/>
        <w:jc w:val="center"/>
      </w:pPr>
      <w:r>
        <w:rPr>
          <w:rFonts w:ascii="Arial" w:cs="Arial" w:eastAsia="Arial" w:hAnsi="Arial"/>
          <w:i/>
          <w:iCs/>
          <w:color w:val="6B1818"/>
          <w:sz w:val="26"/>
          <w:szCs w:val="26"/>
        </w:rPr>
        <w:t xml:space="preserve">Identify and Treat Powdery Mildew, Blight, Rust, and Other Plant Diseases</w:t>
      </w:r>
    </w:p>
    <w:p>
      <w:pPr>
        <w:spacing w:before="0" w:after="280"/>
        <w:jc w:val="center"/>
      </w:pPr>
      <w:r>
        <w:rPr>
          <w:rFonts w:ascii="Arial" w:cs="Arial" w:eastAsia="Arial" w:hAnsi="Arial"/>
          <w:color w:val="6B7280"/>
          <w:sz w:val="21"/>
          <w:szCs w:val="21"/>
        </w:rPr>
        <w:t xml:space="preserve">Fungal Diseases  •  Bacterial Diseases  •  Viral Diseases  •  Identification  •  Treatment  •  Prevention  •  Crop-by-Crop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3A2A" w:sz="6"/>
              <w:left w:val="single" w:color="1D3A2A" w:sz="6"/>
              <w:bottom w:val="single" w:color="1D3A2A" w:sz="6"/>
              <w:right w:val="single" w:color="1D3A2A" w:sz="6"/>
            </w:tcBorders>
            <w:shd w:fill="E5F0EA" w:val="clear"/>
            <w:tcMar>
              <w:top w:type="dxa" w:w="120"/>
              <w:left w:type="dxa" w:w="160"/>
              <w:bottom w:type="dxa" w:w="80"/>
              <w:right w:type="dxa" w:w="160"/>
            </w:tcMar>
          </w:tcPr>
          <w:p>
            <w:pPr>
              <w:spacing w:before="0" w:after="0"/>
            </w:pPr>
            <w:r>
              <w:rPr>
                <w:rFonts w:ascii="Arial" w:cs="Arial" w:eastAsia="Arial" w:hAnsi="Arial"/>
                <w:b/>
                <w:bCs/>
                <w:color w:val="1D3A2A"/>
                <w:sz w:val="24"/>
                <w:szCs w:val="24"/>
              </w:rPr>
              <w:t xml:space="preserve">🔬 How to Use This Guide</w:t>
            </w:r>
          </w:p>
        </w:tc>
      </w:tr>
      <w:tr>
        <w:tc>
          <w:tcPr>
            <w:tcBorders>
              <w:top w:val="single" w:color="1D3A2A" w:sz="6"/>
              <w:left w:val="single" w:color="1D3A2A" w:sz="6"/>
              <w:bottom w:val="single" w:color="1D3A2A" w:sz="6"/>
              <w:right w:val="single" w:color="1D3A2A" w:sz="6"/>
            </w:tcBorders>
            <w:shd w:fill="E5F0EA"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Plant disease diagnosis is a detective process: you observe symptoms, consider the conditions, eliminate alternative explanations, and arrive at the most likely cause. This guide is organized to support that process. It begins with a rapid-reference symptom key so you can quickly narrow down what you’re seeing, then covers the major disease categories in depth — fungal, bacterial, viral, and soilborne — with detailed profiles of the most common and damaging diseases in each category.</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A note on certainty: many plant diseases produce overlapping symptoms, and a confident visual diagnosis is not always possible without laboratory testing. Your state’s cooperative extension service plant disease diagnostic laboratory can test tissue samples for a definitive diagnosis, typically for a modest fee ($10–25). The American Phytopathological Society and most land-grant university extension services maintain online diagnostic keys with photographs. For significant or spreading problems, a laboratory diagnosis is worth the cost.</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This guide covers diseases affecting vegetable gardens, ornamental beds, fruit crops, lawns, and woody plants, with examples drawn from across all American climate regions. Treatment recommendations emphasize integrated pest management (IPM) — starting with cultural and physical controls, escalating to biological controls, and using synthetic fungicides or bactericides only when necessary and appropriate.</w:t>
            </w:r>
          </w:p>
        </w:tc>
      </w:tr>
    </w:tbl>
    <w:p>
      <w:pPr>
        <w:spacing w:before="0" w:after="80"/>
      </w:pPr>
      <w:r>
        <w:t xml:space="preserve"/>
      </w:r>
    </w:p>
    <w:p>
      <w:pPr>
        <w:spacing w:before="60" w:after="120" w:line="280"/>
      </w:pPr>
      <w:r>
        <w:rPr>
          <w:rFonts w:ascii="Arial" w:cs="Arial" w:eastAsia="Arial" w:hAnsi="Arial"/>
          <w:sz w:val="22"/>
          <w:szCs w:val="22"/>
        </w:rPr>
        <w:t xml:space="preserve">Understanding plant disease requires understanding the disease triangle: three factors must coincide for disease to develop. A susceptible host (the plant) must be present in the right environment (the conditions the pathogen needs) at the same time as the pathogen itself. Remove any one leg of the triangle and disease does not develop. This is why the most powerful disease management strategy is always prevention through cultural practices — removing the environmental conditions that pathogens need, or choosing host plants that are resistant — rather than treatment after disease has already established.</w:t>
      </w:r>
    </w:p>
    <w:p>
      <w:pPr>
        <w:pBdr>
          <w:bottom w:val="single" w:color="1D3A2A" w:sz="6" w:space="1"/>
        </w:pBdr>
        <w:spacing w:before="160" w:after="160"/>
      </w:pPr>
      <w:r>
        <w:t xml:space="preserve"/>
      </w:r>
    </w:p>
    <w:p>
      <w:pPr>
        <w:pStyle w:val="Heading2"/>
        <w:spacing w:before="240" w:after="120"/>
      </w:pPr>
      <w:r>
        <w:rPr>
          <w:rFonts w:ascii="Arial" w:cs="Arial" w:eastAsia="Arial" w:hAnsi="Arial"/>
          <w:b/>
          <w:bCs/>
          <w:color w:val="6B1818"/>
          <w:sz w:val="28"/>
          <w:szCs w:val="28"/>
        </w:rPr>
        <w:t xml:space="preserve">Rapid Symptom Key: Where to Start Your Diagnosis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400"/>
        <w:gridCol w:w="1960"/>
      </w:tblGrid>
      <w:tr>
        <w:trPr>
          <w:tblHeader/>
        </w:trPr>
        <w:tc>
          <w:tcPr>
            <w:tcW w:type="dxa" w:w="2800"/>
            <w:tcBorders>
              <w:top w:val="single" w:color="1D3A2A" w:sz="1"/>
              <w:left w:val="single" w:color="1D3A2A" w:sz="1"/>
              <w:bottom w:val="single" w:color="1D3A2A" w:sz="1"/>
              <w:right w:val="single" w:color="1D3A2A" w:sz="1"/>
            </w:tcBorders>
            <w:shd w:fill="1D3A2A" w:val="clear"/>
            <w:tcMar>
              <w:top w:type="dxa" w:w="80"/>
              <w:left w:type="dxa" w:w="120"/>
              <w:bottom w:type="dxa" w:w="80"/>
              <w:right w:type="dxa" w:w="120"/>
            </w:tcMar>
          </w:tcPr>
          <w:p>
            <w:r>
              <w:rPr>
                <w:rFonts w:ascii="Arial" w:cs="Arial" w:eastAsia="Arial" w:hAnsi="Arial"/>
                <w:b/>
                <w:bCs/>
                <w:color w:val="FFFFFF"/>
                <w:sz w:val="20"/>
                <w:szCs w:val="20"/>
              </w:rPr>
              <w:t xml:space="preserve">What You See</w:t>
            </w:r>
          </w:p>
        </w:tc>
        <w:tc>
          <w:tcPr>
            <w:tcW w:type="dxa" w:w="2200"/>
            <w:tcBorders>
              <w:top w:val="single" w:color="1D3A2A" w:sz="1"/>
              <w:left w:val="single" w:color="1D3A2A" w:sz="1"/>
              <w:bottom w:val="single" w:color="1D3A2A" w:sz="1"/>
              <w:right w:val="single" w:color="1D3A2A" w:sz="1"/>
            </w:tcBorders>
            <w:shd w:fill="1D3A2A" w:val="clear"/>
            <w:tcMar>
              <w:top w:type="dxa" w:w="80"/>
              <w:left w:type="dxa" w:w="120"/>
              <w:bottom w:type="dxa" w:w="80"/>
              <w:right w:type="dxa" w:w="120"/>
            </w:tcMar>
          </w:tcPr>
          <w:p>
            <w:r>
              <w:rPr>
                <w:rFonts w:ascii="Arial" w:cs="Arial" w:eastAsia="Arial" w:hAnsi="Arial"/>
                <w:b/>
                <w:bCs/>
                <w:color w:val="FFFFFF"/>
                <w:sz w:val="20"/>
                <w:szCs w:val="20"/>
              </w:rPr>
              <w:t xml:space="preserve">Where on the Plant</w:t>
            </w:r>
          </w:p>
        </w:tc>
        <w:tc>
          <w:tcPr>
            <w:tcW w:type="dxa" w:w="2400"/>
            <w:tcBorders>
              <w:top w:val="single" w:color="1D3A2A" w:sz="1"/>
              <w:left w:val="single" w:color="1D3A2A" w:sz="1"/>
              <w:bottom w:val="single" w:color="1D3A2A" w:sz="1"/>
              <w:right w:val="single" w:color="1D3A2A" w:sz="1"/>
            </w:tcBorders>
            <w:shd w:fill="1D3A2A" w:val="clear"/>
            <w:tcMar>
              <w:top w:type="dxa" w:w="80"/>
              <w:left w:type="dxa" w:w="120"/>
              <w:bottom w:type="dxa" w:w="80"/>
              <w:right w:type="dxa" w:w="120"/>
            </w:tcMar>
          </w:tcPr>
          <w:p>
            <w:r>
              <w:rPr>
                <w:rFonts w:ascii="Arial" w:cs="Arial" w:eastAsia="Arial" w:hAnsi="Arial"/>
                <w:b/>
                <w:bCs/>
                <w:color w:val="FFFFFF"/>
                <w:sz w:val="20"/>
                <w:szCs w:val="20"/>
              </w:rPr>
              <w:t xml:space="preserve">Most Likely Cause</w:t>
            </w:r>
          </w:p>
        </w:tc>
        <w:tc>
          <w:tcPr>
            <w:tcW w:type="dxa" w:w="1960"/>
            <w:tcBorders>
              <w:top w:val="single" w:color="1D3A2A" w:sz="1"/>
              <w:left w:val="single" w:color="1D3A2A" w:sz="1"/>
              <w:bottom w:val="single" w:color="1D3A2A" w:sz="1"/>
              <w:right w:val="single" w:color="1D3A2A" w:sz="1"/>
            </w:tcBorders>
            <w:shd w:fill="1D3A2A" w:val="clear"/>
            <w:tcMar>
              <w:top w:type="dxa" w:w="80"/>
              <w:left w:type="dxa" w:w="120"/>
              <w:bottom w:type="dxa" w:w="80"/>
              <w:right w:type="dxa" w:w="120"/>
            </w:tcMar>
          </w:tcPr>
          <w:p>
            <w:r>
              <w:rPr>
                <w:rFonts w:ascii="Arial" w:cs="Arial" w:eastAsia="Arial" w:hAnsi="Arial"/>
                <w:b/>
                <w:bCs/>
                <w:color w:val="FFFFFF"/>
                <w:sz w:val="20"/>
                <w:szCs w:val="20"/>
              </w:rPr>
              <w:t xml:space="preserve">Section to Consult</w:t>
            </w:r>
          </w:p>
        </w:tc>
      </w:tr>
      <w:tr>
        <w:tc>
          <w:tcPr>
            <w:tcW w:type="dxa" w:w="28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White powdery coating on leaf surface</w:t>
            </w:r>
          </w:p>
        </w:tc>
        <w:tc>
          <w:tcPr>
            <w:tcW w:type="dxa" w:w="22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Upper leaf surface primarily; also stems</w:t>
            </w:r>
          </w:p>
        </w:tc>
        <w:tc>
          <w:tcPr>
            <w:tcW w:type="dxa" w:w="24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Powdery mildew (fungal)</w:t>
            </w:r>
          </w:p>
        </w:tc>
        <w:tc>
          <w:tcPr>
            <w:tcW w:type="dxa" w:w="196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2</w:t>
            </w:r>
          </w:p>
        </w:tc>
      </w:tr>
      <w:tr>
        <w:tc>
          <w:tcPr>
            <w:tcW w:type="dxa" w:w="28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White-gray fuzzy growth on leaf underside</w:t>
            </w:r>
          </w:p>
        </w:tc>
        <w:tc>
          <w:tcPr>
            <w:tcW w:type="dxa" w:w="22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Lower leaf surface; in humid conditions</w:t>
            </w:r>
          </w:p>
        </w:tc>
        <w:tc>
          <w:tcPr>
            <w:tcW w:type="dxa" w:w="24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Downy mildew (oomycete) or gray mold (Botrytis)</w:t>
            </w:r>
          </w:p>
        </w:tc>
        <w:tc>
          <w:tcPr>
            <w:tcW w:type="dxa" w:w="196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Sections 2, 3</w:t>
            </w:r>
          </w:p>
        </w:tc>
      </w:tr>
      <w:tr>
        <w:tc>
          <w:tcPr>
            <w:tcW w:type="dxa" w:w="28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Yellow-brown or orange pustules on leaves</w:t>
            </w:r>
          </w:p>
        </w:tc>
        <w:tc>
          <w:tcPr>
            <w:tcW w:type="dxa" w:w="22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Upper or lower leaf surfaces in distinct raised spots</w:t>
            </w:r>
          </w:p>
        </w:tc>
        <w:tc>
          <w:tcPr>
            <w:tcW w:type="dxa" w:w="24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Rust (fungal)</w:t>
            </w:r>
          </w:p>
        </w:tc>
        <w:tc>
          <w:tcPr>
            <w:tcW w:type="dxa" w:w="196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2</w:t>
            </w:r>
          </w:p>
        </w:tc>
      </w:tr>
      <w:tr>
        <w:tc>
          <w:tcPr>
            <w:tcW w:type="dxa" w:w="28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Brown or black spots on leaves with yellow halos</w:t>
            </w:r>
          </w:p>
        </w:tc>
        <w:tc>
          <w:tcPr>
            <w:tcW w:type="dxa" w:w="22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Scattered across leaf surface; may merge</w:t>
            </w:r>
          </w:p>
        </w:tc>
        <w:tc>
          <w:tcPr>
            <w:tcW w:type="dxa" w:w="24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Bacterial leaf spot, Cercospora, or Septoria leaf spot</w:t>
            </w:r>
          </w:p>
        </w:tc>
        <w:tc>
          <w:tcPr>
            <w:tcW w:type="dxa" w:w="196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Sections 2, 4</w:t>
            </w:r>
          </w:p>
        </w:tc>
      </w:tr>
      <w:tr>
        <w:tc>
          <w:tcPr>
            <w:tcW w:type="dxa" w:w="28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Dark water-soaked lesions on leaves or stems</w:t>
            </w:r>
          </w:p>
        </w:tc>
        <w:tc>
          <w:tcPr>
            <w:tcW w:type="dxa" w:w="22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Often on lower leaves first, spreading upward</w:t>
            </w:r>
          </w:p>
        </w:tc>
        <w:tc>
          <w:tcPr>
            <w:tcW w:type="dxa" w:w="24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blight (oomycete) or bacterial blight</w:t>
            </w:r>
          </w:p>
        </w:tc>
        <w:tc>
          <w:tcPr>
            <w:tcW w:type="dxa" w:w="196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Sections 2, 4</w:t>
            </w:r>
          </w:p>
        </w:tc>
      </w:tr>
      <w:tr>
        <w:tc>
          <w:tcPr>
            <w:tcW w:type="dxa" w:w="28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Wilting that does not recover after watering</w:t>
            </w:r>
          </w:p>
        </w:tc>
        <w:tc>
          <w:tcPr>
            <w:tcW w:type="dxa" w:w="22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Whole plant or one side; vascular browning visible in stem cross-section</w:t>
            </w:r>
          </w:p>
        </w:tc>
        <w:tc>
          <w:tcPr>
            <w:tcW w:type="dxa" w:w="24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Fusarium wilt or Verticillium wilt (soilborne fungal)</w:t>
            </w:r>
          </w:p>
        </w:tc>
        <w:tc>
          <w:tcPr>
            <w:tcW w:type="dxa" w:w="196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Section 5</w:t>
            </w:r>
          </w:p>
        </w:tc>
      </w:tr>
      <w:tr>
        <w:tc>
          <w:tcPr>
            <w:tcW w:type="dxa" w:w="28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Crown or stem rotting at soil line</w:t>
            </w:r>
          </w:p>
        </w:tc>
        <w:tc>
          <w:tcPr>
            <w:tcW w:type="dxa" w:w="22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Stem base; crown of plant</w:t>
            </w:r>
          </w:p>
        </w:tc>
        <w:tc>
          <w:tcPr>
            <w:tcW w:type="dxa" w:w="24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Crown rot, collar rot, Pythium, or Sclerotinia</w:t>
            </w:r>
          </w:p>
        </w:tc>
        <w:tc>
          <w:tcPr>
            <w:tcW w:type="dxa" w:w="196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5</w:t>
            </w:r>
          </w:p>
        </w:tc>
      </w:tr>
      <w:tr>
        <w:tc>
          <w:tcPr>
            <w:tcW w:type="dxa" w:w="28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Roots brown, mushy, or with dark lesions</w:t>
            </w:r>
          </w:p>
        </w:tc>
        <w:tc>
          <w:tcPr>
            <w:tcW w:type="dxa" w:w="22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Root system; visible when plant is dug</w:t>
            </w:r>
          </w:p>
        </w:tc>
        <w:tc>
          <w:tcPr>
            <w:tcW w:type="dxa" w:w="24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Root rot (Pythium, Phytophthora, Fusarium)</w:t>
            </w:r>
          </w:p>
        </w:tc>
        <w:tc>
          <w:tcPr>
            <w:tcW w:type="dxa" w:w="196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Section 5</w:t>
            </w:r>
          </w:p>
        </w:tc>
      </w:tr>
      <w:tr>
        <w:tc>
          <w:tcPr>
            <w:tcW w:type="dxa" w:w="28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Mosaic pattern: light green/yellow patches on leaves</w:t>
            </w:r>
          </w:p>
        </w:tc>
        <w:tc>
          <w:tcPr>
            <w:tcW w:type="dxa" w:w="22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Irregular across the entire leaf; leaf may be distorted</w:t>
            </w:r>
          </w:p>
        </w:tc>
        <w:tc>
          <w:tcPr>
            <w:tcW w:type="dxa" w:w="24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Mosaic virus (multiple viral pathogens)</w:t>
            </w:r>
          </w:p>
        </w:tc>
        <w:tc>
          <w:tcPr>
            <w:tcW w:type="dxa" w:w="196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6</w:t>
            </w:r>
          </w:p>
        </w:tc>
      </w:tr>
      <w:tr>
        <w:tc>
          <w:tcPr>
            <w:tcW w:type="dxa" w:w="28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Leaves curled, distorted, stunted, or streaked</w:t>
            </w:r>
          </w:p>
        </w:tc>
        <w:tc>
          <w:tcPr>
            <w:tcW w:type="dxa" w:w="22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New growth primarily; may have ringspot patterns</w:t>
            </w:r>
          </w:p>
        </w:tc>
        <w:tc>
          <w:tcPr>
            <w:tcW w:type="dxa" w:w="24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Viral disease; check for aphid or thrips vectors</w:t>
            </w:r>
          </w:p>
        </w:tc>
        <w:tc>
          <w:tcPr>
            <w:tcW w:type="dxa" w:w="196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Section 6</w:t>
            </w:r>
          </w:p>
        </w:tc>
      </w:tr>
      <w:tr>
        <w:tc>
          <w:tcPr>
            <w:tcW w:type="dxa" w:w="28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Fire-killed branch tips; shepherd’s crook shape</w:t>
            </w:r>
          </w:p>
        </w:tc>
        <w:tc>
          <w:tcPr>
            <w:tcW w:type="dxa" w:w="22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Branch tips; spreads toward main trunk</w:t>
            </w:r>
          </w:p>
        </w:tc>
        <w:tc>
          <w:tcPr>
            <w:tcW w:type="dxa" w:w="24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Fire blight (bacterial)</w:t>
            </w:r>
          </w:p>
        </w:tc>
        <w:tc>
          <w:tcPr>
            <w:tcW w:type="dxa" w:w="196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4</w:t>
            </w:r>
          </w:p>
        </w:tc>
      </w:tr>
      <w:tr>
        <w:tc>
          <w:tcPr>
            <w:tcW w:type="dxa" w:w="28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Cankers: sunken, dead areas on bark or stems</w:t>
            </w:r>
          </w:p>
        </w:tc>
        <w:tc>
          <w:tcPr>
            <w:tcW w:type="dxa" w:w="22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Branches or trunk; defined dead areas</w:t>
            </w:r>
          </w:p>
        </w:tc>
        <w:tc>
          <w:tcPr>
            <w:tcW w:type="dxa" w:w="24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Canker diseases (fungal or bacterial)</w:t>
            </w:r>
          </w:p>
        </w:tc>
        <w:tc>
          <w:tcPr>
            <w:tcW w:type="dxa" w:w="196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Section 4</w:t>
            </w:r>
          </w:p>
        </w:tc>
      </w:tr>
      <w:tr>
        <w:tc>
          <w:tcPr>
            <w:tcW w:type="dxa" w:w="28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Galls: abnormal growths on roots or crown</w:t>
            </w:r>
          </w:p>
        </w:tc>
        <w:tc>
          <w:tcPr>
            <w:tcW w:type="dxa" w:w="22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Root crown area; rough, irregular masses</w:t>
            </w:r>
          </w:p>
        </w:tc>
        <w:tc>
          <w:tcPr>
            <w:tcW w:type="dxa" w:w="24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Crown gall (bacterial)</w:t>
            </w:r>
          </w:p>
        </w:tc>
        <w:tc>
          <w:tcPr>
            <w:tcW w:type="dxa" w:w="196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4</w:t>
            </w:r>
          </w:p>
        </w:tc>
      </w:tr>
      <w:tr>
        <w:tc>
          <w:tcPr>
            <w:tcW w:type="dxa" w:w="28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Sooty black coating on leaf surface</w:t>
            </w:r>
          </w:p>
        </w:tc>
        <w:tc>
          <w:tcPr>
            <w:tcW w:type="dxa" w:w="22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Leaf upper surface; wipes off; follows insect infestations</w:t>
            </w:r>
          </w:p>
        </w:tc>
        <w:tc>
          <w:tcPr>
            <w:tcW w:type="dxa" w:w="24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Sooty mold (secondary fungal growth on honeydew)</w:t>
            </w:r>
          </w:p>
        </w:tc>
        <w:tc>
          <w:tcPr>
            <w:tcW w:type="dxa" w:w="196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Section 2</w:t>
            </w:r>
          </w:p>
        </w:tc>
      </w:tr>
      <w:tr>
        <w:tc>
          <w:tcPr>
            <w:tcW w:type="dxa" w:w="28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Damping off: seedlings collapsing at soil line</w:t>
            </w:r>
          </w:p>
        </w:tc>
        <w:tc>
          <w:tcPr>
            <w:tcW w:type="dxa" w:w="22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Stem at or below soil surface; seedlings falling over</w:t>
            </w:r>
          </w:p>
        </w:tc>
        <w:tc>
          <w:tcPr>
            <w:tcW w:type="dxa" w:w="24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Damping off (Pythium, Rhizoctonia; soilborne)</w:t>
            </w:r>
          </w:p>
        </w:tc>
        <w:tc>
          <w:tcPr>
            <w:tcW w:type="dxa" w:w="196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5</w:t>
            </w:r>
          </w:p>
        </w:tc>
      </w:tr>
    </w:tbl>
    <w:p>
      <w:pPr>
        <w:spacing w:before="0" w:after="120"/>
      </w:pPr>
      <w:r>
        <w:t xml:space="preserve"/>
      </w:r>
    </w:p>
    <w:p>
      <w:pPr>
        <w:pBdr>
          <w:bottom w:val="single" w:color="1D3A2A" w:sz="6" w:space="1"/>
        </w:pBdr>
        <w:spacing w:before="160" w:after="160"/>
      </w:pPr>
      <w:r>
        <w:t xml:space="preserve"/>
      </w:r>
    </w:p>
    <w:p>
      <w:r>
        <w:br w:type="page"/>
      </w:r>
    </w:p>
    <w:p>
      <w:pPr>
        <w:pStyle w:val="Heading1"/>
        <w:spacing w:before="360" w:after="180"/>
      </w:pPr>
      <w:r>
        <w:rPr>
          <w:rFonts w:ascii="Arial" w:cs="Arial" w:eastAsia="Arial" w:hAnsi="Arial"/>
          <w:b/>
          <w:bCs/>
          <w:color w:val="1D3A2A"/>
          <w:sz w:val="36"/>
          <w:szCs w:val="36"/>
        </w:rPr>
        <w:t xml:space="preserve">Section 1: Understanding Plant Disease</w:t>
      </w:r>
    </w:p>
    <w:p>
      <w:pPr>
        <w:spacing w:before="120" w:after="160" w:line="280"/>
      </w:pPr>
      <w:r>
        <w:rPr>
          <w:rFonts w:ascii="Arial" w:cs="Arial" w:eastAsia="Arial" w:hAnsi="Arial"/>
          <w:sz w:val="22"/>
          <w:szCs w:val="22"/>
        </w:rPr>
        <w:t xml:space="preserve">Plant diseases are caused by pathogens — disease-causing organisms — that fall into four main categories: fungi, bacteria, viruses, and nematodes. Oomycetes (water molds, including the organisms that cause late blight and downy mildew) were historically classified as fungi but are now understood to be a distinct group that requires different management approaches. Each category has distinct biology, mode of infection, and effective treatment options.</w:t>
      </w:r>
    </w:p>
    <w:p>
      <w:pPr>
        <w:pStyle w:val="Heading2"/>
        <w:spacing w:before="240" w:after="120"/>
      </w:pPr>
      <w:r>
        <w:rPr>
          <w:rFonts w:ascii="Arial" w:cs="Arial" w:eastAsia="Arial" w:hAnsi="Arial"/>
          <w:b/>
          <w:bCs/>
          <w:color w:val="6B1818"/>
          <w:sz w:val="28"/>
          <w:szCs w:val="28"/>
        </w:rPr>
        <w:t xml:space="preserve">The Four Major Pathogen Categories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1900"/>
        <w:gridCol w:w="2200"/>
        <w:gridCol w:w="760"/>
      </w:tblGrid>
      <w:tr>
        <w:trPr>
          <w:tblHeader/>
        </w:trPr>
        <w:tc>
          <w:tcPr>
            <w:tcW w:type="dxa" w:w="1900"/>
            <w:tcBorders>
              <w:top w:val="single" w:color="1D3A2A" w:sz="1"/>
              <w:left w:val="single" w:color="1D3A2A" w:sz="1"/>
              <w:bottom w:val="single" w:color="1D3A2A" w:sz="1"/>
              <w:right w:val="single" w:color="1D3A2A" w:sz="1"/>
            </w:tcBorders>
            <w:shd w:fill="1D3A2A" w:val="clear"/>
            <w:tcMar>
              <w:top w:type="dxa" w:w="80"/>
              <w:left w:type="dxa" w:w="120"/>
              <w:bottom w:type="dxa" w:w="80"/>
              <w:right w:type="dxa" w:w="120"/>
            </w:tcMar>
          </w:tcPr>
          <w:p>
            <w:r>
              <w:rPr>
                <w:rFonts w:ascii="Arial" w:cs="Arial" w:eastAsia="Arial" w:hAnsi="Arial"/>
                <w:b/>
                <w:bCs/>
                <w:color w:val="FFFFFF"/>
                <w:sz w:val="20"/>
                <w:szCs w:val="20"/>
              </w:rPr>
              <w:t xml:space="preserve">Pathogen Type</w:t>
            </w:r>
          </w:p>
        </w:tc>
        <w:tc>
          <w:tcPr>
            <w:tcW w:type="dxa" w:w="2600"/>
            <w:tcBorders>
              <w:top w:val="single" w:color="1D3A2A" w:sz="1"/>
              <w:left w:val="single" w:color="1D3A2A" w:sz="1"/>
              <w:bottom w:val="single" w:color="1D3A2A" w:sz="1"/>
              <w:right w:val="single" w:color="1D3A2A" w:sz="1"/>
            </w:tcBorders>
            <w:shd w:fill="1D3A2A" w:val="clear"/>
            <w:tcMar>
              <w:top w:type="dxa" w:w="80"/>
              <w:left w:type="dxa" w:w="120"/>
              <w:bottom w:type="dxa" w:w="80"/>
              <w:right w:type="dxa" w:w="120"/>
            </w:tcMar>
          </w:tcPr>
          <w:p>
            <w:r>
              <w:rPr>
                <w:rFonts w:ascii="Arial" w:cs="Arial" w:eastAsia="Arial" w:hAnsi="Arial"/>
                <w:b/>
                <w:bCs/>
                <w:color w:val="FFFFFF"/>
                <w:sz w:val="20"/>
                <w:szCs w:val="20"/>
              </w:rPr>
              <w:t xml:space="preserve">Biology</w:t>
            </w:r>
          </w:p>
        </w:tc>
        <w:tc>
          <w:tcPr>
            <w:tcW w:type="dxa" w:w="1900"/>
            <w:tcBorders>
              <w:top w:val="single" w:color="1D3A2A" w:sz="1"/>
              <w:left w:val="single" w:color="1D3A2A" w:sz="1"/>
              <w:bottom w:val="single" w:color="1D3A2A" w:sz="1"/>
              <w:right w:val="single" w:color="1D3A2A" w:sz="1"/>
            </w:tcBorders>
            <w:shd w:fill="1D3A2A" w:val="clear"/>
            <w:tcMar>
              <w:top w:type="dxa" w:w="80"/>
              <w:left w:type="dxa" w:w="120"/>
              <w:bottom w:type="dxa" w:w="80"/>
              <w:right w:type="dxa" w:w="120"/>
            </w:tcMar>
          </w:tcPr>
          <w:p>
            <w:r>
              <w:rPr>
                <w:rFonts w:ascii="Arial" w:cs="Arial" w:eastAsia="Arial" w:hAnsi="Arial"/>
                <w:b/>
                <w:bCs/>
                <w:color w:val="FFFFFF"/>
                <w:sz w:val="20"/>
                <w:szCs w:val="20"/>
              </w:rPr>
              <w:t xml:space="preserve">How They Spread</w:t>
            </w:r>
          </w:p>
        </w:tc>
        <w:tc>
          <w:tcPr>
            <w:tcW w:type="dxa" w:w="2200"/>
            <w:tcBorders>
              <w:top w:val="single" w:color="1D3A2A" w:sz="1"/>
              <w:left w:val="single" w:color="1D3A2A" w:sz="1"/>
              <w:bottom w:val="single" w:color="1D3A2A" w:sz="1"/>
              <w:right w:val="single" w:color="1D3A2A" w:sz="1"/>
            </w:tcBorders>
            <w:shd w:fill="1D3A2A" w:val="clear"/>
            <w:tcMar>
              <w:top w:type="dxa" w:w="80"/>
              <w:left w:type="dxa" w:w="120"/>
              <w:bottom w:type="dxa" w:w="80"/>
              <w:right w:type="dxa" w:w="120"/>
            </w:tcMar>
          </w:tcPr>
          <w:p>
            <w:r>
              <w:rPr>
                <w:rFonts w:ascii="Arial" w:cs="Arial" w:eastAsia="Arial" w:hAnsi="Arial"/>
                <w:b/>
                <w:bCs/>
                <w:color w:val="FFFFFF"/>
                <w:sz w:val="20"/>
                <w:szCs w:val="20"/>
              </w:rPr>
              <w:t xml:space="preserve">How They Infect</w:t>
            </w:r>
          </w:p>
        </w:tc>
        <w:tc>
          <w:tcPr>
            <w:tcW w:type="dxa" w:w="760"/>
            <w:tcBorders>
              <w:top w:val="single" w:color="1D3A2A" w:sz="1"/>
              <w:left w:val="single" w:color="1D3A2A" w:sz="1"/>
              <w:bottom w:val="single" w:color="1D3A2A" w:sz="1"/>
              <w:right w:val="single" w:color="1D3A2A" w:sz="1"/>
            </w:tcBorders>
            <w:shd w:fill="1D3A2A" w:val="clear"/>
            <w:tcMar>
              <w:top w:type="dxa" w:w="80"/>
              <w:left w:type="dxa" w:w="120"/>
              <w:bottom w:type="dxa" w:w="80"/>
              <w:right w:type="dxa" w:w="120"/>
            </w:tcMar>
          </w:tcPr>
          <w:p>
            <w:r>
              <w:rPr>
                <w:rFonts w:ascii="Arial" w:cs="Arial" w:eastAsia="Arial" w:hAnsi="Arial"/>
                <w:b/>
                <w:bCs/>
                <w:color w:val="FFFFFF"/>
                <w:sz w:val="20"/>
                <w:szCs w:val="20"/>
              </w:rPr>
              <w:t xml:space="preserve">Treatability</w:t>
            </w:r>
          </w:p>
        </w:tc>
      </w:tr>
      <w:tr>
        <w:tc>
          <w:tcPr>
            <w:tcW w:type="dxa" w:w="19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Fungi</w:t>
            </w:r>
          </w:p>
        </w:tc>
        <w:tc>
          <w:tcPr>
            <w:tcW w:type="dxa" w:w="26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Eukaryotic organisms that reproduce by spores; the largest category of plant pathogens; includes powdery mildew, rusts, blights, leaf spots, anthracnose, and many more</w:t>
            </w:r>
          </w:p>
        </w:tc>
        <w:tc>
          <w:tcPr>
            <w:tcW w:type="dxa" w:w="19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Wind, water splash, tools, insects, contaminated soil and plant material</w:t>
            </w:r>
          </w:p>
        </w:tc>
        <w:tc>
          <w:tcPr>
            <w:tcW w:type="dxa" w:w="22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Spores land on susceptible tissue; germinate in appropriate conditions (most need moisture and specific temperature range); penetrate through natural openings or wounds</w:t>
            </w:r>
          </w:p>
        </w:tc>
        <w:tc>
          <w:tcPr>
            <w:tcW w:type="dxa" w:w="76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Good: fungicides are effective for many fungal diseases; cultural practices highly effective for prevention</w:t>
            </w:r>
          </w:p>
        </w:tc>
      </w:tr>
      <w:tr>
        <w:tc>
          <w:tcPr>
            <w:tcW w:type="dxa" w:w="19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Oomycetes (water molds)</w:t>
            </w:r>
          </w:p>
        </w:tc>
        <w:tc>
          <w:tcPr>
            <w:tcW w:type="dxa" w:w="26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Superficially resemble fungi but are more closely related to brown algae; cell walls contain cellulose rather than chitin; require free water to sporulate; include Phytophthora, Pythium, Peronospora (downy mildew), and Plasmopara</w:t>
            </w:r>
          </w:p>
        </w:tc>
        <w:tc>
          <w:tcPr>
            <w:tcW w:type="dxa" w:w="19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Water splash, irrigation, soil movement, contaminated plant material; spores are water-dispersed</w:t>
            </w:r>
          </w:p>
        </w:tc>
        <w:tc>
          <w:tcPr>
            <w:tcW w:type="dxa" w:w="22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Require free water (on leaf surfaces or in soil) to produce and release zoospores; penetrate through stomata or root surfaces</w:t>
            </w:r>
          </w:p>
        </w:tc>
        <w:tc>
          <w:tcPr>
            <w:tcW w:type="dxa" w:w="76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Moderate: some fungicides work; many standard fungicides do NOT work on oomycetes (they lack chitin). Specific phosphonate or mandipropamid products required.</w:t>
            </w:r>
          </w:p>
        </w:tc>
      </w:tr>
      <w:tr>
        <w:tc>
          <w:tcPr>
            <w:tcW w:type="dxa" w:w="19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Bacteria</w:t>
            </w:r>
          </w:p>
        </w:tc>
        <w:tc>
          <w:tcPr>
            <w:tcW w:type="dxa" w:w="26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Prokaryotic organisms; plant-pathogenic bacteria include Pseudomonas, Xanthomonas, Erwinia, Agrobacterium, and Clavibacter; enter through wounds, stomata, or insect vectors</w:t>
            </w:r>
          </w:p>
        </w:tc>
        <w:tc>
          <w:tcPr>
            <w:tcW w:type="dxa" w:w="19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Splashing water, insects (especially aphids and leafhoppers), contaminated tools, infected seed, wind-driven rain</w:t>
            </w:r>
          </w:p>
        </w:tc>
        <w:tc>
          <w:tcPr>
            <w:tcW w:type="dxa" w:w="22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Enter through natural openings (stomata, lenticels), wounds (pruning cuts, insect feeding), or via insect vectors; multiply in intercellular spaces or vascular tissue</w:t>
            </w:r>
          </w:p>
        </w:tc>
        <w:tc>
          <w:tcPr>
            <w:tcW w:type="dxa" w:w="76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Limited: no systemic bactericide equivalent to fungicide; copper-based products have suppressive activity; prevention and sanitation are primary management tools</w:t>
            </w:r>
          </w:p>
        </w:tc>
      </w:tr>
      <w:tr>
        <w:tc>
          <w:tcPr>
            <w:tcW w:type="dxa" w:w="19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Viruses</w:t>
            </w:r>
          </w:p>
        </w:tc>
        <w:tc>
          <w:tcPr>
            <w:tcW w:type="dxa" w:w="26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Obligate intracellular pathogens; cannot reproduce outside a living host cell; cause mosaic patterns, distortion, stunting, and ringspot symptoms; over 1,000 plant viruses known</w:t>
            </w:r>
          </w:p>
        </w:tc>
        <w:tc>
          <w:tcPr>
            <w:tcW w:type="dxa" w:w="19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Primarily by insect vectors (aphids, thrips, whiteflies, leafhoppers); also by contaminated tools, seeds, and vegetative propagation material</w:t>
            </w:r>
          </w:p>
        </w:tc>
        <w:tc>
          <w:tcPr>
            <w:tcW w:type="dxa" w:w="22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Inserted into the plant by a vector insect feeding; or mechanically transmitted through tools and hands; replicate in plant cells and spread systemically</w:t>
            </w:r>
          </w:p>
        </w:tc>
        <w:tc>
          <w:tcPr>
            <w:tcW w:type="dxa" w:w="76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None: there is no cure for a virally infected plant. Remove and destroy infected plants. Control insect vectors to prevent spread.</w:t>
            </w:r>
          </w:p>
        </w:tc>
      </w:tr>
      <w:tr>
        <w:tc>
          <w:tcPr>
            <w:tcW w:type="dxa" w:w="19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Nematodes (plant-parasitic)</w:t>
            </w:r>
          </w:p>
        </w:tc>
        <w:tc>
          <w:tcPr>
            <w:tcW w:type="dxa" w:w="26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Microscopic roundworms in soil; root-knot nematodes, cyst nematodes, and lesion nematodes are the most economically significant; create galls or lesions on roots that impair nutrient and water uptake</w:t>
            </w:r>
          </w:p>
        </w:tc>
        <w:tc>
          <w:tcPr>
            <w:tcW w:type="dxa" w:w="19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Soil, transplant material, contaminated tools, irrigation water, shoes</w:t>
            </w:r>
          </w:p>
        </w:tc>
        <w:tc>
          <w:tcPr>
            <w:tcW w:type="dxa" w:w="22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Penetrate roots directly; root-knot nematodes induce formation of galls where they feed; populations build over years in continuously cropped soil</w:t>
            </w:r>
          </w:p>
        </w:tc>
        <w:tc>
          <w:tcPr>
            <w:tcW w:type="dxa" w:w="76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Difficult: solarization, nematicide, crop rotation, and resistant varieties are primary tools; nematode populations are slow to decline once established</w:t>
            </w:r>
          </w:p>
        </w:tc>
      </w:tr>
    </w:tbl>
    <w:p>
      <w:pPr>
        <w:spacing w:before="0" w:after="120"/>
      </w:pPr>
      <w:r>
        <w:t xml:space="preserve"/>
      </w:r>
    </w:p>
    <w:p>
      <w:pPr>
        <w:pStyle w:val="Heading2"/>
        <w:spacing w:before="240" w:after="120"/>
      </w:pPr>
      <w:r>
        <w:rPr>
          <w:rFonts w:ascii="Arial" w:cs="Arial" w:eastAsia="Arial" w:hAnsi="Arial"/>
          <w:b/>
          <w:bCs/>
          <w:color w:val="6B1818"/>
          <w:sz w:val="28"/>
          <w:szCs w:val="28"/>
        </w:rPr>
        <w:t xml:space="preserve">The Environmental Conditions That Drive Disease</w:t>
      </w:r>
    </w:p>
    <w:p>
      <w:pPr>
        <w:spacing w:before="60" w:after="100" w:line="280"/>
      </w:pPr>
      <w:r>
        <w:rPr>
          <w:rFonts w:ascii="Arial" w:cs="Arial" w:eastAsia="Arial" w:hAnsi="Arial"/>
          <w:sz w:val="22"/>
          <w:szCs w:val="22"/>
        </w:rPr>
        <w:t xml:space="preserve">Most plant diseases require specific environmental conditions to develop. Understanding these conditions allows you to predict disease pressure and adjust management accordingly. Temperature and moisture are the two most important environmental variables.</w:t>
      </w:r>
    </w:p>
    <w:p>
      <w:pPr>
        <w:pStyle w:val="ListParagraph"/>
        <w:numPr>
          <w:ilvl w:val="0"/>
          <w:numId w:val="2"/>
        </w:numPr>
        <w:spacing w:before="60" w:after="60"/>
      </w:pPr>
      <w:r>
        <w:rPr>
          <w:rFonts w:ascii="Arial" w:cs="Arial" w:eastAsia="Arial" w:hAnsi="Arial"/>
          <w:b/>
          <w:bCs/>
          <w:sz w:val="22"/>
          <w:szCs w:val="22"/>
        </w:rPr>
        <w:t xml:space="preserve">Temperature:</w:t>
      </w:r>
      <w:r>
        <w:rPr>
          <w:rFonts w:ascii="Arial" w:cs="Arial" w:eastAsia="Arial" w:hAnsi="Arial"/>
          <w:sz w:val="22"/>
          <w:szCs w:val="22"/>
        </w:rPr>
        <w:t xml:space="preserve"> Each pathogen has an optimal temperature range for infection and sporulation. Powdery mildew favors warm, dry days and cool nights (65–80°F daytime). Late blight (Phytophthora infestans) is most aggressive at 50–70°F with high humidity. Bacterial diseases generally favor warm, wet conditions. Knowing your local climate patterns helps anticipate which diseases will be most problematic in your region.</w:t>
      </w:r>
    </w:p>
    <w:p>
      <w:pPr>
        <w:pStyle w:val="ListParagraph"/>
        <w:numPr>
          <w:ilvl w:val="0"/>
          <w:numId w:val="2"/>
        </w:numPr>
        <w:spacing w:before="60" w:after="60"/>
      </w:pPr>
      <w:r>
        <w:rPr>
          <w:rFonts w:ascii="Arial" w:cs="Arial" w:eastAsia="Arial" w:hAnsi="Arial"/>
          <w:b/>
          <w:bCs/>
          <w:sz w:val="22"/>
          <w:szCs w:val="22"/>
        </w:rPr>
        <w:t xml:space="preserve">Moisture:</w:t>
      </w:r>
      <w:r>
        <w:rPr>
          <w:rFonts w:ascii="Arial" w:cs="Arial" w:eastAsia="Arial" w:hAnsi="Arial"/>
          <w:sz w:val="22"/>
          <w:szCs w:val="22"/>
        </w:rPr>
        <w:t xml:space="preserve"> Free water on plant surfaces — from rain, overhead irrigation, dew, or fog — is required for most fungal spores to germinate and for most bacteria to infect through stomata. Keeping foliage dry is one of the most effective disease prevention strategies. Exceptions: powdery mildew is a counterintuitive case where it actually thrives in dry, warm conditions and is suppressed by rain (which washes off spores).</w:t>
      </w:r>
    </w:p>
    <w:p>
      <w:pPr>
        <w:pStyle w:val="ListParagraph"/>
        <w:numPr>
          <w:ilvl w:val="0"/>
          <w:numId w:val="2"/>
        </w:numPr>
        <w:spacing w:before="60" w:after="60"/>
      </w:pPr>
      <w:r>
        <w:rPr>
          <w:rFonts w:ascii="Arial" w:cs="Arial" w:eastAsia="Arial" w:hAnsi="Arial"/>
          <w:b/>
          <w:bCs/>
          <w:sz w:val="22"/>
          <w:szCs w:val="22"/>
        </w:rPr>
        <w:t xml:space="preserve">Humidity:</w:t>
      </w:r>
      <w:r>
        <w:rPr>
          <w:rFonts w:ascii="Arial" w:cs="Arial" w:eastAsia="Arial" w:hAnsi="Arial"/>
          <w:sz w:val="22"/>
          <w:szCs w:val="22"/>
        </w:rPr>
        <w:t xml:space="preserve"> Relative humidity above 85% is required for sporulation of many fungal pathogens. Dense, overcrowded plantings create microclimates of elevated humidity even when the ambient humidity is moderate. Proper plant spacing and pruning for air circulation is a genuine disease management tool.</w:t>
      </w:r>
    </w:p>
    <w:p>
      <w:pPr>
        <w:pStyle w:val="ListParagraph"/>
        <w:numPr>
          <w:ilvl w:val="0"/>
          <w:numId w:val="2"/>
        </w:numPr>
        <w:spacing w:before="60" w:after="60"/>
      </w:pPr>
      <w:r>
        <w:rPr>
          <w:rFonts w:ascii="Arial" w:cs="Arial" w:eastAsia="Arial" w:hAnsi="Arial"/>
          <w:b/>
          <w:bCs/>
          <w:sz w:val="22"/>
          <w:szCs w:val="22"/>
        </w:rPr>
        <w:t xml:space="preserve">Plant stress:</w:t>
      </w:r>
      <w:r>
        <w:rPr>
          <w:rFonts w:ascii="Arial" w:cs="Arial" w:eastAsia="Arial" w:hAnsi="Arial"/>
          <w:sz w:val="22"/>
          <w:szCs w:val="22"/>
        </w:rPr>
        <w:t xml:space="preserve"> Stressed plants are universally more susceptible to disease. Water stress, nutrient deficiency, root damage, cold injury, and heat stress all compromise the plant’s immune-like defenses. A well-grown plant in appropriate conditions resists infection that would rapidly establish in a stressed specimen. Proper fertilization, watering, and site selection are not just horticultural good practice — they are disease prevention.</w:t>
      </w:r>
    </w:p>
    <w:p>
      <w:pPr>
        <w:spacing w:before="0" w:after="120"/>
      </w:pPr>
      <w:r>
        <w:t xml:space="preserve"/>
      </w:r>
    </w:p>
    <w:p>
      <w:pPr>
        <w:pStyle w:val="Heading2"/>
        <w:spacing w:before="240" w:after="120"/>
      </w:pPr>
      <w:r>
        <w:rPr>
          <w:rFonts w:ascii="Arial" w:cs="Arial" w:eastAsia="Arial" w:hAnsi="Arial"/>
          <w:b/>
          <w:bCs/>
          <w:color w:val="6B1818"/>
          <w:sz w:val="28"/>
          <w:szCs w:val="28"/>
        </w:rPr>
        <w:t xml:space="preserve">Disease Prevention: The Foundation of Management</w:t>
      </w:r>
    </w:p>
    <w:p>
      <w:pPr>
        <w:spacing w:before="60" w:after="100" w:line="280"/>
      </w:pPr>
      <w:r>
        <w:rPr>
          <w:rFonts w:ascii="Arial" w:cs="Arial" w:eastAsia="Arial" w:hAnsi="Arial"/>
          <w:sz w:val="22"/>
          <w:szCs w:val="22"/>
        </w:rPr>
        <w:t xml:space="preserve">For most garden diseases, prevention through cultural practices is far more effective than any treatment after disease has established. Once a systemic fungal or bacterial disease has moved through the vascular tissue, no spray treatment will cure it. The following practices form the foundation of disease management in any garden:</w:t>
      </w:r>
    </w:p>
    <w:p>
      <w:pPr>
        <w:pStyle w:val="ListParagraph"/>
        <w:numPr>
          <w:ilvl w:val="0"/>
          <w:numId w:val="3"/>
        </w:numPr>
        <w:spacing w:before="60" w:after="60"/>
      </w:pPr>
      <w:r>
        <w:rPr>
          <w:rFonts w:ascii="Arial" w:cs="Arial" w:eastAsia="Arial" w:hAnsi="Arial"/>
          <w:b/>
          <w:bCs/>
          <w:sz w:val="22"/>
          <w:szCs w:val="22"/>
        </w:rPr>
        <w:t xml:space="preserve">Site selection and spacing:</w:t>
      </w:r>
      <w:r>
        <w:rPr>
          <w:rFonts w:ascii="Arial" w:cs="Arial" w:eastAsia="Arial" w:hAnsi="Arial"/>
          <w:sz w:val="22"/>
          <w:szCs w:val="22"/>
        </w:rPr>
        <w:t xml:space="preserve"> Plant in appropriate sun and drainage conditions. Space plants to allow good air circulation — the spacing recommendations on seed packets and transplant tags reflect not just mature plant size but also the airflow needed to prevent disease.</w:t>
      </w:r>
    </w:p>
    <w:p>
      <w:pPr>
        <w:pStyle w:val="ListParagraph"/>
        <w:numPr>
          <w:ilvl w:val="0"/>
          <w:numId w:val="3"/>
        </w:numPr>
        <w:spacing w:before="60" w:after="60"/>
      </w:pPr>
      <w:r>
        <w:rPr>
          <w:rFonts w:ascii="Arial" w:cs="Arial" w:eastAsia="Arial" w:hAnsi="Arial"/>
          <w:b/>
          <w:bCs/>
          <w:sz w:val="22"/>
          <w:szCs w:val="22"/>
        </w:rPr>
        <w:t xml:space="preserve">Resistant varieties:</w:t>
      </w:r>
      <w:r>
        <w:rPr>
          <w:rFonts w:ascii="Arial" w:cs="Arial" w:eastAsia="Arial" w:hAnsi="Arial"/>
          <w:sz w:val="22"/>
          <w:szCs w:val="22"/>
        </w:rPr>
        <w:t xml:space="preserve"> The most powerful disease management tool. Modern vegetable, fruit, and ornamental varieties with disease resistance have been bred specifically to resist the most economically important pathogens. Resistance codes on tomato variety labels (V = Verticillium, F = Fusarium, N = nematodes, T = tobacco mosaic virus, A = Alternaria, L = gray leaf spot) indicate which diseases the variety resists. Choosing resistant varieties eliminates the need for preventive sprays entirely for those diseases.</w:t>
      </w:r>
    </w:p>
    <w:p>
      <w:pPr>
        <w:pStyle w:val="ListParagraph"/>
        <w:numPr>
          <w:ilvl w:val="0"/>
          <w:numId w:val="3"/>
        </w:numPr>
        <w:spacing w:before="60" w:after="60"/>
      </w:pPr>
      <w:r>
        <w:rPr>
          <w:rFonts w:ascii="Arial" w:cs="Arial" w:eastAsia="Arial" w:hAnsi="Arial"/>
          <w:b/>
          <w:bCs/>
          <w:sz w:val="22"/>
          <w:szCs w:val="22"/>
        </w:rPr>
        <w:t xml:space="preserve">Sanitation:</w:t>
      </w:r>
      <w:r>
        <w:rPr>
          <w:rFonts w:ascii="Arial" w:cs="Arial" w:eastAsia="Arial" w:hAnsi="Arial"/>
          <w:sz w:val="22"/>
          <w:szCs w:val="22"/>
        </w:rPr>
        <w:t xml:space="preserve"> Remove and dispose of diseased plant tissue immediately — do not compost it. Clean tools with a 10% bleach solution or 70% isopropyl alcohol between plants when working in a diseased area. Do not handle healthy plants after working with diseased ones without washing hands and tools. Many fungal and bacterial diseases are spread by tools and hands.</w:t>
      </w:r>
    </w:p>
    <w:p>
      <w:pPr>
        <w:pStyle w:val="ListParagraph"/>
        <w:numPr>
          <w:ilvl w:val="0"/>
          <w:numId w:val="3"/>
        </w:numPr>
        <w:spacing w:before="60" w:after="60"/>
      </w:pPr>
      <w:r>
        <w:rPr>
          <w:rFonts w:ascii="Arial" w:cs="Arial" w:eastAsia="Arial" w:hAnsi="Arial"/>
          <w:b/>
          <w:bCs/>
          <w:sz w:val="22"/>
          <w:szCs w:val="22"/>
        </w:rPr>
        <w:t xml:space="preserve">Crop rotation:</w:t>
      </w:r>
      <w:r>
        <w:rPr>
          <w:rFonts w:ascii="Arial" w:cs="Arial" w:eastAsia="Arial" w:hAnsi="Arial"/>
          <w:sz w:val="22"/>
          <w:szCs w:val="22"/>
        </w:rPr>
        <w:t xml:space="preserve"> Soilborne pathogens — Fusarium, Verticillium, nematodes, and some bacterial diseases — build up in soil where the same host crop is grown year after year. Rotating to unrelated plant families in a different area of the garden reduces pathogen populations over time. A three-year rotation is the standard recommendation for most vegetable diseases.</w:t>
      </w:r>
    </w:p>
    <w:p>
      <w:pPr>
        <w:pStyle w:val="ListParagraph"/>
        <w:numPr>
          <w:ilvl w:val="0"/>
          <w:numId w:val="3"/>
        </w:numPr>
        <w:spacing w:before="60" w:after="60"/>
      </w:pPr>
      <w:r>
        <w:rPr>
          <w:rFonts w:ascii="Arial" w:cs="Arial" w:eastAsia="Arial" w:hAnsi="Arial"/>
          <w:b/>
          <w:bCs/>
          <w:sz w:val="22"/>
          <w:szCs w:val="22"/>
        </w:rPr>
        <w:t xml:space="preserve">Water management:</w:t>
      </w:r>
      <w:r>
        <w:rPr>
          <w:rFonts w:ascii="Arial" w:cs="Arial" w:eastAsia="Arial" w:hAnsi="Arial"/>
          <w:sz w:val="22"/>
          <w:szCs w:val="22"/>
        </w:rPr>
        <w:t xml:space="preserve"> Water at the base of plants rather than overhead. If overhead irrigation is used, water early in the day so foliage dries before evening. Wet foliage through the night dramatically increases disease incidence for most foliar pathogens.</w:t>
      </w:r>
    </w:p>
    <w:p>
      <w:pPr>
        <w:pStyle w:val="ListParagraph"/>
        <w:numPr>
          <w:ilvl w:val="0"/>
          <w:numId w:val="3"/>
        </w:numPr>
        <w:spacing w:before="60" w:after="60"/>
      </w:pPr>
      <w:r>
        <w:rPr>
          <w:rFonts w:ascii="Arial" w:cs="Arial" w:eastAsia="Arial" w:hAnsi="Arial"/>
          <w:b/>
          <w:bCs/>
          <w:sz w:val="22"/>
          <w:szCs w:val="22"/>
        </w:rPr>
        <w:t xml:space="preserve">Mulching:</w:t>
      </w:r>
      <w:r>
        <w:rPr>
          <w:rFonts w:ascii="Arial" w:cs="Arial" w:eastAsia="Arial" w:hAnsi="Arial"/>
          <w:sz w:val="22"/>
          <w:szCs w:val="22"/>
        </w:rPr>
        <w:t xml:space="preserve"> A 2–3 inch layer of organic mulch prevents rain and irrigation splash from carrying soilborne pathogens up onto lower leaves — a significant route of infection for early blight, Septoria leaf spot, and many other diseases.</w:t>
      </w:r>
    </w:p>
    <w:p>
      <w:pPr>
        <w:spacing w:before="0" w:after="120"/>
      </w:pPr>
      <w:r>
        <w:t xml:space="preserve"/>
      </w:r>
    </w:p>
    <w:p>
      <w:pPr>
        <w:pBdr>
          <w:bottom w:val="single" w:color="1D3A2A" w:sz="6" w:space="1"/>
        </w:pBdr>
        <w:spacing w:before="160" w:after="160"/>
      </w:pPr>
      <w:r>
        <w:t xml:space="preserve"/>
      </w:r>
    </w:p>
    <w:p>
      <w:r>
        <w:br w:type="page"/>
      </w:r>
    </w:p>
    <w:p>
      <w:pPr>
        <w:pStyle w:val="Heading1"/>
        <w:spacing w:before="360" w:after="180"/>
      </w:pPr>
      <w:r>
        <w:rPr>
          <w:rFonts w:ascii="Arial" w:cs="Arial" w:eastAsia="Arial" w:hAnsi="Arial"/>
          <w:b/>
          <w:bCs/>
          <w:color w:val="1D3A2A"/>
          <w:sz w:val="36"/>
          <w:szCs w:val="36"/>
        </w:rPr>
        <w:t xml:space="preserve">Section 2: Fungal Diseases — The Most Common Plant Pathogens</w:t>
      </w:r>
    </w:p>
    <w:p>
      <w:pPr>
        <w:spacing w:before="120" w:after="160" w:line="280"/>
      </w:pPr>
      <w:r>
        <w:rPr>
          <w:rFonts w:ascii="Arial" w:cs="Arial" w:eastAsia="Arial" w:hAnsi="Arial"/>
          <w:sz w:val="22"/>
          <w:szCs w:val="22"/>
        </w:rPr>
        <w:t xml:space="preserve">Fungi cause more plant diseases than any other pathogen category — an estimated 80% of all plant diseases have a fungal cause. They range from the nearly ubiquitous and relatively mild (powdery mildew on ornamentals) to the economically devastating (late blight, which destroyed the Irish potato crop in 1845 and continues to cause significant losses in American tomato and potato production annually).</w:t>
      </w:r>
    </w:p>
    <w:p>
      <w:pPr>
        <w:pStyle w:val="Heading2"/>
        <w:spacing w:before="240" w:after="120"/>
      </w:pPr>
      <w:r>
        <w:rPr>
          <w:rFonts w:ascii="Arial" w:cs="Arial" w:eastAsia="Arial" w:hAnsi="Arial"/>
          <w:b/>
          <w:bCs/>
          <w:color w:val="6B1818"/>
          <w:sz w:val="28"/>
          <w:szCs w:val="28"/>
        </w:rPr>
        <w:t xml:space="preserve">Powdery Mildew</w:t>
      </w:r>
    </w:p>
    <w:p>
      <w:pPr>
        <w:spacing w:before="60" w:after="100" w:line="280"/>
      </w:pPr>
      <w:r>
        <w:rPr>
          <w:rFonts w:ascii="Arial" w:cs="Arial" w:eastAsia="Arial" w:hAnsi="Arial"/>
          <w:sz w:val="22"/>
          <w:szCs w:val="22"/>
        </w:rPr>
        <w:t xml:space="preserve">Powdery mildew is probably the most widely recognized plant disease in American gardens — the distinctive white or gray powdery coating on leaf surfaces is immediately recognizable and extremely common across a wide host range. Despite its dramatic appearance, powdery mildew is rarely fatal to otherwise healthy plants; it weakens them, reduces yield, and disfigures ornamentals, but most established plants survive infection even without treatment.</w:t>
      </w:r>
    </w:p>
    <w:p>
      <w:pPr>
        <w:pStyle w:val="ListParagraph"/>
        <w:numPr>
          <w:ilvl w:val="0"/>
          <w:numId w:val="2"/>
        </w:numPr>
        <w:spacing w:before="60" w:after="60"/>
      </w:pPr>
      <w:r>
        <w:rPr>
          <w:rFonts w:ascii="Arial" w:cs="Arial" w:eastAsia="Arial" w:hAnsi="Arial"/>
          <w:b/>
          <w:bCs/>
          <w:sz w:val="22"/>
          <w:szCs w:val="22"/>
        </w:rPr>
        <w:t xml:space="preserve">Identification:</w:t>
      </w:r>
      <w:r>
        <w:rPr>
          <w:rFonts w:ascii="Arial" w:cs="Arial" w:eastAsia="Arial" w:hAnsi="Arial"/>
          <w:sz w:val="22"/>
          <w:szCs w:val="22"/>
        </w:rPr>
        <w:t xml:space="preserve"> White or gray powdery fungal growth on the upper surface of leaves (occasionally stems and flowers); starts as circular patches and expands to cover the entire leaf; severely affected leaves may yellow and drop. Unlike downy mildew (Section 3), powdery mildew is almost always on the upper leaf surface and in conditions of warm days and cool nights, not cool wet conditions.</w:t>
      </w:r>
    </w:p>
    <w:p>
      <w:pPr>
        <w:pStyle w:val="ListParagraph"/>
        <w:numPr>
          <w:ilvl w:val="0"/>
          <w:numId w:val="2"/>
        </w:numPr>
        <w:spacing w:before="60" w:after="60"/>
      </w:pPr>
      <w:r>
        <w:rPr>
          <w:rFonts w:ascii="Arial" w:cs="Arial" w:eastAsia="Arial" w:hAnsi="Arial"/>
          <w:b/>
          <w:bCs/>
          <w:sz w:val="22"/>
          <w:szCs w:val="22"/>
        </w:rPr>
        <w:t xml:space="preserve">Pathogen:</w:t>
      </w:r>
      <w:r>
        <w:rPr>
          <w:rFonts w:ascii="Arial" w:cs="Arial" w:eastAsia="Arial" w:hAnsi="Arial"/>
          <w:sz w:val="22"/>
          <w:szCs w:val="22"/>
        </w:rPr>
        <w:t xml:space="preserve"> Multiple distinct fungal species in the order Erysiphales cause powdery mildew on different hosts — the powdery mildew on cucumbers (Podosphaera xanthii) is a different organism from the powdery mildew on roses (Podosphaera pannosa) or squash (Golovinomyces cichoracearum). Powdery mildew fungi are largely host-specific — cucumber powdery mildew cannot infect roses, and vice versa.</w:t>
      </w:r>
    </w:p>
    <w:p>
      <w:pPr>
        <w:pStyle w:val="ListParagraph"/>
        <w:numPr>
          <w:ilvl w:val="0"/>
          <w:numId w:val="2"/>
        </w:numPr>
        <w:spacing w:before="60" w:after="60"/>
      </w:pPr>
      <w:r>
        <w:rPr>
          <w:rFonts w:ascii="Arial" w:cs="Arial" w:eastAsia="Arial" w:hAnsi="Arial"/>
          <w:b/>
          <w:bCs/>
          <w:sz w:val="22"/>
          <w:szCs w:val="22"/>
        </w:rPr>
        <w:t xml:space="preserve">Conditions:</w:t>
      </w:r>
      <w:r>
        <w:rPr>
          <w:rFonts w:ascii="Arial" w:cs="Arial" w:eastAsia="Arial" w:hAnsi="Arial"/>
          <w:sz w:val="22"/>
          <w:szCs w:val="22"/>
        </w:rPr>
        <w:t xml:space="preserve"> Warm days (70–85°F), cool nights, dry conditions with moderate humidity. Unlike most fungal diseases, powdery mildew does NOT require free water on the leaf surface to germinate; it can germinate in relative humidity as low as 50%. Dense plantings with poor air circulation create ideal conditions.</w:t>
      </w:r>
    </w:p>
    <w:p>
      <w:pPr>
        <w:pStyle w:val="ListParagraph"/>
        <w:numPr>
          <w:ilvl w:val="0"/>
          <w:numId w:val="2"/>
        </w:numPr>
        <w:spacing w:before="60" w:after="60"/>
      </w:pPr>
      <w:r>
        <w:rPr>
          <w:rFonts w:ascii="Arial" w:cs="Arial" w:eastAsia="Arial" w:hAnsi="Arial"/>
          <w:b/>
          <w:bCs/>
          <w:sz w:val="22"/>
          <w:szCs w:val="22"/>
        </w:rPr>
        <w:t xml:space="preserve">Most susceptible plants:</w:t>
      </w:r>
      <w:r>
        <w:rPr>
          <w:rFonts w:ascii="Arial" w:cs="Arial" w:eastAsia="Arial" w:hAnsi="Arial"/>
          <w:sz w:val="22"/>
          <w:szCs w:val="22"/>
        </w:rPr>
        <w:t xml:space="preserve"> Cucurbits (squash, cucumber, melon), roses, phlox, bee balm (Monarda), zinnia, lilac, grape, strawberry, apple, and many ornamental trees and shrubs.</w:t>
      </w:r>
    </w:p>
    <w:p>
      <w:pPr>
        <w:pStyle w:val="ListParagraph"/>
        <w:numPr>
          <w:ilvl w:val="0"/>
          <w:numId w:val="2"/>
        </w:numPr>
        <w:spacing w:before="60" w:after="60"/>
      </w:pPr>
      <w:r>
        <w:rPr>
          <w:rFonts w:ascii="Arial" w:cs="Arial" w:eastAsia="Arial" w:hAnsi="Arial"/>
          <w:b/>
          <w:bCs/>
          <w:sz w:val="22"/>
          <w:szCs w:val="22"/>
        </w:rPr>
        <w:t xml:space="preserve">Treatment:</w:t>
      </w:r>
      <w:r>
        <w:rPr>
          <w:rFonts w:ascii="Arial" w:cs="Arial" w:eastAsia="Arial" w:hAnsi="Arial"/>
          <w:sz w:val="22"/>
          <w:szCs w:val="22"/>
        </w:rPr>
        <w:t xml:space="preserve"> Remove heavily infected leaves (bag and dispose; do not compost). Improve air circulation by pruning. Apply: potassium bicarbonate spray (most effective organic treatment; changes leaf pH temporarily unfavorable for germination); neem oil; horticultural oil; sulfur fungicide (very effective but do not apply when temperatures exceed 90°F or within 2 weeks of an oil application); synthetic fungicides (myclobutanil, trifloxystrobin, tebuconazole) for severe cases. Apply before or at first sign of disease; treatments are preventive/suppressive rather than curative.</w:t>
      </w:r>
    </w:p>
    <w:p>
      <w:pPr>
        <w:pStyle w:val="ListParagraph"/>
        <w:numPr>
          <w:ilvl w:val="0"/>
          <w:numId w:val="2"/>
        </w:numPr>
        <w:spacing w:before="60" w:after="60"/>
      </w:pPr>
      <w:r>
        <w:rPr>
          <w:rFonts w:ascii="Arial" w:cs="Arial" w:eastAsia="Arial" w:hAnsi="Arial"/>
          <w:b/>
          <w:bCs/>
          <w:sz w:val="22"/>
          <w:szCs w:val="22"/>
        </w:rPr>
        <w:t xml:space="preserve">Resistant varieties:</w:t>
      </w:r>
      <w:r>
        <w:rPr>
          <w:rFonts w:ascii="Arial" w:cs="Arial" w:eastAsia="Arial" w:hAnsi="Arial"/>
          <w:sz w:val="22"/>
          <w:szCs w:val="22"/>
        </w:rPr>
        <w:t xml:space="preserve"> Many vegetable and ornamental varieties have been bred for powdery mildew resistance. For squash: ‘Dunja,’ ‘Astia’ zucchini types; for cucumbers: ‘Diva,’ ‘Salad Bush’; for phlox: ‘David’ (P. paniculata); for roses: any AARS-rated shrub rose. Choosing resistant varieties is more effective than any spray program.</w:t>
      </w:r>
    </w:p>
    <w:p>
      <w:pPr>
        <w:spacing w:before="0" w:after="120"/>
      </w:pPr>
      <w:r>
        <w:t xml:space="preserve"/>
      </w:r>
    </w:p>
    <w:p>
      <w:pPr>
        <w:pStyle w:val="Heading2"/>
        <w:spacing w:before="240" w:after="120"/>
      </w:pPr>
      <w:r>
        <w:rPr>
          <w:rFonts w:ascii="Arial" w:cs="Arial" w:eastAsia="Arial" w:hAnsi="Arial"/>
          <w:b/>
          <w:bCs/>
          <w:color w:val="6B1818"/>
          <w:sz w:val="28"/>
          <w:szCs w:val="28"/>
        </w:rPr>
        <w:t xml:space="preserve">Early Blight (Alternaria solani)</w:t>
      </w:r>
    </w:p>
    <w:p>
      <w:pPr>
        <w:spacing w:before="60" w:after="100" w:line="280"/>
      </w:pPr>
      <w:r>
        <w:rPr>
          <w:rFonts w:ascii="Arial" w:cs="Arial" w:eastAsia="Arial" w:hAnsi="Arial"/>
          <w:sz w:val="22"/>
          <w:szCs w:val="22"/>
        </w:rPr>
        <w:t xml:space="preserve">Early blight is the most common and widespread fungal disease of tomatoes and potatoes in the eastern United States. It causes a steady, season-long defoliation from the bottom of the plant upward, reducing yield and plant vigor. It is not the same disease as late blight (caused by an oomycete, not a true fungus), though the two are frequently confused.</w:t>
      </w:r>
    </w:p>
    <w:p>
      <w:pPr>
        <w:pStyle w:val="ListParagraph"/>
        <w:numPr>
          <w:ilvl w:val="0"/>
          <w:numId w:val="2"/>
        </w:numPr>
        <w:spacing w:before="60" w:after="60"/>
      </w:pPr>
      <w:r>
        <w:rPr>
          <w:rFonts w:ascii="Arial" w:cs="Arial" w:eastAsia="Arial" w:hAnsi="Arial"/>
          <w:b/>
          <w:bCs/>
          <w:sz w:val="22"/>
          <w:szCs w:val="22"/>
        </w:rPr>
        <w:t xml:space="preserve">Identification:</w:t>
      </w:r>
      <w:r>
        <w:rPr>
          <w:rFonts w:ascii="Arial" w:cs="Arial" w:eastAsia="Arial" w:hAnsi="Arial"/>
          <w:sz w:val="22"/>
          <w:szCs w:val="22"/>
        </w:rPr>
        <w:t xml:space="preserve"> Dark brown to black spots on older, lower leaves with a distinctive concentric ring pattern (‘target spot’ or ‘bulls-eye’ appearance); usually surrounded by a yellow halo; begins on the oldest, lowest leaves and progresses upward; lesions eventually merge and affected leaves turn yellow and drop.</w:t>
      </w:r>
    </w:p>
    <w:p>
      <w:pPr>
        <w:pStyle w:val="ListParagraph"/>
        <w:numPr>
          <w:ilvl w:val="0"/>
          <w:numId w:val="2"/>
        </w:numPr>
        <w:spacing w:before="60" w:after="60"/>
      </w:pPr>
      <w:r>
        <w:rPr>
          <w:rFonts w:ascii="Arial" w:cs="Arial" w:eastAsia="Arial" w:hAnsi="Arial"/>
          <w:b/>
          <w:bCs/>
          <w:sz w:val="22"/>
          <w:szCs w:val="22"/>
        </w:rPr>
        <w:t xml:space="preserve">Conditions:</w:t>
      </w:r>
      <w:r>
        <w:rPr>
          <w:rFonts w:ascii="Arial" w:cs="Arial" w:eastAsia="Arial" w:hAnsi="Arial"/>
          <w:sz w:val="22"/>
          <w:szCs w:val="22"/>
        </w:rPr>
        <w:t xml:space="preserve"> Warm temperatures (75–85°F), high humidity, and alternating wet and dry periods. Most severe in hot, humid regions (Southeast, mid-Atlantic, Midwest). Spreads by wind and water splash; overwinters in infected plant debris in the soil.</w:t>
      </w:r>
    </w:p>
    <w:p>
      <w:pPr>
        <w:pStyle w:val="ListParagraph"/>
        <w:numPr>
          <w:ilvl w:val="0"/>
          <w:numId w:val="2"/>
        </w:numPr>
        <w:spacing w:before="60" w:after="60"/>
      </w:pPr>
      <w:r>
        <w:rPr>
          <w:rFonts w:ascii="Arial" w:cs="Arial" w:eastAsia="Arial" w:hAnsi="Arial"/>
          <w:b/>
          <w:bCs/>
          <w:sz w:val="22"/>
          <w:szCs w:val="22"/>
        </w:rPr>
        <w:t xml:space="preserve">Host range:</w:t>
      </w:r>
      <w:r>
        <w:rPr>
          <w:rFonts w:ascii="Arial" w:cs="Arial" w:eastAsia="Arial" w:hAnsi="Arial"/>
          <w:sz w:val="22"/>
          <w:szCs w:val="22"/>
        </w:rPr>
        <w:t xml:space="preserve"> Primarily tomatoes, potatoes, and other Solanaceae (eggplant, peppers less severely).</w:t>
      </w:r>
    </w:p>
    <w:p>
      <w:pPr>
        <w:pStyle w:val="ListParagraph"/>
        <w:numPr>
          <w:ilvl w:val="0"/>
          <w:numId w:val="2"/>
        </w:numPr>
        <w:spacing w:before="60" w:after="60"/>
      </w:pPr>
      <w:r>
        <w:rPr>
          <w:rFonts w:ascii="Arial" w:cs="Arial" w:eastAsia="Arial" w:hAnsi="Arial"/>
          <w:b/>
          <w:bCs/>
          <w:sz w:val="22"/>
          <w:szCs w:val="22"/>
        </w:rPr>
        <w:t xml:space="preserve">Treatment:</w:t>
      </w:r>
      <w:r>
        <w:rPr>
          <w:rFonts w:ascii="Arial" w:cs="Arial" w:eastAsia="Arial" w:hAnsi="Arial"/>
          <w:sz w:val="22"/>
          <w:szCs w:val="22"/>
        </w:rPr>
        <w:t xml:space="preserve"> Begin at first symptoms. Remove and dispose of infected leaves (do not compost). Apply: chlorothalonil (the most effective and widely available fungicide for early blight); copper-based fungicide (less effective but OMRI-listed for organic use); mancozeb; azoxystrobin. Repeat applications every 7–14 days through the season. Heavy mulching to prevent soil splash reduces infection significantly.</w:t>
      </w:r>
    </w:p>
    <w:p>
      <w:pPr>
        <w:pStyle w:val="ListParagraph"/>
        <w:numPr>
          <w:ilvl w:val="0"/>
          <w:numId w:val="2"/>
        </w:numPr>
        <w:spacing w:before="60" w:after="60"/>
      </w:pPr>
      <w:r>
        <w:rPr>
          <w:rFonts w:ascii="Arial" w:cs="Arial" w:eastAsia="Arial" w:hAnsi="Arial"/>
          <w:b/>
          <w:bCs/>
          <w:sz w:val="22"/>
          <w:szCs w:val="22"/>
        </w:rPr>
        <w:t xml:space="preserve">Cultural practices:</w:t>
      </w:r>
      <w:r>
        <w:rPr>
          <w:rFonts w:ascii="Arial" w:cs="Arial" w:eastAsia="Arial" w:hAnsi="Arial"/>
          <w:sz w:val="22"/>
          <w:szCs w:val="22"/>
        </w:rPr>
        <w:t xml:space="preserve"> 3-year crop rotation (Alternaria survives in soil debris for 1–2 years); avoid overhead irrigation; mulch heavily; maintain good plant nutrition (nitrogen-stressed plants are more susceptible); choose resistant varieties (‘Mountain Supreme,’ ‘Defiant,’ ‘Jasper’ cherry tomato).</w:t>
      </w:r>
    </w:p>
    <w:p>
      <w:pPr>
        <w:spacing w:before="0" w:after="120"/>
      </w:pPr>
      <w:r>
        <w:t xml:space="preserve"/>
      </w:r>
    </w:p>
    <w:p>
      <w:pPr>
        <w:pStyle w:val="Heading2"/>
        <w:spacing w:before="240" w:after="120"/>
      </w:pPr>
      <w:r>
        <w:rPr>
          <w:rFonts w:ascii="Arial" w:cs="Arial" w:eastAsia="Arial" w:hAnsi="Arial"/>
          <w:b/>
          <w:bCs/>
          <w:color w:val="6B1818"/>
          <w:sz w:val="28"/>
          <w:szCs w:val="28"/>
        </w:rPr>
        <w:t xml:space="preserve">Late Blight (Phytophthora infestans)</w:t>
      </w:r>
    </w:p>
    <w:p>
      <w:pPr>
        <w:spacing w:before="60" w:after="100" w:line="280"/>
      </w:pPr>
      <w:r>
        <w:rPr>
          <w:rFonts w:ascii="Arial" w:cs="Arial" w:eastAsia="Arial" w:hAnsi="Arial"/>
          <w:sz w:val="22"/>
          <w:szCs w:val="22"/>
        </w:rPr>
        <w:t xml:space="preserve">Late blight is the most historically significant plant disease in American agriculture — the same pathogen that caused the Irish Potato Famine of 1845–1849 continues to devastate tomato and potato crops annually across the United States, particularly in cool, humid regions. It is an oomycete, not a true fungus, which means standard fungicides are ineffective — specific oomycete-active products are required.</w:t>
      </w:r>
    </w:p>
    <w:p>
      <w:pPr>
        <w:pStyle w:val="ListParagraph"/>
        <w:numPr>
          <w:ilvl w:val="0"/>
          <w:numId w:val="2"/>
        </w:numPr>
        <w:spacing w:before="60" w:after="60"/>
      </w:pPr>
      <w:r>
        <w:rPr>
          <w:rFonts w:ascii="Arial" w:cs="Arial" w:eastAsia="Arial" w:hAnsi="Arial"/>
          <w:b/>
          <w:bCs/>
          <w:sz w:val="22"/>
          <w:szCs w:val="22"/>
        </w:rPr>
        <w:t xml:space="preserve">Identification:</w:t>
      </w:r>
      <w:r>
        <w:rPr>
          <w:rFonts w:ascii="Arial" w:cs="Arial" w:eastAsia="Arial" w:hAnsi="Arial"/>
          <w:sz w:val="22"/>
          <w:szCs w:val="22"/>
        </w:rPr>
        <w:t xml:space="preserve"> Water-soaked, pale green to brown lesions on leaves, often with a greasy or water-soaked appearance at the margins; white fuzzy sporulation on the underside of lesions in humid conditions; lesions spread rapidly and turn brown-black; stems develop dark brown lesions; entire plants can collapse within days in favorable conditions. Distinguished from early blight by: lesions are larger, less defined, and lack the concentric ring pattern; affects newer growth as well as older; spreads much faster.</w:t>
      </w:r>
    </w:p>
    <w:p>
      <w:pPr>
        <w:pStyle w:val="ListParagraph"/>
        <w:numPr>
          <w:ilvl w:val="0"/>
          <w:numId w:val="2"/>
        </w:numPr>
        <w:spacing w:before="60" w:after="60"/>
      </w:pPr>
      <w:r>
        <w:rPr>
          <w:rFonts w:ascii="Arial" w:cs="Arial" w:eastAsia="Arial" w:hAnsi="Arial"/>
          <w:b/>
          <w:bCs/>
          <w:sz w:val="22"/>
          <w:szCs w:val="22"/>
        </w:rPr>
        <w:t xml:space="preserve">Critical differences from early blight:</w:t>
      </w:r>
      <w:r>
        <w:rPr>
          <w:rFonts w:ascii="Arial" w:cs="Arial" w:eastAsia="Arial" w:hAnsi="Arial"/>
          <w:sz w:val="22"/>
          <w:szCs w:val="22"/>
        </w:rPr>
        <w:t xml:space="preserve"> Late blight spreads catastrophically in cool, humid conditions (50–70°F with extended leaf wetness); it affects the entire plant including newer growth; and it can destroy an entire planting within a week or two in favorable conditions. Early blight is a slow, steady progression from the bottom up.</w:t>
      </w:r>
    </w:p>
    <w:p>
      <w:pPr>
        <w:pStyle w:val="ListParagraph"/>
        <w:numPr>
          <w:ilvl w:val="0"/>
          <w:numId w:val="2"/>
        </w:numPr>
        <w:spacing w:before="60" w:after="60"/>
      </w:pPr>
      <w:r>
        <w:rPr>
          <w:rFonts w:ascii="Arial" w:cs="Arial" w:eastAsia="Arial" w:hAnsi="Arial"/>
          <w:b/>
          <w:bCs/>
          <w:sz w:val="22"/>
          <w:szCs w:val="22"/>
        </w:rPr>
        <w:t xml:space="preserve">Conditions:</w:t>
      </w:r>
      <w:r>
        <w:rPr>
          <w:rFonts w:ascii="Arial" w:cs="Arial" w:eastAsia="Arial" w:hAnsi="Arial"/>
          <w:sz w:val="22"/>
          <w:szCs w:val="22"/>
        </w:rPr>
        <w:t xml:space="preserve"> Cool temperatures (50–70°F), high humidity (&gt;90% RH), extended periods of leaf wetness. Most severe in the Pacific Northwest, New England, and other cool-summer regions; less severe in hot, dry climates (Southwest). Summer outbreaks can occur in humid eastern regions during cool spells.</w:t>
      </w:r>
    </w:p>
    <w:p>
      <w:pPr>
        <w:pStyle w:val="ListParagraph"/>
        <w:numPr>
          <w:ilvl w:val="0"/>
          <w:numId w:val="2"/>
        </w:numPr>
        <w:spacing w:before="60" w:after="60"/>
      </w:pPr>
      <w:r>
        <w:rPr>
          <w:rFonts w:ascii="Arial" w:cs="Arial" w:eastAsia="Arial" w:hAnsi="Arial"/>
          <w:b/>
          <w:bCs/>
          <w:sz w:val="22"/>
          <w:szCs w:val="22"/>
        </w:rPr>
        <w:t xml:space="preserve">Treatment:</w:t>
      </w:r>
      <w:r>
        <w:rPr>
          <w:rFonts w:ascii="Arial" w:cs="Arial" w:eastAsia="Arial" w:hAnsi="Arial"/>
          <w:sz w:val="22"/>
          <w:szCs w:val="22"/>
        </w:rPr>
        <w:t xml:space="preserve"> There is no cure for established late blight. Remove and destroy (bag and dispose or bury deeply — do not compost) all infected plant tissue immediately. Apply preventively or at first sign: chlorothalonil (USDA-classified as the most effective; apply before infection in high-risk conditions); fixed copper; mancozeb. Oomycete-specific products: mandipropamid (Revus), dimethomorph, or phosphonate products.</w:t>
      </w:r>
    </w:p>
    <w:p>
      <w:pPr>
        <w:pStyle w:val="ListParagraph"/>
        <w:numPr>
          <w:ilvl w:val="0"/>
          <w:numId w:val="2"/>
        </w:numPr>
        <w:spacing w:before="60" w:after="60"/>
      </w:pPr>
      <w:r>
        <w:rPr>
          <w:rFonts w:ascii="Arial" w:cs="Arial" w:eastAsia="Arial" w:hAnsi="Arial"/>
          <w:b/>
          <w:bCs/>
          <w:sz w:val="22"/>
          <w:szCs w:val="22"/>
        </w:rPr>
        <w:t xml:space="preserve">Resistant varieties:</w:t>
      </w:r>
      <w:r>
        <w:rPr>
          <w:rFonts w:ascii="Arial" w:cs="Arial" w:eastAsia="Arial" w:hAnsi="Arial"/>
          <w:sz w:val="22"/>
          <w:szCs w:val="22"/>
        </w:rPr>
        <w:t xml:space="preserve"> ‘Defiant PHR,’ ‘Mountain Magic,’ ‘Legend,’ ‘Jasper,’ ‘Plum Regal’ (tomato); ‘Elba,’ ‘Kennebec’ (potato). In late-blight-prone regions, resistant varieties are the primary management tool.</w:t>
      </w:r>
    </w:p>
    <w:p>
      <w:pPr>
        <w:spacing w:before="0" w:after="120"/>
      </w:pPr>
      <w:r>
        <w:t xml:space="preserve"/>
      </w:r>
    </w:p>
    <w:p>
      <w:pPr>
        <w:pStyle w:val="Heading2"/>
        <w:spacing w:before="240" w:after="120"/>
      </w:pPr>
      <w:r>
        <w:rPr>
          <w:rFonts w:ascii="Arial" w:cs="Arial" w:eastAsia="Arial" w:hAnsi="Arial"/>
          <w:b/>
          <w:bCs/>
          <w:color w:val="6B1818"/>
          <w:sz w:val="28"/>
          <w:szCs w:val="28"/>
        </w:rPr>
        <w:t xml:space="preserve">Rust Diseases</w:t>
      </w:r>
    </w:p>
    <w:p>
      <w:pPr>
        <w:spacing w:before="60" w:after="100" w:line="280"/>
      </w:pPr>
      <w:r>
        <w:rPr>
          <w:rFonts w:ascii="Arial" w:cs="Arial" w:eastAsia="Arial" w:hAnsi="Arial"/>
          <w:sz w:val="22"/>
          <w:szCs w:val="22"/>
        </w:rPr>
        <w:t xml:space="preserve">Rust fungi are among the most visually striking plant diseases — the bright orange, rust-brown, or yellow-orange pustules on leaf surfaces are unmistakable. Rusts are obligate parasites (they can only survive on living host tissue) and many have complex life cycles involving two unrelated host plant species. Over 8,000 rust species exist, many highly host-specific.</w:t>
      </w:r>
    </w:p>
    <w:p>
      <w:pPr>
        <w:pStyle w:val="ListParagraph"/>
        <w:numPr>
          <w:ilvl w:val="0"/>
          <w:numId w:val="2"/>
        </w:numPr>
        <w:spacing w:before="60" w:after="60"/>
      </w:pPr>
      <w:r>
        <w:rPr>
          <w:rFonts w:ascii="Arial" w:cs="Arial" w:eastAsia="Arial" w:hAnsi="Arial"/>
          <w:b/>
          <w:bCs/>
          <w:sz w:val="22"/>
          <w:szCs w:val="22"/>
        </w:rPr>
        <w:t xml:space="preserve">Identification:</w:t>
      </w:r>
      <w:r>
        <w:rPr>
          <w:rFonts w:ascii="Arial" w:cs="Arial" w:eastAsia="Arial" w:hAnsi="Arial"/>
          <w:sz w:val="22"/>
          <w:szCs w:val="22"/>
        </w:rPr>
        <w:t xml:space="preserve"> Raised, powdery pustules on leaf surfaces (usually lower surface, but sometimes upper); pustule color varies by species: orange-red (most cedar-apple rust, bean rust), yellow-orange (asparagus rust), yellow (some wheat rusts), brown-black (late-stage rusts). Affected tissue surrounding pustules may yellow; severe infections cause premature leaf drop and plant decline.</w:t>
      </w:r>
    </w:p>
    <w:p>
      <w:pPr>
        <w:pStyle w:val="ListParagraph"/>
        <w:numPr>
          <w:ilvl w:val="0"/>
          <w:numId w:val="2"/>
        </w:numPr>
        <w:spacing w:before="60" w:after="60"/>
      </w:pPr>
      <w:r>
        <w:rPr>
          <w:rFonts w:ascii="Arial" w:cs="Arial" w:eastAsia="Arial" w:hAnsi="Arial"/>
          <w:b/>
          <w:bCs/>
          <w:sz w:val="22"/>
          <w:szCs w:val="22"/>
        </w:rPr>
        <w:t xml:space="preserve">Common rusts in American gardens:</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600"/>
        <w:gridCol w:w="2360"/>
      </w:tblGrid>
      <w:tr>
        <w:trPr>
          <w:tblHeader/>
        </w:trPr>
        <w:tc>
          <w:tcPr>
            <w:tcW w:type="dxa" w:w="2400"/>
            <w:tcBorders>
              <w:top w:val="single" w:color="6B3A08" w:sz="1"/>
              <w:left w:val="single" w:color="6B3A08" w:sz="1"/>
              <w:bottom w:val="single" w:color="6B3A08" w:sz="1"/>
              <w:right w:val="single" w:color="6B3A08" w:sz="1"/>
            </w:tcBorders>
            <w:shd w:fill="6B3A08" w:val="clear"/>
            <w:tcMar>
              <w:top w:type="dxa" w:w="80"/>
              <w:left w:type="dxa" w:w="120"/>
              <w:bottom w:type="dxa" w:w="80"/>
              <w:right w:type="dxa" w:w="120"/>
            </w:tcMar>
          </w:tcPr>
          <w:p>
            <w:r>
              <w:rPr>
                <w:rFonts w:ascii="Arial" w:cs="Arial" w:eastAsia="Arial" w:hAnsi="Arial"/>
                <w:b/>
                <w:bCs/>
                <w:color w:val="FFFFFF"/>
                <w:sz w:val="20"/>
                <w:szCs w:val="20"/>
              </w:rPr>
              <w:t xml:space="preserve">Rust Disease</w:t>
            </w:r>
          </w:p>
        </w:tc>
        <w:tc>
          <w:tcPr>
            <w:tcW w:type="dxa" w:w="2000"/>
            <w:tcBorders>
              <w:top w:val="single" w:color="6B3A08" w:sz="1"/>
              <w:left w:val="single" w:color="6B3A08" w:sz="1"/>
              <w:bottom w:val="single" w:color="6B3A08" w:sz="1"/>
              <w:right w:val="single" w:color="6B3A08" w:sz="1"/>
            </w:tcBorders>
            <w:shd w:fill="6B3A08" w:val="clear"/>
            <w:tcMar>
              <w:top w:type="dxa" w:w="80"/>
              <w:left w:type="dxa" w:w="120"/>
              <w:bottom w:type="dxa" w:w="80"/>
              <w:right w:type="dxa" w:w="120"/>
            </w:tcMar>
          </w:tcPr>
          <w:p>
            <w:r>
              <w:rPr>
                <w:rFonts w:ascii="Arial" w:cs="Arial" w:eastAsia="Arial" w:hAnsi="Arial"/>
                <w:b/>
                <w:bCs/>
                <w:color w:val="FFFFFF"/>
                <w:sz w:val="20"/>
                <w:szCs w:val="20"/>
              </w:rPr>
              <w:t xml:space="preserve">Host Plants</w:t>
            </w:r>
          </w:p>
        </w:tc>
        <w:tc>
          <w:tcPr>
            <w:tcW w:type="dxa" w:w="2600"/>
            <w:tcBorders>
              <w:top w:val="single" w:color="6B3A08" w:sz="1"/>
              <w:left w:val="single" w:color="6B3A08" w:sz="1"/>
              <w:bottom w:val="single" w:color="6B3A08" w:sz="1"/>
              <w:right w:val="single" w:color="6B3A08" w:sz="1"/>
            </w:tcBorders>
            <w:shd w:fill="6B3A08" w:val="clear"/>
            <w:tcMar>
              <w:top w:type="dxa" w:w="80"/>
              <w:left w:type="dxa" w:w="120"/>
              <w:bottom w:type="dxa" w:w="80"/>
              <w:right w:type="dxa" w:w="120"/>
            </w:tcMar>
          </w:tcPr>
          <w:p>
            <w:r>
              <w:rPr>
                <w:rFonts w:ascii="Arial" w:cs="Arial" w:eastAsia="Arial" w:hAnsi="Arial"/>
                <w:b/>
                <w:bCs/>
                <w:color w:val="FFFFFF"/>
                <w:sz w:val="20"/>
                <w:szCs w:val="20"/>
              </w:rPr>
              <w:t xml:space="preserve">Identification</w:t>
            </w:r>
          </w:p>
        </w:tc>
        <w:tc>
          <w:tcPr>
            <w:tcW w:type="dxa" w:w="2360"/>
            <w:tcBorders>
              <w:top w:val="single" w:color="6B3A08" w:sz="1"/>
              <w:left w:val="single" w:color="6B3A08" w:sz="1"/>
              <w:bottom w:val="single" w:color="6B3A08" w:sz="1"/>
              <w:right w:val="single" w:color="6B3A08" w:sz="1"/>
            </w:tcBorders>
            <w:shd w:fill="6B3A08" w:val="clear"/>
            <w:tcMar>
              <w:top w:type="dxa" w:w="80"/>
              <w:left w:type="dxa" w:w="120"/>
              <w:bottom w:type="dxa" w:w="80"/>
              <w:right w:type="dxa" w:w="120"/>
            </w:tcMar>
          </w:tcPr>
          <w:p>
            <w:r>
              <w:rPr>
                <w:rFonts w:ascii="Arial" w:cs="Arial" w:eastAsia="Arial" w:hAnsi="Arial"/>
                <w:b/>
                <w:bCs/>
                <w:color w:val="FFFFFF"/>
                <w:sz w:val="20"/>
                <w:szCs w:val="20"/>
              </w:rPr>
              <w:t xml:space="preserve">Notable Feature</w:t>
            </w:r>
          </w:p>
        </w:tc>
      </w:tr>
      <w:tr>
        <w:tc>
          <w:tcPr>
            <w:tcW w:type="dxa" w:w="24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Bean Rust (Uromyces appendiculatus)</w:t>
            </w:r>
          </w:p>
        </w:tc>
        <w:tc>
          <w:tcPr>
            <w:tcW w:type="dxa" w:w="20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Green beans, snap beans, dry beans</w:t>
            </w:r>
          </w:p>
        </w:tc>
        <w:tc>
          <w:tcPr>
            <w:tcW w:type="dxa" w:w="26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Chocolate-brown powdery pustules on lower leaf surface; yellow spots above the pustules on the upper surface</w:t>
            </w:r>
          </w:p>
        </w:tc>
        <w:tc>
          <w:tcPr>
            <w:tcW w:type="dxa" w:w="236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of the most common late-season diseases on bean crops across humid regions of the US</w:t>
            </w:r>
          </w:p>
        </w:tc>
      </w:tr>
      <w:tr>
        <w:tc>
          <w:tcPr>
            <w:tcW w:type="dxa" w:w="24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Cedar-Apple Rust (Gymnosporangium juniperi-virginianae)</w:t>
            </w:r>
          </w:p>
        </w:tc>
        <w:tc>
          <w:tcPr>
            <w:tcW w:type="dxa" w:w="20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Eastern red cedar (Juniperus virginiana) alternate host; apples and crabapples primary ornamental host</w:t>
            </w:r>
          </w:p>
        </w:tc>
        <w:tc>
          <w:tcPr>
            <w:tcW w:type="dxa" w:w="26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On apples: bright orange spots with tube-like aecia on upper leaf surface; on cedar: orange gelatinous galls in spring</w:t>
            </w:r>
          </w:p>
        </w:tc>
        <w:tc>
          <w:tcPr>
            <w:tcW w:type="dxa" w:w="236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Requires both hosts to complete its life cycle; do not plant susceptible apple varieties near eastern red cedar</w:t>
            </w:r>
          </w:p>
        </w:tc>
      </w:tr>
      <w:tr>
        <w:tc>
          <w:tcPr>
            <w:tcW w:type="dxa" w:w="24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Asparagus Rust (Puccinia asparagi)</w:t>
            </w:r>
          </w:p>
        </w:tc>
        <w:tc>
          <w:tcPr>
            <w:tcW w:type="dxa" w:w="20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Asparagus</w:t>
            </w:r>
          </w:p>
        </w:tc>
        <w:tc>
          <w:tcPr>
            <w:tcW w:type="dxa" w:w="26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Reddish-orange pustules on asparagus stems and ferns in midsummer through fall</w:t>
            </w:r>
          </w:p>
        </w:tc>
        <w:tc>
          <w:tcPr>
            <w:tcW w:type="dxa" w:w="236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Weakens asparagus crowns over years; more severe in humid climates; resistant varieties available</w:t>
            </w:r>
          </w:p>
        </w:tc>
      </w:tr>
      <w:tr>
        <w:tc>
          <w:tcPr>
            <w:tcW w:type="dxa" w:w="24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Rose Rust (Phragmidium spp.)</w:t>
            </w:r>
          </w:p>
        </w:tc>
        <w:tc>
          <w:tcPr>
            <w:tcW w:type="dxa" w:w="20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Roses</w:t>
            </w:r>
          </w:p>
        </w:tc>
        <w:tc>
          <w:tcPr>
            <w:tcW w:type="dxa" w:w="26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Bright orange pustules on stems, petioles, and leaf undersides; distinct from black spot</w:t>
            </w:r>
          </w:p>
        </w:tc>
        <w:tc>
          <w:tcPr>
            <w:tcW w:type="dxa" w:w="236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More common in Pacific Coast states than the East; resistant varieties available</w:t>
            </w:r>
          </w:p>
        </w:tc>
      </w:tr>
      <w:tr>
        <w:tc>
          <w:tcPr>
            <w:tcW w:type="dxa" w:w="24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Hollyhock Rust (Puccinia malvacearum)</w:t>
            </w:r>
          </w:p>
        </w:tc>
        <w:tc>
          <w:tcPr>
            <w:tcW w:type="dxa" w:w="20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Hollyhock, mallow family plants</w:t>
            </w:r>
          </w:p>
        </w:tc>
        <w:tc>
          <w:tcPr>
            <w:tcW w:type="dxa" w:w="26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Brown to orange pustules covering leaves and stems; entire plant can become covered by midsummer</w:t>
            </w:r>
          </w:p>
        </w:tc>
        <w:tc>
          <w:tcPr>
            <w:tcW w:type="dxa" w:w="236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of the most severe ornamental rusts; difficult to control; choose rust-resistant hollyhock varieties</w:t>
            </w:r>
          </w:p>
        </w:tc>
      </w:tr>
    </w:tbl>
    <w:p>
      <w:pPr>
        <w:spacing w:before="0" w:after="120"/>
      </w:pPr>
      <w:r>
        <w:t xml:space="preserve"/>
      </w:r>
    </w:p>
    <w:p>
      <w:pPr>
        <w:pStyle w:val="ListParagraph"/>
        <w:numPr>
          <w:ilvl w:val="0"/>
          <w:numId w:val="2"/>
        </w:numPr>
        <w:spacing w:before="60" w:after="60"/>
      </w:pPr>
      <w:r>
        <w:rPr>
          <w:rFonts w:ascii="Arial" w:cs="Arial" w:eastAsia="Arial" w:hAnsi="Arial"/>
          <w:b/>
          <w:bCs/>
          <w:sz w:val="22"/>
          <w:szCs w:val="22"/>
        </w:rPr>
        <w:t xml:space="preserve">Treatment:</w:t>
      </w:r>
      <w:r>
        <w:rPr>
          <w:rFonts w:ascii="Arial" w:cs="Arial" w:eastAsia="Arial" w:hAnsi="Arial"/>
          <w:sz w:val="22"/>
          <w:szCs w:val="22"/>
        </w:rPr>
        <w:t xml:space="preserve"> Rusts cannot be cured but can be suppressed. Remove and dispose of infected plant material. Apply: sulfur fungicide (the most effective organic treatment for most rusts); myclobutanil; tebuconazole; propiconazole; trifloxystrobin. Apply preventively before infection or at very first sign of pustule formation; treatments are more effective as preventives than as curative sprays. Remove and destroy fallen infected leaves, which can harbor spores.</w:t>
      </w:r>
    </w:p>
    <w:p>
      <w:pPr>
        <w:spacing w:before="0" w:after="120"/>
      </w:pPr>
      <w:r>
        <w:t xml:space="preserve"/>
      </w:r>
    </w:p>
    <w:p>
      <w:pPr>
        <w:pStyle w:val="Heading2"/>
        <w:spacing w:before="240" w:after="120"/>
      </w:pPr>
      <w:r>
        <w:rPr>
          <w:rFonts w:ascii="Arial" w:cs="Arial" w:eastAsia="Arial" w:hAnsi="Arial"/>
          <w:b/>
          <w:bCs/>
          <w:color w:val="6B1818"/>
          <w:sz w:val="28"/>
          <w:szCs w:val="28"/>
        </w:rPr>
        <w:t xml:space="preserve">Anthracnose</w:t>
      </w:r>
    </w:p>
    <w:p>
      <w:pPr>
        <w:spacing w:before="60" w:after="100" w:line="280"/>
      </w:pPr>
      <w:r>
        <w:rPr>
          <w:rFonts w:ascii="Arial" w:cs="Arial" w:eastAsia="Arial" w:hAnsi="Arial"/>
          <w:sz w:val="22"/>
          <w:szCs w:val="22"/>
        </w:rPr>
        <w:t xml:space="preserve">Anthracnose is a term for a group of related fungal diseases (primarily Colletotrichum species) that cause distinct water-soaked, sunken lesions on leaves, fruits, and stems. Anthracnose is particularly significant on cucurbits, beans, tomatoes, and many fruit trees and ornamental trees.</w:t>
      </w:r>
    </w:p>
    <w:p>
      <w:pPr>
        <w:pStyle w:val="ListParagraph"/>
        <w:numPr>
          <w:ilvl w:val="0"/>
          <w:numId w:val="2"/>
        </w:numPr>
        <w:spacing w:before="60" w:after="60"/>
      </w:pPr>
      <w:r>
        <w:rPr>
          <w:rFonts w:ascii="Arial" w:cs="Arial" w:eastAsia="Arial" w:hAnsi="Arial"/>
          <w:b/>
          <w:bCs/>
          <w:sz w:val="22"/>
          <w:szCs w:val="22"/>
        </w:rPr>
        <w:t xml:space="preserve">Identification:</w:t>
      </w:r>
      <w:r>
        <w:rPr>
          <w:rFonts w:ascii="Arial" w:cs="Arial" w:eastAsia="Arial" w:hAnsi="Arial"/>
          <w:sz w:val="22"/>
          <w:szCs w:val="22"/>
        </w:rPr>
        <w:t xml:space="preserve"> Water-soaked or tan lesions that develop dark borders; on fruit, lesions are sunken and may produce salmon-pink to orange spore masses (acervuli) in humid conditions; on leaves, lesions may have dark margins; on trees, produces dead areas along leaf veins and may cause twig dieback.</w:t>
      </w:r>
    </w:p>
    <w:p>
      <w:pPr>
        <w:pStyle w:val="ListParagraph"/>
        <w:numPr>
          <w:ilvl w:val="0"/>
          <w:numId w:val="2"/>
        </w:numPr>
        <w:spacing w:before="60" w:after="60"/>
      </w:pPr>
      <w:r>
        <w:rPr>
          <w:rFonts w:ascii="Arial" w:cs="Arial" w:eastAsia="Arial" w:hAnsi="Arial"/>
          <w:b/>
          <w:bCs/>
          <w:sz w:val="22"/>
          <w:szCs w:val="22"/>
        </w:rPr>
        <w:t xml:space="preserve">Common anthracnose diseases:</w:t>
      </w:r>
      <w:r>
        <w:rPr>
          <w:rFonts w:ascii="Arial" w:cs="Arial" w:eastAsia="Arial" w:hAnsi="Arial"/>
          <w:sz w:val="22"/>
          <w:szCs w:val="22"/>
        </w:rPr>
        <w:t xml:space="preserve"> Cucumber/squash anthracnose (Colletotrichum orbiculare); bean anthracnose (C. lindemuthianum); tomato anthracnose (primarily on fruit; C. coccodes); dogwood anthracnose (Discula destructiva — a serious disease of flowering dogwood in eastern forests and gardens); sycamore and maple anthracnose (primarily leaf disease; rarely fatal).</w:t>
      </w:r>
    </w:p>
    <w:p>
      <w:pPr>
        <w:pStyle w:val="ListParagraph"/>
        <w:numPr>
          <w:ilvl w:val="0"/>
          <w:numId w:val="2"/>
        </w:numPr>
        <w:spacing w:before="60" w:after="60"/>
      </w:pPr>
      <w:r>
        <w:rPr>
          <w:rFonts w:ascii="Arial" w:cs="Arial" w:eastAsia="Arial" w:hAnsi="Arial"/>
          <w:b/>
          <w:bCs/>
          <w:sz w:val="22"/>
          <w:szCs w:val="22"/>
        </w:rPr>
        <w:t xml:space="preserve">Conditions:</w:t>
      </w:r>
      <w:r>
        <w:rPr>
          <w:rFonts w:ascii="Arial" w:cs="Arial" w:eastAsia="Arial" w:hAnsi="Arial"/>
          <w:sz w:val="22"/>
          <w:szCs w:val="22"/>
        </w:rPr>
        <w:t xml:space="preserve"> Warm temperatures (65–85°F) and wet conditions; spreads by rain splash; most severe during cool, wet springs.</w:t>
      </w:r>
    </w:p>
    <w:p>
      <w:pPr>
        <w:pStyle w:val="ListParagraph"/>
        <w:numPr>
          <w:ilvl w:val="0"/>
          <w:numId w:val="2"/>
        </w:numPr>
        <w:spacing w:before="60" w:after="60"/>
      </w:pPr>
      <w:r>
        <w:rPr>
          <w:rFonts w:ascii="Arial" w:cs="Arial" w:eastAsia="Arial" w:hAnsi="Arial"/>
          <w:b/>
          <w:bCs/>
          <w:sz w:val="22"/>
          <w:szCs w:val="22"/>
        </w:rPr>
        <w:t xml:space="preserve">Treatment:</w:t>
      </w:r>
      <w:r>
        <w:rPr>
          <w:rFonts w:ascii="Arial" w:cs="Arial" w:eastAsia="Arial" w:hAnsi="Arial"/>
          <w:sz w:val="22"/>
          <w:szCs w:val="22"/>
        </w:rPr>
        <w:t xml:space="preserve"> Remove and dispose of infected plant material and fallen leaves. Apply: chlorothalonil; copper-based fungicide; mancozeb. For tree anthracnose, a single infection season rarely causes significant long-term damage; maintain vigor with proper fertility, watering, and mulching.</w:t>
      </w:r>
    </w:p>
    <w:p>
      <w:pPr>
        <w:spacing w:before="0" w:after="120"/>
      </w:pPr>
      <w:r>
        <w:t xml:space="preserve"/>
      </w:r>
    </w:p>
    <w:p>
      <w:pPr>
        <w:pStyle w:val="Heading2"/>
        <w:spacing w:before="240" w:after="120"/>
      </w:pPr>
      <w:r>
        <w:rPr>
          <w:rFonts w:ascii="Arial" w:cs="Arial" w:eastAsia="Arial" w:hAnsi="Arial"/>
          <w:b/>
          <w:bCs/>
          <w:color w:val="6B1818"/>
          <w:sz w:val="28"/>
          <w:szCs w:val="28"/>
        </w:rPr>
        <w:t xml:space="preserve">Botrytis / Gray Mold (Botrytis cinerea)</w:t>
      </w:r>
    </w:p>
    <w:p>
      <w:pPr>
        <w:spacing w:before="60" w:after="100" w:line="280"/>
      </w:pPr>
      <w:r>
        <w:rPr>
          <w:rFonts w:ascii="Arial" w:cs="Arial" w:eastAsia="Arial" w:hAnsi="Arial"/>
          <w:sz w:val="22"/>
          <w:szCs w:val="22"/>
        </w:rPr>
        <w:t xml:space="preserve">Gray mold is one of the most cosmopolitan and destructive of all plant diseases — it infects over 200 plant species and is the primary cause of post-harvest rot in strawberries, grapes, and cut flowers. In the garden, it is especially problematic on dense plantings in cool, humid conditions.</w:t>
      </w:r>
    </w:p>
    <w:p>
      <w:pPr>
        <w:pStyle w:val="ListParagraph"/>
        <w:numPr>
          <w:ilvl w:val="0"/>
          <w:numId w:val="2"/>
        </w:numPr>
        <w:spacing w:before="60" w:after="60"/>
      </w:pPr>
      <w:r>
        <w:rPr>
          <w:rFonts w:ascii="Arial" w:cs="Arial" w:eastAsia="Arial" w:hAnsi="Arial"/>
          <w:b/>
          <w:bCs/>
          <w:sz w:val="22"/>
          <w:szCs w:val="22"/>
        </w:rPr>
        <w:t xml:space="preserve">Identification:</w:t>
      </w:r>
      <w:r>
        <w:rPr>
          <w:rFonts w:ascii="Arial" w:cs="Arial" w:eastAsia="Arial" w:hAnsi="Arial"/>
          <w:sz w:val="22"/>
          <w:szCs w:val="22"/>
        </w:rPr>
        <w:t xml:space="preserve"> Dense, gray, velvety fungal growth on affected tissue (the characteristic ‘gray mold’); affected tissue beneath the mold is soft, water-soaked, and brown; most commonly affects flowers, soft fruits, and tender young stems; petals and leaves may develop water-soaked spots before the characteristic gray mold appears. In onion and garlic, Botrytis causes neck rot after harvest.</w:t>
      </w:r>
    </w:p>
    <w:p>
      <w:pPr>
        <w:pStyle w:val="ListParagraph"/>
        <w:numPr>
          <w:ilvl w:val="0"/>
          <w:numId w:val="2"/>
        </w:numPr>
        <w:spacing w:before="60" w:after="60"/>
      </w:pPr>
      <w:r>
        <w:rPr>
          <w:rFonts w:ascii="Arial" w:cs="Arial" w:eastAsia="Arial" w:hAnsi="Arial"/>
          <w:b/>
          <w:bCs/>
          <w:sz w:val="22"/>
          <w:szCs w:val="22"/>
        </w:rPr>
        <w:t xml:space="preserve">Conditions:</w:t>
      </w:r>
      <w:r>
        <w:rPr>
          <w:rFonts w:ascii="Arial" w:cs="Arial" w:eastAsia="Arial" w:hAnsi="Arial"/>
          <w:sz w:val="22"/>
          <w:szCs w:val="22"/>
        </w:rPr>
        <w:t xml:space="preserve"> Cool temperatures (60–75°F), high humidity (&gt;90% RH), and still air. Particularly severe in greenhouses, cold frames, and dense plantings during cool, wet periods. The fungus is always present as a saprophyte; it becomes pathogenic when conditions are right and on tissue that is already damaged, dying, or stressed.</w:t>
      </w:r>
    </w:p>
    <w:p>
      <w:pPr>
        <w:pStyle w:val="ListParagraph"/>
        <w:numPr>
          <w:ilvl w:val="0"/>
          <w:numId w:val="2"/>
        </w:numPr>
        <w:spacing w:before="60" w:after="60"/>
      </w:pPr>
      <w:r>
        <w:rPr>
          <w:rFonts w:ascii="Arial" w:cs="Arial" w:eastAsia="Arial" w:hAnsi="Arial"/>
          <w:b/>
          <w:bCs/>
          <w:sz w:val="22"/>
          <w:szCs w:val="22"/>
        </w:rPr>
        <w:t xml:space="preserve">Treatment:</w:t>
      </w:r>
      <w:r>
        <w:rPr>
          <w:rFonts w:ascii="Arial" w:cs="Arial" w:eastAsia="Arial" w:hAnsi="Arial"/>
          <w:sz w:val="22"/>
          <w:szCs w:val="22"/>
        </w:rPr>
        <w:t xml:space="preserve"> Improve air circulation immediately (thin plantings, remove overcrowding). Remove and dispose of affected tissue and dead flowers (Botrytis readily infects through dying floral tissue). Apply: iprodione; captan; fenhexamid; copper-based products. Botrytis develops fungicide resistance rapidly; rotate fungicide classes if repeated applications are needed.</w:t>
      </w:r>
    </w:p>
    <w:p>
      <w:pPr>
        <w:pStyle w:val="ListParagraph"/>
        <w:numPr>
          <w:ilvl w:val="0"/>
          <w:numId w:val="2"/>
        </w:numPr>
        <w:spacing w:before="60" w:after="60"/>
      </w:pPr>
      <w:r>
        <w:rPr>
          <w:rFonts w:ascii="Arial" w:cs="Arial" w:eastAsia="Arial" w:hAnsi="Arial"/>
          <w:b/>
          <w:bCs/>
          <w:sz w:val="22"/>
          <w:szCs w:val="22"/>
        </w:rPr>
        <w:t xml:space="preserve">Prevention:</w:t>
      </w:r>
      <w:r>
        <w:rPr>
          <w:rFonts w:ascii="Arial" w:cs="Arial" w:eastAsia="Arial" w:hAnsi="Arial"/>
          <w:sz w:val="22"/>
          <w:szCs w:val="22"/>
        </w:rPr>
        <w:t xml:space="preserve"> Spacing, air circulation, and avoiding wet foliage overnight are the most effective preventive measures. Removing spent flowers — which are the primary infection site in strawberries, peonies, and roses — is highly effective.</w:t>
      </w:r>
    </w:p>
    <w:p>
      <w:pPr>
        <w:spacing w:before="0" w:after="120"/>
      </w:pPr>
      <w:r>
        <w:t xml:space="preserve"/>
      </w:r>
    </w:p>
    <w:p>
      <w:pPr>
        <w:pStyle w:val="Heading2"/>
        <w:spacing w:before="240" w:after="120"/>
      </w:pPr>
      <w:r>
        <w:rPr>
          <w:rFonts w:ascii="Arial" w:cs="Arial" w:eastAsia="Arial" w:hAnsi="Arial"/>
          <w:b/>
          <w:bCs/>
          <w:color w:val="6B1818"/>
          <w:sz w:val="28"/>
          <w:szCs w:val="28"/>
        </w:rPr>
        <w:t xml:space="preserve">Septoria Leaf Spot (Septoria lycopersici)</w:t>
      </w:r>
    </w:p>
    <w:p>
      <w:pPr>
        <w:spacing w:before="60" w:after="100" w:line="280"/>
      </w:pPr>
      <w:r>
        <w:rPr>
          <w:rFonts w:ascii="Arial" w:cs="Arial" w:eastAsia="Arial" w:hAnsi="Arial"/>
          <w:sz w:val="22"/>
          <w:szCs w:val="22"/>
        </w:rPr>
        <w:t xml:space="preserve">Septoria leaf spot is the most common tomato disease in the eastern and midwestern United States, caused by a fungal pathogen specific to tomatoes and closely related plants. It is often present simultaneously with early blight and produces similar defoliation from the bottom of the plant upward.</w:t>
      </w:r>
    </w:p>
    <w:p>
      <w:pPr>
        <w:pStyle w:val="ListParagraph"/>
        <w:numPr>
          <w:ilvl w:val="0"/>
          <w:numId w:val="2"/>
        </w:numPr>
        <w:spacing w:before="60" w:after="60"/>
      </w:pPr>
      <w:r>
        <w:rPr>
          <w:rFonts w:ascii="Arial" w:cs="Arial" w:eastAsia="Arial" w:hAnsi="Arial"/>
          <w:b/>
          <w:bCs/>
          <w:sz w:val="22"/>
          <w:szCs w:val="22"/>
        </w:rPr>
        <w:t xml:space="preserve">Identification:</w:t>
      </w:r>
      <w:r>
        <w:rPr>
          <w:rFonts w:ascii="Arial" w:cs="Arial" w:eastAsia="Arial" w:hAnsi="Arial"/>
          <w:sz w:val="22"/>
          <w:szCs w:val="22"/>
        </w:rPr>
        <w:t xml:space="preserve"> Small, circular spots (1/4 inch diameter or less) with dark brown borders and gray-white centers; dark spots within the gray center (pycnidia — fungal fruiting bodies, visible with a hand lens) are diagnostic; begins on the oldest, lowest leaves and progresses upward; lesions do NOT have the concentric ring pattern characteristic of early blight.</w:t>
      </w:r>
    </w:p>
    <w:p>
      <w:pPr>
        <w:pStyle w:val="ListParagraph"/>
        <w:numPr>
          <w:ilvl w:val="0"/>
          <w:numId w:val="2"/>
        </w:numPr>
        <w:spacing w:before="60" w:after="60"/>
      </w:pPr>
      <w:r>
        <w:rPr>
          <w:rFonts w:ascii="Arial" w:cs="Arial" w:eastAsia="Arial" w:hAnsi="Arial"/>
          <w:b/>
          <w:bCs/>
          <w:sz w:val="22"/>
          <w:szCs w:val="22"/>
        </w:rPr>
        <w:t xml:space="preserve">Conditions:</w:t>
      </w:r>
      <w:r>
        <w:rPr>
          <w:rFonts w:ascii="Arial" w:cs="Arial" w:eastAsia="Arial" w:hAnsi="Arial"/>
          <w:sz w:val="22"/>
          <w:szCs w:val="22"/>
        </w:rPr>
        <w:t xml:space="preserve"> Warm temperatures (60–80°F) and wet conditions; spreads by rain and irrigation splash from infested soil and plant debris; survives in soil and on plant debris for 1–2 years.</w:t>
      </w:r>
    </w:p>
    <w:p>
      <w:pPr>
        <w:pStyle w:val="ListParagraph"/>
        <w:numPr>
          <w:ilvl w:val="0"/>
          <w:numId w:val="2"/>
        </w:numPr>
        <w:spacing w:before="60" w:after="60"/>
      </w:pPr>
      <w:r>
        <w:rPr>
          <w:rFonts w:ascii="Arial" w:cs="Arial" w:eastAsia="Arial" w:hAnsi="Arial"/>
          <w:b/>
          <w:bCs/>
          <w:sz w:val="22"/>
          <w:szCs w:val="22"/>
        </w:rPr>
        <w:t xml:space="preserve">Treatment:</w:t>
      </w:r>
      <w:r>
        <w:rPr>
          <w:rFonts w:ascii="Arial" w:cs="Arial" w:eastAsia="Arial" w:hAnsi="Arial"/>
          <w:sz w:val="22"/>
          <w:szCs w:val="22"/>
        </w:rPr>
        <w:t xml:space="preserve"> Same as early blight: remove infected leaves; apply chlorothalonil, copper, or mancozeb; heavy mulching to prevent soil splash; crop rotation; avoid overhead irrigation. Septoria and early blight often coexist and are managed with the same spray program.</w:t>
      </w:r>
    </w:p>
    <w:p>
      <w:pPr>
        <w:spacing w:before="0" w:after="120"/>
      </w:pPr>
      <w:r>
        <w:t xml:space="preserve"/>
      </w:r>
    </w:p>
    <w:p>
      <w:pPr>
        <w:pStyle w:val="Heading2"/>
        <w:spacing w:before="240" w:after="120"/>
      </w:pPr>
      <w:r>
        <w:rPr>
          <w:rFonts w:ascii="Arial" w:cs="Arial" w:eastAsia="Arial" w:hAnsi="Arial"/>
          <w:b/>
          <w:bCs/>
          <w:color w:val="6B1818"/>
          <w:sz w:val="28"/>
          <w:szCs w:val="28"/>
        </w:rPr>
        <w:t xml:space="preserve">Fusarium Crown Rot / Fusarium Wilt</w:t>
      </w:r>
    </w:p>
    <w:p>
      <w:pPr>
        <w:spacing w:before="60" w:after="100" w:line="280"/>
      </w:pPr>
      <w:r>
        <w:rPr>
          <w:rFonts w:ascii="Arial" w:cs="Arial" w:eastAsia="Arial" w:hAnsi="Arial"/>
          <w:sz w:val="22"/>
          <w:szCs w:val="22"/>
        </w:rPr>
        <w:t xml:space="preserve">Fusarium wilt is a soilborne fungal disease that enters through roots and colonizes the vascular system (xylem), blocking water transport. The diagnostic hallmark is vascular discoloration — cutting through the stem near the soil line reveals brown discoloration in the woody tissue beneath the bark. Fusarium is covered in more depth in Section 5.</w:t>
      </w:r>
    </w:p>
    <w:p>
      <w:pPr>
        <w:pStyle w:val="Heading2"/>
        <w:spacing w:before="240" w:after="120"/>
      </w:pPr>
      <w:r>
        <w:rPr>
          <w:rFonts w:ascii="Arial" w:cs="Arial" w:eastAsia="Arial" w:hAnsi="Arial"/>
          <w:b/>
          <w:bCs/>
          <w:color w:val="6B1818"/>
          <w:sz w:val="28"/>
          <w:szCs w:val="28"/>
        </w:rPr>
        <w:t xml:space="preserve">Sclerotinia / White Mold (Sclerotinia sclerotiorum)</w:t>
      </w:r>
    </w:p>
    <w:p>
      <w:pPr>
        <w:spacing w:before="60" w:after="100" w:line="280"/>
      </w:pPr>
      <w:r>
        <w:rPr>
          <w:rFonts w:ascii="Arial" w:cs="Arial" w:eastAsia="Arial" w:hAnsi="Arial"/>
          <w:sz w:val="22"/>
          <w:szCs w:val="22"/>
        </w:rPr>
        <w:t xml:space="preserve">White mold affects over 400 plant species and is particularly serious on beans, carrots, celery, lettuce, peppers, and many ornamentals. It is soilborne and produces hard, black sclerotia (survival structures) that can persist in soil for 5–8 years.</w:t>
      </w:r>
    </w:p>
    <w:p>
      <w:pPr>
        <w:pStyle w:val="ListParagraph"/>
        <w:numPr>
          <w:ilvl w:val="0"/>
          <w:numId w:val="2"/>
        </w:numPr>
        <w:spacing w:before="60" w:after="60"/>
      </w:pPr>
      <w:r>
        <w:rPr>
          <w:rFonts w:ascii="Arial" w:cs="Arial" w:eastAsia="Arial" w:hAnsi="Arial"/>
          <w:b/>
          <w:bCs/>
          <w:sz w:val="22"/>
          <w:szCs w:val="22"/>
        </w:rPr>
        <w:t xml:space="preserve">Identification:</w:t>
      </w:r>
      <w:r>
        <w:rPr>
          <w:rFonts w:ascii="Arial" w:cs="Arial" w:eastAsia="Arial" w:hAnsi="Arial"/>
          <w:sz w:val="22"/>
          <w:szCs w:val="22"/>
        </w:rPr>
        <w:t xml:space="preserve"> White, cottony mycelial growth on stems and at the soil line; infected tissue beneath the mold is soft and watery; hard, black, seed-like sclerotia (1/4–1/2 inch) embedded in or on the white mold; entire plant collapses in severe cases.</w:t>
      </w:r>
    </w:p>
    <w:p>
      <w:pPr>
        <w:pStyle w:val="ListParagraph"/>
        <w:numPr>
          <w:ilvl w:val="0"/>
          <w:numId w:val="2"/>
        </w:numPr>
        <w:spacing w:before="60" w:after="60"/>
      </w:pPr>
      <w:r>
        <w:rPr>
          <w:rFonts w:ascii="Arial" w:cs="Arial" w:eastAsia="Arial" w:hAnsi="Arial"/>
          <w:b/>
          <w:bCs/>
          <w:sz w:val="22"/>
          <w:szCs w:val="22"/>
        </w:rPr>
        <w:t xml:space="preserve">Treatment:</w:t>
      </w:r>
      <w:r>
        <w:rPr>
          <w:rFonts w:ascii="Arial" w:cs="Arial" w:eastAsia="Arial" w:hAnsi="Arial"/>
          <w:sz w:val="22"/>
          <w:szCs w:val="22"/>
        </w:rPr>
        <w:t xml:space="preserve"> No effective in-season treatment; prevention is the primary strategy. Crop rotation (though the very wide host range limits the effectiveness); deep tillage to bury sclerotia below 4 inches (buried sclerotia do not germinate); biocontrol with Coniothyrium minitans (a fungal parasite of Sclerotinia sclerotia — applied to soil before infection period); thiophanate-methyl or iprodione where labeled.</w:t>
      </w:r>
    </w:p>
    <w:p>
      <w:pPr>
        <w:spacing w:before="0" w:after="120"/>
      </w:pPr>
      <w:r>
        <w:t xml:space="preserve"/>
      </w:r>
    </w:p>
    <w:p>
      <w:pPr>
        <w:pBdr>
          <w:bottom w:val="single" w:color="1D3A2A" w:sz="6" w:space="1"/>
        </w:pBdr>
        <w:spacing w:before="160" w:after="160"/>
      </w:pPr>
      <w:r>
        <w:t xml:space="preserve"/>
      </w:r>
    </w:p>
    <w:p>
      <w:r>
        <w:br w:type="page"/>
      </w:r>
    </w:p>
    <w:p>
      <w:pPr>
        <w:pStyle w:val="Heading1"/>
        <w:spacing w:before="360" w:after="180"/>
      </w:pPr>
      <w:r>
        <w:rPr>
          <w:rFonts w:ascii="Arial" w:cs="Arial" w:eastAsia="Arial" w:hAnsi="Arial"/>
          <w:b/>
          <w:bCs/>
          <w:color w:val="1D3A2A"/>
          <w:sz w:val="36"/>
          <w:szCs w:val="36"/>
        </w:rPr>
        <w:t xml:space="preserve">Section 3: Downy Mildews &amp; Oomycete Diseases</w:t>
      </w:r>
    </w:p>
    <w:p>
      <w:pPr>
        <w:spacing w:before="120" w:after="160" w:line="280"/>
      </w:pPr>
      <w:r>
        <w:rPr>
          <w:rFonts w:ascii="Arial" w:cs="Arial" w:eastAsia="Arial" w:hAnsi="Arial"/>
          <w:sz w:val="22"/>
          <w:szCs w:val="22"/>
        </w:rPr>
        <w:t xml:space="preserve">Oomycetes — often called water molds — are not true fungi despite their fungus-like appearance. They have a fundamentally different cell biology (cellulose cell walls vs. chitin in true fungi) that makes them resistant to many standard fungicides. Late blight, downy mildew, Pythium root rot, and Phytophthora diseases are all caused by oomycetes and require specific oomycete-active products when chemical management is warranted.</w:t>
      </w:r>
    </w:p>
    <w:p>
      <w:pPr>
        <w:pStyle w:val="Heading2"/>
        <w:spacing w:before="240" w:after="120"/>
      </w:pPr>
      <w:r>
        <w:rPr>
          <w:rFonts w:ascii="Arial" w:cs="Arial" w:eastAsia="Arial" w:hAnsi="Arial"/>
          <w:b/>
          <w:bCs/>
          <w:color w:val="6B1818"/>
          <w:sz w:val="28"/>
          <w:szCs w:val="28"/>
        </w:rPr>
        <w:t xml:space="preserve">Downy Mildew Diseases</w:t>
      </w:r>
    </w:p>
    <w:p>
      <w:pPr>
        <w:spacing w:before="60" w:after="100" w:line="280"/>
      </w:pPr>
      <w:r>
        <w:rPr>
          <w:rFonts w:ascii="Arial" w:cs="Arial" w:eastAsia="Arial" w:hAnsi="Arial"/>
          <w:sz w:val="22"/>
          <w:szCs w:val="22"/>
        </w:rPr>
        <w:t xml:space="preserve">Downy mildew diseases are caused by multiple oomycete genera (Peronospora, Plasmopara, Bremia, Pseudoperonospora) that are host-specific — basil downy mildew cannot infect cucumbers and vice versa. All require high humidity and cool temperatures and produce their characteristic sporulation on the undersides of leaves.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800"/>
        <w:gridCol w:w="2360"/>
      </w:tblGrid>
      <w:tr>
        <w:trPr>
          <w:tblHeader/>
        </w:trPr>
        <w:tc>
          <w:tcPr>
            <w:tcW w:type="dxa" w:w="2400"/>
            <w:tcBorders>
              <w:top w:val="single" w:color="6B1818" w:sz="1"/>
              <w:left w:val="single" w:color="6B1818" w:sz="1"/>
              <w:bottom w:val="single" w:color="6B1818" w:sz="1"/>
              <w:right w:val="single" w:color="6B1818" w:sz="1"/>
            </w:tcBorders>
            <w:shd w:fill="6B1818" w:val="clear"/>
            <w:tcMar>
              <w:top w:type="dxa" w:w="80"/>
              <w:left w:type="dxa" w:w="120"/>
              <w:bottom w:type="dxa" w:w="80"/>
              <w:right w:type="dxa" w:w="120"/>
            </w:tcMar>
          </w:tcPr>
          <w:p>
            <w:r>
              <w:rPr>
                <w:rFonts w:ascii="Arial" w:cs="Arial" w:eastAsia="Arial" w:hAnsi="Arial"/>
                <w:b/>
                <w:bCs/>
                <w:color w:val="FFFFFF"/>
                <w:sz w:val="20"/>
                <w:szCs w:val="20"/>
              </w:rPr>
              <w:t xml:space="preserve">Downy Mildew</w:t>
            </w:r>
          </w:p>
        </w:tc>
        <w:tc>
          <w:tcPr>
            <w:tcW w:type="dxa" w:w="1800"/>
            <w:tcBorders>
              <w:top w:val="single" w:color="6B1818" w:sz="1"/>
              <w:left w:val="single" w:color="6B1818" w:sz="1"/>
              <w:bottom w:val="single" w:color="6B1818" w:sz="1"/>
              <w:right w:val="single" w:color="6B1818" w:sz="1"/>
            </w:tcBorders>
            <w:shd w:fill="6B1818" w:val="clear"/>
            <w:tcMar>
              <w:top w:type="dxa" w:w="80"/>
              <w:left w:type="dxa" w:w="120"/>
              <w:bottom w:type="dxa" w:w="80"/>
              <w:right w:type="dxa" w:w="120"/>
            </w:tcMar>
          </w:tcPr>
          <w:p>
            <w:r>
              <w:rPr>
                <w:rFonts w:ascii="Arial" w:cs="Arial" w:eastAsia="Arial" w:hAnsi="Arial"/>
                <w:b/>
                <w:bCs/>
                <w:color w:val="FFFFFF"/>
                <w:sz w:val="20"/>
                <w:szCs w:val="20"/>
              </w:rPr>
              <w:t xml:space="preserve">Host(s)</w:t>
            </w:r>
          </w:p>
        </w:tc>
        <w:tc>
          <w:tcPr>
            <w:tcW w:type="dxa" w:w="2800"/>
            <w:tcBorders>
              <w:top w:val="single" w:color="6B1818" w:sz="1"/>
              <w:left w:val="single" w:color="6B1818" w:sz="1"/>
              <w:bottom w:val="single" w:color="6B1818" w:sz="1"/>
              <w:right w:val="single" w:color="6B1818" w:sz="1"/>
            </w:tcBorders>
            <w:shd w:fill="6B1818" w:val="clear"/>
            <w:tcMar>
              <w:top w:type="dxa" w:w="80"/>
              <w:left w:type="dxa" w:w="120"/>
              <w:bottom w:type="dxa" w:w="80"/>
              <w:right w:type="dxa" w:w="120"/>
            </w:tcMar>
          </w:tcPr>
          <w:p>
            <w:r>
              <w:rPr>
                <w:rFonts w:ascii="Arial" w:cs="Arial" w:eastAsia="Arial" w:hAnsi="Arial"/>
                <w:b/>
                <w:bCs/>
                <w:color w:val="FFFFFF"/>
                <w:sz w:val="20"/>
                <w:szCs w:val="20"/>
              </w:rPr>
              <w:t xml:space="preserve">Identification</w:t>
            </w:r>
          </w:p>
        </w:tc>
        <w:tc>
          <w:tcPr>
            <w:tcW w:type="dxa" w:w="2360"/>
            <w:tcBorders>
              <w:top w:val="single" w:color="6B1818" w:sz="1"/>
              <w:left w:val="single" w:color="6B1818" w:sz="1"/>
              <w:bottom w:val="single" w:color="6B1818" w:sz="1"/>
              <w:right w:val="single" w:color="6B1818" w:sz="1"/>
            </w:tcBorders>
            <w:shd w:fill="6B1818" w:val="clear"/>
            <w:tcMar>
              <w:top w:type="dxa" w:w="80"/>
              <w:left w:type="dxa" w:w="120"/>
              <w:bottom w:type="dxa" w:w="80"/>
              <w:right w:type="dxa" w:w="120"/>
            </w:tcMar>
          </w:tcPr>
          <w:p>
            <w:r>
              <w:rPr>
                <w:rFonts w:ascii="Arial" w:cs="Arial" w:eastAsia="Arial" w:hAnsi="Arial"/>
                <w:b/>
                <w:bCs/>
                <w:color w:val="FFFFFF"/>
                <w:sz w:val="20"/>
                <w:szCs w:val="20"/>
              </w:rPr>
              <w:t xml:space="preserve">Management Notes</w:t>
            </w:r>
          </w:p>
        </w:tc>
      </w:tr>
      <w:tr>
        <w:tc>
          <w:tcPr>
            <w:tcW w:type="dxa" w:w="24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Basil Downy Mildew
(Peronospora belbahrii)</w:t>
            </w:r>
          </w:p>
        </w:tc>
        <w:tc>
          <w:tcPr>
            <w:tcW w:type="dxa" w:w="18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Basil (Ocimum spp.)</w:t>
            </w:r>
          </w:p>
        </w:tc>
        <w:tc>
          <w:tcPr>
            <w:tcW w:type="dxa" w:w="28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Yellow blotches on upper leaf surface with gray-purple fuzzy sporulation directly below on the leaf underside; leaves eventually turn brown and fall; spreads rapidly in cool, humid conditions</w:t>
            </w:r>
          </w:p>
        </w:tc>
        <w:tc>
          <w:tcPr>
            <w:tcW w:type="dxa" w:w="236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This pathogen arrived in the US around 2007 and has devastated commercial and home basil production in humid regions. Choose resistant varieties (‘Eleonora,’ ‘Dolce Fresca,’ ‘Amazel’). Grow in full sun with maximum air circulation; avoid overhead watering. Mandipropamid is most effective; copper products have some efficacy.</w:t>
            </w:r>
          </w:p>
        </w:tc>
      </w:tr>
      <w:tr>
        <w:tc>
          <w:tcPr>
            <w:tcW w:type="dxa" w:w="24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Cucumber Downy Mildew
(Pseudoperonospora cubensis)</w:t>
            </w:r>
          </w:p>
        </w:tc>
        <w:tc>
          <w:tcPr>
            <w:tcW w:type="dxa" w:w="18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Cucurbits (cucumber, squash, cantaloupe)</w:t>
            </w:r>
          </w:p>
        </w:tc>
        <w:tc>
          <w:tcPr>
            <w:tcW w:type="dxa" w:w="28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Angular yellow spots bounded by leaf veins on the upper leaf surface; gray-purple sporulation on the underside; rapid defoliation and plant decline</w:t>
            </w:r>
          </w:p>
        </w:tc>
        <w:tc>
          <w:tcPr>
            <w:tcW w:type="dxa" w:w="236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One of the most destructive summer vegetable diseases in humid eastern states. Resistant cucumber varieties (‘Diva,’ ‘Marketmore 76’). Apply chlorothalonil, mandipropamid, or copper preventively in high-risk conditions.</w:t>
            </w:r>
          </w:p>
        </w:tc>
      </w:tr>
      <w:tr>
        <w:tc>
          <w:tcPr>
            <w:tcW w:type="dxa" w:w="24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Lettuce Downy Mildew
(Bremia lactucae)</w:t>
            </w:r>
          </w:p>
        </w:tc>
        <w:tc>
          <w:tcPr>
            <w:tcW w:type="dxa" w:w="18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Lettuce</w:t>
            </w:r>
          </w:p>
        </w:tc>
        <w:tc>
          <w:tcPr>
            <w:tcW w:type="dxa" w:w="28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Pale yellow angular spots on upper leaf surface; white sporulation on underside in cool, moist conditions; older leaves affected first</w:t>
            </w:r>
          </w:p>
        </w:tc>
        <w:tc>
          <w:tcPr>
            <w:tcW w:type="dxa" w:w="236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Highly variable in strains; resistance in lettuce varieties can be overcome by new pathogen races. Use resistant varieties where available; avoid overhead watering; ensure good air circulation in dense plantings.</w:t>
            </w:r>
          </w:p>
        </w:tc>
      </w:tr>
      <w:tr>
        <w:tc>
          <w:tcPr>
            <w:tcW w:type="dxa" w:w="24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Impatiens Downy Mildew
(Plasmopara obducens)</w:t>
            </w:r>
          </w:p>
        </w:tc>
        <w:tc>
          <w:tcPr>
            <w:tcW w:type="dxa" w:w="18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Impatiens (common bedding impatiens)</w:t>
            </w:r>
          </w:p>
        </w:tc>
        <w:tc>
          <w:tcPr>
            <w:tcW w:type="dxa" w:w="28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Plants yellow and collapse catastrophically; white sporulation visible on stem and leaf undersides just before plant collapse; entire plantings can die within days</w:t>
            </w:r>
          </w:p>
        </w:tc>
        <w:tc>
          <w:tcPr>
            <w:tcW w:type="dxa" w:w="236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This disease devastated common impatiens (I. walleriana) production in much of the US starting around 2004. Do not plant common impatiens in soil that has had this disease. New Guinea impatiens and SunPatiens are not susceptible. Once in soil, persists for years as oospores.</w:t>
            </w:r>
          </w:p>
        </w:tc>
      </w:tr>
      <w:tr>
        <w:tc>
          <w:tcPr>
            <w:tcW w:type="dxa" w:w="24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Grapevine Downy Mildew
(Plasmopara viticola)</w:t>
            </w:r>
          </w:p>
        </w:tc>
        <w:tc>
          <w:tcPr>
            <w:tcW w:type="dxa" w:w="18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Grapes</w:t>
            </w:r>
          </w:p>
        </w:tc>
        <w:tc>
          <w:tcPr>
            <w:tcW w:type="dxa" w:w="28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Oil-spot lesions on upper leaf surface; white cottony sporulation on leaf underside; infected berries turn brown and shriveled</w:t>
            </w:r>
          </w:p>
        </w:tc>
        <w:tc>
          <w:tcPr>
            <w:tcW w:type="dxa" w:w="236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major disease of grapes in humid eastern regions. Native American grape species have more resistance than European Vitis vinifera. Copper-based fungicides applied preventively; mandipropamid or dimethomorph for systemic protection.</w:t>
            </w:r>
          </w:p>
        </w:tc>
      </w:tr>
    </w:tbl>
    <w:p>
      <w:pPr>
        <w:spacing w:before="0" w:after="120"/>
      </w:pPr>
      <w:r>
        <w:t xml:space="preserve"/>
      </w:r>
    </w:p>
    <w:p>
      <w:pPr>
        <w:pStyle w:val="Heading2"/>
        <w:spacing w:before="240" w:after="120"/>
      </w:pPr>
      <w:r>
        <w:rPr>
          <w:rFonts w:ascii="Arial" w:cs="Arial" w:eastAsia="Arial" w:hAnsi="Arial"/>
          <w:b/>
          <w:bCs/>
          <w:color w:val="6B1818"/>
          <w:sz w:val="28"/>
          <w:szCs w:val="28"/>
        </w:rPr>
        <w:t xml:space="preserve">Phytophthora Root and Crown Rot</w:t>
      </w:r>
    </w:p>
    <w:p>
      <w:pPr>
        <w:spacing w:before="60" w:after="100" w:line="280"/>
      </w:pPr>
      <w:r>
        <w:rPr>
          <w:rFonts w:ascii="Arial" w:cs="Arial" w:eastAsia="Arial" w:hAnsi="Arial"/>
          <w:sz w:val="22"/>
          <w:szCs w:val="22"/>
        </w:rPr>
        <w:t xml:space="preserve">Phytophthora species (oomycetes, not true fungi) cause some of the most devastating root and crown rots in horticulture. Phytophthora cinnamomi is responsible for the death of millions of native plants in southwestern landscapes and is a significant pathogen in poorly drained nursery and landscape situations across the US.</w:t>
      </w:r>
    </w:p>
    <w:p>
      <w:pPr>
        <w:pStyle w:val="ListParagraph"/>
        <w:numPr>
          <w:ilvl w:val="0"/>
          <w:numId w:val="2"/>
        </w:numPr>
        <w:spacing w:before="60" w:after="60"/>
      </w:pPr>
      <w:r>
        <w:rPr>
          <w:rFonts w:ascii="Arial" w:cs="Arial" w:eastAsia="Arial" w:hAnsi="Arial"/>
          <w:b/>
          <w:bCs/>
          <w:sz w:val="22"/>
          <w:szCs w:val="22"/>
        </w:rPr>
        <w:t xml:space="preserve">Identification:</w:t>
      </w:r>
      <w:r>
        <w:rPr>
          <w:rFonts w:ascii="Arial" w:cs="Arial" w:eastAsia="Arial" w:hAnsi="Arial"/>
          <w:sz w:val="22"/>
          <w:szCs w:val="22"/>
        </w:rPr>
        <w:t xml:space="preserve"> Plants wilt and decline despite adequate soil moisture; lower leaves turn yellow; stem or crown at the soil line may be dark and water-soaked; roots are brown and mushy rather than white and firm; the transition between healthy and diseased root tissue is abrupt. Phytophthora crown rot typically produces a distinct dark canker at the base of the stem.</w:t>
      </w:r>
    </w:p>
    <w:p>
      <w:pPr>
        <w:pStyle w:val="ListParagraph"/>
        <w:numPr>
          <w:ilvl w:val="0"/>
          <w:numId w:val="2"/>
        </w:numPr>
        <w:spacing w:before="60" w:after="60"/>
      </w:pPr>
      <w:r>
        <w:rPr>
          <w:rFonts w:ascii="Arial" w:cs="Arial" w:eastAsia="Arial" w:hAnsi="Arial"/>
          <w:b/>
          <w:bCs/>
          <w:sz w:val="22"/>
          <w:szCs w:val="22"/>
        </w:rPr>
        <w:t xml:space="preserve">Conditions:</w:t>
      </w:r>
      <w:r>
        <w:rPr>
          <w:rFonts w:ascii="Arial" w:cs="Arial" w:eastAsia="Arial" w:hAnsi="Arial"/>
          <w:sz w:val="22"/>
          <w:szCs w:val="22"/>
        </w:rPr>
        <w:t xml:space="preserve"> Overwet soil; poor drainage; saturated conditions after heavy rain. Phytophthora produces motile zoospores that swim through free water in soil to reach roots — any condition creating waterlogged soil creates ideal infection conditions.</w:t>
      </w:r>
    </w:p>
    <w:p>
      <w:pPr>
        <w:pStyle w:val="ListParagraph"/>
        <w:numPr>
          <w:ilvl w:val="0"/>
          <w:numId w:val="2"/>
        </w:numPr>
        <w:spacing w:before="60" w:after="60"/>
      </w:pPr>
      <w:r>
        <w:rPr>
          <w:rFonts w:ascii="Arial" w:cs="Arial" w:eastAsia="Arial" w:hAnsi="Arial"/>
          <w:b/>
          <w:bCs/>
          <w:sz w:val="22"/>
          <w:szCs w:val="22"/>
        </w:rPr>
        <w:t xml:space="preserve">Most susceptible plants:</w:t>
      </w:r>
      <w:r>
        <w:rPr>
          <w:rFonts w:ascii="Arial" w:cs="Arial" w:eastAsia="Arial" w:hAnsi="Arial"/>
          <w:sz w:val="22"/>
          <w:szCs w:val="22"/>
        </w:rPr>
        <w:t xml:space="preserve"> Avocado, rhododendron, azalea, ornamental cherries, many conifers, pepper (P. capsici), tomato, cucumber, and many others. Phytophthora species are highly host-specific.</w:t>
      </w:r>
    </w:p>
    <w:p>
      <w:pPr>
        <w:pStyle w:val="ListParagraph"/>
        <w:numPr>
          <w:ilvl w:val="0"/>
          <w:numId w:val="2"/>
        </w:numPr>
        <w:spacing w:before="60" w:after="60"/>
      </w:pPr>
      <w:r>
        <w:rPr>
          <w:rFonts w:ascii="Arial" w:cs="Arial" w:eastAsia="Arial" w:hAnsi="Arial"/>
          <w:b/>
          <w:bCs/>
          <w:sz w:val="22"/>
          <w:szCs w:val="22"/>
        </w:rPr>
        <w:t xml:space="preserve">Treatment and prevention:</w:t>
      </w:r>
      <w:r>
        <w:rPr>
          <w:rFonts w:ascii="Arial" w:cs="Arial" w:eastAsia="Arial" w:hAnsi="Arial"/>
          <w:sz w:val="22"/>
          <w:szCs w:val="22"/>
        </w:rPr>
        <w:t xml:space="preserve"> Prevention through drainage is the primary tool. There is no cure for a plant with systemic Phytophthora infection. Improve drainage in affected areas; do not replant susceptible species in the same location without soil treatment or raised bed installation. Phosphonate products (fosetyl-aluminum, phosphoric acid) applied to foliage are translocated to roots and have suppressive activity; mefenoxam (RidomilGold) applied to soil is the most effective chemical treatment for high-value plants.</w:t>
      </w:r>
    </w:p>
    <w:p>
      <w:pPr>
        <w:spacing w:before="0" w:after="120"/>
      </w:pPr>
      <w:r>
        <w:t xml:space="preserve"/>
      </w:r>
    </w:p>
    <w:p>
      <w:pPr>
        <w:pBdr>
          <w:bottom w:val="single" w:color="1D3A2A" w:sz="6" w:space="1"/>
        </w:pBdr>
        <w:spacing w:before="160" w:after="160"/>
      </w:pPr>
      <w:r>
        <w:t xml:space="preserve"/>
      </w:r>
    </w:p>
    <w:p>
      <w:r>
        <w:br w:type="page"/>
      </w:r>
    </w:p>
    <w:p>
      <w:pPr>
        <w:pStyle w:val="Heading1"/>
        <w:spacing w:before="360" w:after="180"/>
      </w:pPr>
      <w:r>
        <w:rPr>
          <w:rFonts w:ascii="Arial" w:cs="Arial" w:eastAsia="Arial" w:hAnsi="Arial"/>
          <w:b/>
          <w:bCs/>
          <w:color w:val="1D3A2A"/>
          <w:sz w:val="36"/>
          <w:szCs w:val="36"/>
        </w:rPr>
        <w:t xml:space="preserve">Section 4: Bacterial Diseases</w:t>
      </w:r>
    </w:p>
    <w:p>
      <w:pPr>
        <w:spacing w:before="120" w:after="160" w:line="280"/>
      </w:pPr>
      <w:r>
        <w:rPr>
          <w:rFonts w:ascii="Arial" w:cs="Arial" w:eastAsia="Arial" w:hAnsi="Arial"/>
          <w:sz w:val="22"/>
          <w:szCs w:val="22"/>
        </w:rPr>
        <w:t xml:space="preserve">Bacterial plant diseases are caused by single-celled prokaryotes that enter plant tissue through natural openings or wounds and multiply in the intercellular spaces or vascular tissue. Unlike fungal diseases, there are no systemic bactericides — no product that moves through the plant to kill bacteria already inside. Management relies on prevention, sanitation, and copper-based products that have surface-protective activity. Once a systemic bacterial disease has colonized the vascular tissue, the plant usually cannot be saved.</w:t>
      </w:r>
    </w:p>
    <w:p>
      <w:pPr>
        <w:pStyle w:val="Heading2"/>
        <w:spacing w:before="240" w:after="120"/>
      </w:pPr>
      <w:r>
        <w:rPr>
          <w:rFonts w:ascii="Arial" w:cs="Arial" w:eastAsia="Arial" w:hAnsi="Arial"/>
          <w:b/>
          <w:bCs/>
          <w:color w:val="6B1818"/>
          <w:sz w:val="28"/>
          <w:szCs w:val="28"/>
        </w:rPr>
        <w:t xml:space="preserve">Fire Blight (Erwinia amylovora)</w:t>
      </w:r>
    </w:p>
    <w:p>
      <w:pPr>
        <w:spacing w:before="60" w:after="100" w:line="280"/>
      </w:pPr>
      <w:r>
        <w:rPr>
          <w:rFonts w:ascii="Arial" w:cs="Arial" w:eastAsia="Arial" w:hAnsi="Arial"/>
          <w:sz w:val="22"/>
          <w:szCs w:val="22"/>
        </w:rPr>
        <w:t xml:space="preserve">Fire blight is the most economically significant bacterial disease of apples and pears in North America. The characteristic shepherd’s crook at the tip of infected branches and the scorched appearance of blossoms and shoot tips give the disease its name. It can kill individual branches, entire trees, and in severe outbreaks can devastate orchards.</w:t>
      </w:r>
    </w:p>
    <w:p>
      <w:pPr>
        <w:pStyle w:val="ListParagraph"/>
        <w:numPr>
          <w:ilvl w:val="0"/>
          <w:numId w:val="2"/>
        </w:numPr>
        <w:spacing w:before="60" w:after="60"/>
      </w:pPr>
      <w:r>
        <w:rPr>
          <w:rFonts w:ascii="Arial" w:cs="Arial" w:eastAsia="Arial" w:hAnsi="Arial"/>
          <w:b/>
          <w:bCs/>
          <w:sz w:val="22"/>
          <w:szCs w:val="22"/>
        </w:rPr>
        <w:t xml:space="preserve">Identification:</w:t>
      </w:r>
      <w:r>
        <w:rPr>
          <w:rFonts w:ascii="Arial" w:cs="Arial" w:eastAsia="Arial" w:hAnsi="Arial"/>
          <w:sz w:val="22"/>
          <w:szCs w:val="22"/>
        </w:rPr>
        <w:t xml:space="preserve"> Blossoms turn brown and die in early spring (blossom blight, the first sign); new shoot tips wilt and bend into a characteristic shepherd’s crook and turn brown-black as if burned; infected bark may show dark discoloration with a water-soaked appearance at the margins; in humid conditions, a bacterial ooze (amber-colored droplets) may be visible on infected tissue; cankers on main branches and trunk may girdle and kill the branch.</w:t>
      </w:r>
    </w:p>
    <w:p>
      <w:pPr>
        <w:pStyle w:val="ListParagraph"/>
        <w:numPr>
          <w:ilvl w:val="0"/>
          <w:numId w:val="2"/>
        </w:numPr>
        <w:spacing w:before="60" w:after="60"/>
      </w:pPr>
      <w:r>
        <w:rPr>
          <w:rFonts w:ascii="Arial" w:cs="Arial" w:eastAsia="Arial" w:hAnsi="Arial"/>
          <w:b/>
          <w:bCs/>
          <w:sz w:val="22"/>
          <w:szCs w:val="22"/>
        </w:rPr>
        <w:t xml:space="preserve">Infection mechanism:</w:t>
      </w:r>
      <w:r>
        <w:rPr>
          <w:rFonts w:ascii="Arial" w:cs="Arial" w:eastAsia="Arial" w:hAnsi="Arial"/>
          <w:sz w:val="22"/>
          <w:szCs w:val="22"/>
        </w:rPr>
        <w:t xml:space="preserve"> The bacteria overwinter in cankers on infected wood. In spring, rain and insects (especially pollinating bees and flies) spread bacteria from cankers to blossoms during the bloom period. Infection is most severe when temperatures are 65–86°F during bloom with rain or dew. After bloom, bacteria can continue spreading through succulent shoot growth.</w:t>
      </w:r>
    </w:p>
    <w:p>
      <w:pPr>
        <w:pStyle w:val="ListParagraph"/>
        <w:numPr>
          <w:ilvl w:val="0"/>
          <w:numId w:val="2"/>
        </w:numPr>
        <w:spacing w:before="60" w:after="60"/>
      </w:pPr>
      <w:r>
        <w:rPr>
          <w:rFonts w:ascii="Arial" w:cs="Arial" w:eastAsia="Arial" w:hAnsi="Arial"/>
          <w:b/>
          <w:bCs/>
          <w:sz w:val="22"/>
          <w:szCs w:val="22"/>
        </w:rPr>
        <w:t xml:space="preserve">Management:</w:t>
      </w:r>
      <w:r>
        <w:rPr>
          <w:rFonts w:ascii="Arial" w:cs="Arial" w:eastAsia="Arial" w:hAnsi="Arial"/>
          <w:sz w:val="22"/>
          <w:szCs w:val="22"/>
        </w:rPr>
        <w:t xml:space="preserve"> Pruning out infected tissue is the primary management tool. Cut well below the visible canker margin — at least 8–12 inches into healthy wood. Sterilize tools between each cut with 70% isopropyl alcohol or 10% bleach. Do not prune during wet, humid conditions when infection can spread. Preventive copper sprays at bloom and during shoot growth have suppressive activity; antibiotics (streptomycin, oxytetracycline) are labeled for fire blight in some states and are effective when applied at bloom in high-risk weather.</w:t>
      </w:r>
    </w:p>
    <w:p>
      <w:pPr>
        <w:pStyle w:val="ListParagraph"/>
        <w:numPr>
          <w:ilvl w:val="0"/>
          <w:numId w:val="2"/>
        </w:numPr>
        <w:spacing w:before="60" w:after="60"/>
      </w:pPr>
      <w:r>
        <w:rPr>
          <w:rFonts w:ascii="Arial" w:cs="Arial" w:eastAsia="Arial" w:hAnsi="Arial"/>
          <w:b/>
          <w:bCs/>
          <w:sz w:val="22"/>
          <w:szCs w:val="22"/>
        </w:rPr>
        <w:t xml:space="preserve">Resistant varieties:</w:t>
      </w:r>
      <w:r>
        <w:rPr>
          <w:rFonts w:ascii="Arial" w:cs="Arial" w:eastAsia="Arial" w:hAnsi="Arial"/>
          <w:sz w:val="22"/>
          <w:szCs w:val="22"/>
        </w:rPr>
        <w:t xml:space="preserve"> Most important long-term management tool. Pear varieties ‘Harrow Sweet,’ ‘Harrow Delight,’ ‘Seckel’; apple varieties ‘Liberty,’ ‘Priscilla,’ ‘Enterprise,’ and most disease-resistant rootstocks. Avoid highly susceptible varieties (‘Gala,’ ‘Fuji,’ ‘Bartlett’ pear) in areas with a history of fire blight.</w:t>
      </w:r>
    </w:p>
    <w:p>
      <w:pPr>
        <w:spacing w:before="0" w:after="120"/>
      </w:pPr>
      <w:r>
        <w:t xml:space="preserve"/>
      </w:r>
    </w:p>
    <w:p>
      <w:pPr>
        <w:pStyle w:val="Heading2"/>
        <w:spacing w:before="240" w:after="120"/>
      </w:pPr>
      <w:r>
        <w:rPr>
          <w:rFonts w:ascii="Arial" w:cs="Arial" w:eastAsia="Arial" w:hAnsi="Arial"/>
          <w:b/>
          <w:bCs/>
          <w:color w:val="6B1818"/>
          <w:sz w:val="28"/>
          <w:szCs w:val="28"/>
        </w:rPr>
        <w:t xml:space="preserve">Bacterial Leaf Spot &amp; Canker Diseases</w:t>
      </w:r>
    </w:p>
    <w:p>
      <w:pPr>
        <w:spacing w:before="60" w:after="100" w:line="280"/>
      </w:pPr>
      <w:r>
        <w:rPr>
          <w:rFonts w:ascii="Arial" w:cs="Arial" w:eastAsia="Arial" w:hAnsi="Arial"/>
          <w:sz w:val="22"/>
          <w:szCs w:val="22"/>
        </w:rPr>
        <w:t xml:space="preserve">Bacterial leaf spot diseases are caused by several bacterial genera, primarily Xanthomonas and Pseudomonas, and affect a wide range of vegetables, ornamentals, and fruit crops. They produce spots, lesions, and cankers that are often difficult to distinguish from fungal leaf spots without laboratory diagnosis.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600"/>
        <w:gridCol w:w="2400"/>
        <w:gridCol w:w="1360"/>
      </w:tblGrid>
      <w:tr>
        <w:trPr>
          <w:tblHeader/>
        </w:trPr>
        <w:tc>
          <w:tcPr>
            <w:tcW w:type="dxa" w:w="2000"/>
            <w:tcBorders>
              <w:top w:val="single" w:color="6B1818" w:sz="1"/>
              <w:left w:val="single" w:color="6B1818" w:sz="1"/>
              <w:bottom w:val="single" w:color="6B1818" w:sz="1"/>
              <w:right w:val="single" w:color="6B1818" w:sz="1"/>
            </w:tcBorders>
            <w:shd w:fill="6B1818" w:val="clear"/>
            <w:tcMar>
              <w:top w:type="dxa" w:w="80"/>
              <w:left w:type="dxa" w:w="120"/>
              <w:bottom w:type="dxa" w:w="80"/>
              <w:right w:type="dxa" w:w="120"/>
            </w:tcMar>
          </w:tcPr>
          <w:p>
            <w:r>
              <w:rPr>
                <w:rFonts w:ascii="Arial" w:cs="Arial" w:eastAsia="Arial" w:hAnsi="Arial"/>
                <w:b/>
                <w:bCs/>
                <w:color w:val="FFFFFF"/>
                <w:sz w:val="20"/>
                <w:szCs w:val="20"/>
              </w:rPr>
              <w:t xml:space="preserve">Disease</w:t>
            </w:r>
          </w:p>
        </w:tc>
        <w:tc>
          <w:tcPr>
            <w:tcW w:type="dxa" w:w="2000"/>
            <w:tcBorders>
              <w:top w:val="single" w:color="6B1818" w:sz="1"/>
              <w:left w:val="single" w:color="6B1818" w:sz="1"/>
              <w:bottom w:val="single" w:color="6B1818" w:sz="1"/>
              <w:right w:val="single" w:color="6B1818" w:sz="1"/>
            </w:tcBorders>
            <w:shd w:fill="6B1818" w:val="clear"/>
            <w:tcMar>
              <w:top w:type="dxa" w:w="80"/>
              <w:left w:type="dxa" w:w="120"/>
              <w:bottom w:type="dxa" w:w="80"/>
              <w:right w:type="dxa" w:w="120"/>
            </w:tcMar>
          </w:tcPr>
          <w:p>
            <w:r>
              <w:rPr>
                <w:rFonts w:ascii="Arial" w:cs="Arial" w:eastAsia="Arial" w:hAnsi="Arial"/>
                <w:b/>
                <w:bCs/>
                <w:color w:val="FFFFFF"/>
                <w:sz w:val="20"/>
                <w:szCs w:val="20"/>
              </w:rPr>
              <w:t xml:space="preserve">Pathogen</w:t>
            </w:r>
          </w:p>
        </w:tc>
        <w:tc>
          <w:tcPr>
            <w:tcW w:type="dxa" w:w="1600"/>
            <w:tcBorders>
              <w:top w:val="single" w:color="6B1818" w:sz="1"/>
              <w:left w:val="single" w:color="6B1818" w:sz="1"/>
              <w:bottom w:val="single" w:color="6B1818" w:sz="1"/>
              <w:right w:val="single" w:color="6B1818" w:sz="1"/>
            </w:tcBorders>
            <w:shd w:fill="6B1818" w:val="clear"/>
            <w:tcMar>
              <w:top w:type="dxa" w:w="80"/>
              <w:left w:type="dxa" w:w="120"/>
              <w:bottom w:type="dxa" w:w="80"/>
              <w:right w:type="dxa" w:w="120"/>
            </w:tcMar>
          </w:tcPr>
          <w:p>
            <w:r>
              <w:rPr>
                <w:rFonts w:ascii="Arial" w:cs="Arial" w:eastAsia="Arial" w:hAnsi="Arial"/>
                <w:b/>
                <w:bCs/>
                <w:color w:val="FFFFFF"/>
                <w:sz w:val="20"/>
                <w:szCs w:val="20"/>
              </w:rPr>
              <w:t xml:space="preserve">Host(s)</w:t>
            </w:r>
          </w:p>
        </w:tc>
        <w:tc>
          <w:tcPr>
            <w:tcW w:type="dxa" w:w="2400"/>
            <w:tcBorders>
              <w:top w:val="single" w:color="6B1818" w:sz="1"/>
              <w:left w:val="single" w:color="6B1818" w:sz="1"/>
              <w:bottom w:val="single" w:color="6B1818" w:sz="1"/>
              <w:right w:val="single" w:color="6B1818" w:sz="1"/>
            </w:tcBorders>
            <w:shd w:fill="6B1818" w:val="clear"/>
            <w:tcMar>
              <w:top w:type="dxa" w:w="80"/>
              <w:left w:type="dxa" w:w="120"/>
              <w:bottom w:type="dxa" w:w="80"/>
              <w:right w:type="dxa" w:w="120"/>
            </w:tcMar>
          </w:tcPr>
          <w:p>
            <w:r>
              <w:rPr>
                <w:rFonts w:ascii="Arial" w:cs="Arial" w:eastAsia="Arial" w:hAnsi="Arial"/>
                <w:b/>
                <w:bCs/>
                <w:color w:val="FFFFFF"/>
                <w:sz w:val="20"/>
                <w:szCs w:val="20"/>
              </w:rPr>
              <w:t xml:space="preserve">Symptoms</w:t>
            </w:r>
          </w:p>
        </w:tc>
        <w:tc>
          <w:tcPr>
            <w:tcW w:type="dxa" w:w="1360"/>
            <w:tcBorders>
              <w:top w:val="single" w:color="6B1818" w:sz="1"/>
              <w:left w:val="single" w:color="6B1818" w:sz="1"/>
              <w:bottom w:val="single" w:color="6B1818" w:sz="1"/>
              <w:right w:val="single" w:color="6B1818" w:sz="1"/>
            </w:tcBorders>
            <w:shd w:fill="6B1818" w:val="clear"/>
            <w:tcMar>
              <w:top w:type="dxa" w:w="80"/>
              <w:left w:type="dxa" w:w="120"/>
              <w:bottom w:type="dxa" w:w="80"/>
              <w:right w:type="dxa" w:w="120"/>
            </w:tcMar>
          </w:tcPr>
          <w:p>
            <w:r>
              <w:rPr>
                <w:rFonts w:ascii="Arial" w:cs="Arial" w:eastAsia="Arial" w:hAnsi="Arial"/>
                <w:b/>
                <w:bCs/>
                <w:color w:val="FFFFFF"/>
                <w:sz w:val="20"/>
                <w:szCs w:val="20"/>
              </w:rPr>
              <w:t xml:space="preserve">Management</w:t>
            </w:r>
          </w:p>
        </w:tc>
      </w:tr>
      <w:tr>
        <w:tc>
          <w:tcPr>
            <w:tcW w:type="dxa" w:w="20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Bacterial Speck
(Pseudomonas syringae pv. tomato)</w:t>
            </w:r>
          </w:p>
        </w:tc>
        <w:tc>
          <w:tcPr>
            <w:tcW w:type="dxa" w:w="20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Pseudomonas syringae pv. tomato</w:t>
            </w:r>
          </w:p>
        </w:tc>
        <w:tc>
          <w:tcPr>
            <w:tcW w:type="dxa" w:w="16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Tomato</w:t>
            </w:r>
          </w:p>
        </w:tc>
        <w:tc>
          <w:tcPr>
            <w:tcW w:type="dxa" w:w="24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Small, dark brown-black spots surrounded by yellow halo; very small (1–2 mm); may coalesce; also affects fruit surface, producing small, dark raised spots</w:t>
            </w:r>
          </w:p>
        </w:tc>
        <w:tc>
          <w:tcPr>
            <w:tcW w:type="dxa" w:w="136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Copper spray preventively in cool, wet conditions; avoid overhead irrigation; crop rotation; resistant varieties available (most modern hybrids).</w:t>
            </w:r>
          </w:p>
        </w:tc>
      </w:tr>
      <w:tr>
        <w:tc>
          <w:tcPr>
            <w:tcW w:type="dxa" w:w="20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Bacterial Spot
(Xanthomonas spp.)</w:t>
            </w:r>
          </w:p>
        </w:tc>
        <w:tc>
          <w:tcPr>
            <w:tcW w:type="dxa" w:w="20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Xanthomonas campestris pv. vesicatoria and related spp.</w:t>
            </w:r>
          </w:p>
        </w:tc>
        <w:tc>
          <w:tcPr>
            <w:tcW w:type="dxa" w:w="16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Tomato and pepper</w:t>
            </w:r>
          </w:p>
        </w:tc>
        <w:tc>
          <w:tcPr>
            <w:tcW w:type="dxa" w:w="24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Water-soaked spots that turn brown with raised margins; irregular shape; on fruit: raised, scabby lesions; fruit quality severely reduced</w:t>
            </w:r>
          </w:p>
        </w:tc>
        <w:tc>
          <w:tcPr>
            <w:tcW w:type="dxa" w:w="136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Copper-based bactericide with mancozeb tank-mixed; copper resistance is common in some populations — rotate with other products. Seed treatment; transplant sanitation; no cure for infected plants.</w:t>
            </w:r>
          </w:p>
        </w:tc>
      </w:tr>
      <w:tr>
        <w:tc>
          <w:tcPr>
            <w:tcW w:type="dxa" w:w="20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Angular Leaf Spot
(Pseudomonas syringae pv. lachrymans)</w:t>
            </w:r>
          </w:p>
        </w:tc>
        <w:tc>
          <w:tcPr>
            <w:tcW w:type="dxa" w:w="20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Pseudomonas syringae pv. lachrymans</w:t>
            </w:r>
          </w:p>
        </w:tc>
        <w:tc>
          <w:tcPr>
            <w:tcW w:type="dxa" w:w="16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Cucumber and cucurbits</w:t>
            </w:r>
          </w:p>
        </w:tc>
        <w:tc>
          <w:tcPr>
            <w:tcW w:type="dxa" w:w="24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Angular, water-soaked spots bounded by leaf veins; spots turn brown with a white papery center; bacterial ooze may dry to a white crust on the lesion</w:t>
            </w:r>
          </w:p>
        </w:tc>
        <w:tc>
          <w:tcPr>
            <w:tcW w:type="dxa" w:w="136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Copper fungicide; avoid overhead irrigation; remove infected plant material; crop rotation.</w:t>
            </w:r>
          </w:p>
        </w:tc>
      </w:tr>
      <w:tr>
        <w:tc>
          <w:tcPr>
            <w:tcW w:type="dxa" w:w="20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Bacterial Canker
(Clavibacter michiganensis subsp. michiganensis)</w:t>
            </w:r>
          </w:p>
        </w:tc>
        <w:tc>
          <w:tcPr>
            <w:tcW w:type="dxa" w:w="20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Clavibacter michiganensis subsp. michiganensis</w:t>
            </w:r>
          </w:p>
        </w:tc>
        <w:tc>
          <w:tcPr>
            <w:tcW w:type="dxa" w:w="16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Tomato</w:t>
            </w:r>
          </w:p>
        </w:tc>
        <w:tc>
          <w:tcPr>
            <w:tcW w:type="dxa" w:w="24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Systemic: wilting of leaves on one side of the stem (bird’s eye lesions on fruit are diagnostic — raised white spots with dark center); stem shows vascular browning; plants may die</w:t>
            </w:r>
          </w:p>
        </w:tc>
        <w:tc>
          <w:tcPr>
            <w:tcW w:type="dxa" w:w="136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No cure. Remove and destroy infected plants immediately. Do not save seed from infected fruit. Purchase certified disease-free seed and transplants. Tomato-specific disease; 3-year rotation away from Solanaceae.</w:t>
            </w:r>
          </w:p>
        </w:tc>
      </w:tr>
      <w:tr>
        <w:tc>
          <w:tcPr>
            <w:tcW w:type="dxa" w:w="20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Crown Gall
(Agrobacterium tumefaciens)</w:t>
            </w:r>
          </w:p>
        </w:tc>
        <w:tc>
          <w:tcPr>
            <w:tcW w:type="dxa" w:w="20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Agrobacterium tumefaciens</w:t>
            </w:r>
          </w:p>
        </w:tc>
        <w:tc>
          <w:tcPr>
            <w:tcW w:type="dxa" w:w="16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Roses, fruit trees, grapes, many woody plants; very wide host range</w:t>
            </w:r>
          </w:p>
        </w:tc>
        <w:tc>
          <w:tcPr>
            <w:tcW w:type="dxa" w:w="24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Rough, tumor-like galls at the crown (soil line) or on roots; galls are initially soft and spongy, later become woody and irregular; plants may decline or be stunted but are often not killed</w:t>
            </w:r>
          </w:p>
        </w:tc>
        <w:tc>
          <w:tcPr>
            <w:tcW w:type="dxa" w:w="136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cure for infected plants. Remove heavily galled plants; do not replant susceptible species in the same location for several years. Purchase plants from reputable nurseries; inspect root systems before planting. Biocontrol with K-84 (Agrobacterium radiobacter strain K-84) applied to roots at transplanting is effective as a preventive.</w:t>
            </w:r>
          </w:p>
        </w:tc>
      </w:tr>
      <w:tr>
        <w:tc>
          <w:tcPr>
            <w:tcW w:type="dxa" w:w="20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Bacterial Wilt
(Erwinia tracheiphila)</w:t>
            </w:r>
          </w:p>
        </w:tc>
        <w:tc>
          <w:tcPr>
            <w:tcW w:type="dxa" w:w="20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Erwinia tracheiphila</w:t>
            </w:r>
          </w:p>
        </w:tc>
        <w:tc>
          <w:tcPr>
            <w:tcW w:type="dxa" w:w="16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Cucurbits (cucumber most susceptible; squash and melon less so)</w:t>
            </w:r>
          </w:p>
        </w:tc>
        <w:tc>
          <w:tcPr>
            <w:tcW w:type="dxa" w:w="24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Sudden wilting of entire plant or individual branches; characteristic ‘thread test’: cut wilted stem near the base, press cut ends together and pull apart slowly — if fine bacterial strands string between the cut surfaces, bacterial wilt is confirmed</w:t>
            </w:r>
          </w:p>
        </w:tc>
        <w:tc>
          <w:tcPr>
            <w:tcW w:type="dxa" w:w="136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Vectored exclusively by cucumber beetles. Control cucumber beetles (row cover during seedling stage; pesticides). Once a plant shows wilt, remove and destroy it. No cure; no effective bactericide. Cucumber varieties vary in susceptibility.</w:t>
            </w:r>
          </w:p>
        </w:tc>
      </w:tr>
    </w:tbl>
    <w:p>
      <w:pPr>
        <w:spacing w:before="0" w:after="120"/>
      </w:pPr>
      <w:r>
        <w:t xml:space="preserve"/>
      </w:r>
    </w:p>
    <w:p>
      <w:pPr>
        <w:pBdr>
          <w:bottom w:val="single" w:color="1D3A2A" w:sz="6" w:space="1"/>
        </w:pBdr>
        <w:spacing w:before="160" w:after="160"/>
      </w:pPr>
      <w:r>
        <w:t xml:space="preserve"/>
      </w:r>
    </w:p>
    <w:p>
      <w:r>
        <w:br w:type="page"/>
      </w:r>
    </w:p>
    <w:p>
      <w:pPr>
        <w:pStyle w:val="Heading1"/>
        <w:spacing w:before="360" w:after="180"/>
      </w:pPr>
      <w:r>
        <w:rPr>
          <w:rFonts w:ascii="Arial" w:cs="Arial" w:eastAsia="Arial" w:hAnsi="Arial"/>
          <w:b/>
          <w:bCs/>
          <w:color w:val="1D3A2A"/>
          <w:sz w:val="36"/>
          <w:szCs w:val="36"/>
        </w:rPr>
        <w:t xml:space="preserve">Section 5: Soilborne Diseases — Wilts, Root Rots &amp; Crown Rots</w:t>
      </w:r>
    </w:p>
    <w:p>
      <w:pPr>
        <w:spacing w:before="120" w:after="160" w:line="280"/>
      </w:pPr>
      <w:r>
        <w:rPr>
          <w:rFonts w:ascii="Arial" w:cs="Arial" w:eastAsia="Arial" w:hAnsi="Arial"/>
          <w:sz w:val="22"/>
          <w:szCs w:val="22"/>
        </w:rPr>
        <w:t xml:space="preserve">Soilborne diseases are among the most frustrating to manage because the pathogens live in the soil, are invisible until symptoms appear, often cannot be detected until significant damage has occurred, and cannot be eradicated once established. The most important management strategies are prevention — crop rotation, resistant varieties, good drainage, and clean transplants — rather than treatment after the fact.</w:t>
      </w:r>
    </w:p>
    <w:p>
      <w:pPr>
        <w:pStyle w:val="Heading2"/>
        <w:spacing w:before="240" w:after="120"/>
      </w:pPr>
      <w:r>
        <w:rPr>
          <w:rFonts w:ascii="Arial" w:cs="Arial" w:eastAsia="Arial" w:hAnsi="Arial"/>
          <w:b/>
          <w:bCs/>
          <w:color w:val="6B1818"/>
          <w:sz w:val="28"/>
          <w:szCs w:val="28"/>
        </w:rPr>
        <w:t xml:space="preserve">Fusarium Wilt (Fusarium oxysporum f. sp. various)</w:t>
      </w:r>
    </w:p>
    <w:p>
      <w:pPr>
        <w:spacing w:before="60" w:after="100" w:line="280"/>
      </w:pPr>
      <w:r>
        <w:rPr>
          <w:rFonts w:ascii="Arial" w:cs="Arial" w:eastAsia="Arial" w:hAnsi="Arial"/>
          <w:sz w:val="22"/>
          <w:szCs w:val="22"/>
        </w:rPr>
        <w:t xml:space="preserve">Fusarium wilt is caused by specialized forms (formae speciales) of Fusarium oxysporum — each forma specialis is specific to a particular host or group of hosts. The tomato-specific form cannot infect basil, and the basil-specific form cannot infect tomatoes. The pathogen enters through the roots, colonizes the xylem (water-conducting vascular tissue), and prevents water transport, causing characteristic wilting.</w:t>
      </w:r>
    </w:p>
    <w:p>
      <w:pPr>
        <w:pStyle w:val="ListParagraph"/>
        <w:numPr>
          <w:ilvl w:val="0"/>
          <w:numId w:val="2"/>
        </w:numPr>
        <w:spacing w:before="60" w:after="60"/>
      </w:pPr>
      <w:r>
        <w:rPr>
          <w:rFonts w:ascii="Arial" w:cs="Arial" w:eastAsia="Arial" w:hAnsi="Arial"/>
          <w:b/>
          <w:bCs/>
          <w:sz w:val="22"/>
          <w:szCs w:val="22"/>
        </w:rPr>
        <w:t xml:space="preserve">Identification:</w:t>
      </w:r>
      <w:r>
        <w:rPr>
          <w:rFonts w:ascii="Arial" w:cs="Arial" w:eastAsia="Arial" w:hAnsi="Arial"/>
          <w:sz w:val="22"/>
          <w:szCs w:val="22"/>
        </w:rPr>
        <w:t xml:space="preserve"> Lower leaves turn yellow and drop; wilting begins during the heat of the day and initially recovers at night; eventually the plant wilts permanently; diagnostic: cut through the stem near the soil line and examine the cross-section — brown discoloration in the vascular tissue (the ring of bundles just inside the outer stem tissue) is the hallmark of Fusarium and Verticillium wilt.</w:t>
      </w:r>
    </w:p>
    <w:p>
      <w:pPr>
        <w:pStyle w:val="ListParagraph"/>
        <w:numPr>
          <w:ilvl w:val="0"/>
          <w:numId w:val="2"/>
        </w:numPr>
        <w:spacing w:before="60" w:after="60"/>
      </w:pPr>
      <w:r>
        <w:rPr>
          <w:rFonts w:ascii="Arial" w:cs="Arial" w:eastAsia="Arial" w:hAnsi="Arial"/>
          <w:b/>
          <w:bCs/>
          <w:sz w:val="22"/>
          <w:szCs w:val="22"/>
        </w:rPr>
        <w:t xml:space="preserve">Host-specific forms:</w:t>
      </w:r>
      <w:r>
        <w:rPr>
          <w:rFonts w:ascii="Arial" w:cs="Arial" w:eastAsia="Arial" w:hAnsi="Arial"/>
          <w:sz w:val="22"/>
          <w:szCs w:val="22"/>
        </w:rPr>
        <w:t xml:space="preserve"> Fusarium wilt of tomato (F. oxysporum f. sp. lycopersici), watermelon (f. sp. niveum), basil (f. sp. basilici), sweet potato (f. sp. batatas), and many others. Each is distinct and soil that has had one forma specialis is not necessarily a risk for unrelated crops.</w:t>
      </w:r>
    </w:p>
    <w:p>
      <w:pPr>
        <w:pStyle w:val="ListParagraph"/>
        <w:numPr>
          <w:ilvl w:val="0"/>
          <w:numId w:val="2"/>
        </w:numPr>
        <w:spacing w:before="60" w:after="60"/>
      </w:pPr>
      <w:r>
        <w:rPr>
          <w:rFonts w:ascii="Arial" w:cs="Arial" w:eastAsia="Arial" w:hAnsi="Arial"/>
          <w:b/>
          <w:bCs/>
          <w:sz w:val="22"/>
          <w:szCs w:val="22"/>
        </w:rPr>
        <w:t xml:space="preserve">Persistence:</w:t>
      </w:r>
      <w:r>
        <w:rPr>
          <w:rFonts w:ascii="Arial" w:cs="Arial" w:eastAsia="Arial" w:hAnsi="Arial"/>
          <w:sz w:val="22"/>
          <w:szCs w:val="22"/>
        </w:rPr>
        <w:t xml:space="preserve"> Fusarium oxysporum can persist in soil for 10–30 years as chlamydospores — thick-walled survival spores. This makes crop rotation less effective as a sole strategy once the pathogen is established in a soil.</w:t>
      </w:r>
    </w:p>
    <w:p>
      <w:pPr>
        <w:pStyle w:val="ListParagraph"/>
        <w:numPr>
          <w:ilvl w:val="0"/>
          <w:numId w:val="2"/>
        </w:numPr>
        <w:spacing w:before="60" w:after="60"/>
      </w:pPr>
      <w:r>
        <w:rPr>
          <w:rFonts w:ascii="Arial" w:cs="Arial" w:eastAsia="Arial" w:hAnsi="Arial"/>
          <w:b/>
          <w:bCs/>
          <w:sz w:val="22"/>
          <w:szCs w:val="22"/>
        </w:rPr>
        <w:t xml:space="preserve">Management:</w:t>
      </w:r>
      <w:r>
        <w:rPr>
          <w:rFonts w:ascii="Arial" w:cs="Arial" w:eastAsia="Arial" w:hAnsi="Arial"/>
          <w:sz w:val="22"/>
          <w:szCs w:val="22"/>
        </w:rPr>
        <w:t xml:space="preserve"> Resistant varieties are the most effective tool (look for F or FF resistance codes on tomato varieties; FF indicates resistance to both Race 1 and Race 2). Soil solarization (covering soil with clear plastic in summer to raise temperature to fungicidal levels — see below). Grafted tomato transplants on disease-resistant rootstocks are available and highly effective. Biological control with Trichoderma harzianum (available as a seed treatment or soil amendment) can suppress Fusarium in the root zone.</w:t>
      </w:r>
    </w:p>
    <w:p>
      <w:pPr>
        <w:spacing w:before="0" w:after="120"/>
      </w:pPr>
      <w:r>
        <w:t xml:space="preserve"/>
      </w:r>
    </w:p>
    <w:p>
      <w:pPr>
        <w:pStyle w:val="Heading2"/>
        <w:spacing w:before="240" w:after="120"/>
      </w:pPr>
      <w:r>
        <w:rPr>
          <w:rFonts w:ascii="Arial" w:cs="Arial" w:eastAsia="Arial" w:hAnsi="Arial"/>
          <w:b/>
          <w:bCs/>
          <w:color w:val="6B1818"/>
          <w:sz w:val="28"/>
          <w:szCs w:val="28"/>
        </w:rPr>
        <w:t xml:space="preserve">Verticillium Wilt (Verticillium dahliae and V. albo-atrum)</w:t>
      </w:r>
    </w:p>
    <w:p>
      <w:pPr>
        <w:spacing w:before="60" w:after="100" w:line="280"/>
      </w:pPr>
      <w:r>
        <w:rPr>
          <w:rFonts w:ascii="Arial" w:cs="Arial" w:eastAsia="Arial" w:hAnsi="Arial"/>
          <w:sz w:val="22"/>
          <w:szCs w:val="22"/>
        </w:rPr>
        <w:t xml:space="preserve">Verticillium wilt is similar to Fusarium wilt in mechanism — a soilborne fungus colonizes the xylem and causes wilting — but has a much broader host range (over 300 plant species) and is the primary soilborne disease in cool-summer regions where Fusarium is less active. V. dahliae is the more widespread and persistent species.</w:t>
      </w:r>
    </w:p>
    <w:p>
      <w:pPr>
        <w:pStyle w:val="ListParagraph"/>
        <w:numPr>
          <w:ilvl w:val="0"/>
          <w:numId w:val="2"/>
        </w:numPr>
        <w:spacing w:before="60" w:after="60"/>
      </w:pPr>
      <w:r>
        <w:rPr>
          <w:rFonts w:ascii="Arial" w:cs="Arial" w:eastAsia="Arial" w:hAnsi="Arial"/>
          <w:b/>
          <w:bCs/>
          <w:sz w:val="22"/>
          <w:szCs w:val="22"/>
        </w:rPr>
        <w:t xml:space="preserve">Identification:</w:t>
      </w:r>
      <w:r>
        <w:rPr>
          <w:rFonts w:ascii="Arial" w:cs="Arial" w:eastAsia="Arial" w:hAnsi="Arial"/>
          <w:sz w:val="22"/>
          <w:szCs w:val="22"/>
        </w:rPr>
        <w:t xml:space="preserve"> Similar to Fusarium wilt; vascular browning in stem cross-section; in some hosts (maple, elm, ash), produces asymmetric wilting of individual branches rather than whole-plant collapse. Distinguished from Fusarium in the laboratory; in the field, the host, climate, and history of the site provide the best clues.</w:t>
      </w:r>
    </w:p>
    <w:p>
      <w:pPr>
        <w:pStyle w:val="ListParagraph"/>
        <w:numPr>
          <w:ilvl w:val="0"/>
          <w:numId w:val="2"/>
        </w:numPr>
        <w:spacing w:before="60" w:after="60"/>
      </w:pPr>
      <w:r>
        <w:rPr>
          <w:rFonts w:ascii="Arial" w:cs="Arial" w:eastAsia="Arial" w:hAnsi="Arial"/>
          <w:b/>
          <w:bCs/>
          <w:sz w:val="22"/>
          <w:szCs w:val="22"/>
        </w:rPr>
        <w:t xml:space="preserve">Temperature preference:</w:t>
      </w:r>
      <w:r>
        <w:rPr>
          <w:rFonts w:ascii="Arial" w:cs="Arial" w:eastAsia="Arial" w:hAnsi="Arial"/>
          <w:sz w:val="22"/>
          <w:szCs w:val="22"/>
        </w:rPr>
        <w:t xml:space="preserve"> Verticillium is most active at cool soil temperatures (50–75°F) and is a more serious problem in the Pacific Northwest, northern California, and northern states. Fusarium is more active at warm soil temperatures and is more severe in the South and mid-Atlantic.</w:t>
      </w:r>
    </w:p>
    <w:p>
      <w:pPr>
        <w:pStyle w:val="ListParagraph"/>
        <w:numPr>
          <w:ilvl w:val="0"/>
          <w:numId w:val="2"/>
        </w:numPr>
        <w:spacing w:before="60" w:after="60"/>
      </w:pPr>
      <w:r>
        <w:rPr>
          <w:rFonts w:ascii="Arial" w:cs="Arial" w:eastAsia="Arial" w:hAnsi="Arial"/>
          <w:b/>
          <w:bCs/>
          <w:sz w:val="22"/>
          <w:szCs w:val="22"/>
        </w:rPr>
        <w:t xml:space="preserve">Management:</w:t>
      </w:r>
      <w:r>
        <w:rPr>
          <w:rFonts w:ascii="Arial" w:cs="Arial" w:eastAsia="Arial" w:hAnsi="Arial"/>
          <w:sz w:val="22"/>
          <w:szCs w:val="22"/>
        </w:rPr>
        <w:t xml:space="preserve"> Resistant varieties (V code on tomato varieties); crop rotation is less effective due to broad host range; soil solarization; anaerobic soil disinfestation (flooding and covering soil); grafted transplants. V. dahliae can persist in soil for 15+ years.</w:t>
      </w:r>
    </w:p>
    <w:p>
      <w:pPr>
        <w:spacing w:before="0" w:after="120"/>
      </w:pPr>
      <w:r>
        <w:t xml:space="preserve"/>
      </w:r>
    </w:p>
    <w:p>
      <w:pPr>
        <w:pStyle w:val="Heading2"/>
        <w:spacing w:before="240" w:after="120"/>
      </w:pPr>
      <w:r>
        <w:rPr>
          <w:rFonts w:ascii="Arial" w:cs="Arial" w:eastAsia="Arial" w:hAnsi="Arial"/>
          <w:b/>
          <w:bCs/>
          <w:color w:val="6B1818"/>
          <w:sz w:val="28"/>
          <w:szCs w:val="28"/>
        </w:rPr>
        <w:t xml:space="preserve">Pythium Root Rot &amp; Damping Off</w:t>
      </w:r>
    </w:p>
    <w:p>
      <w:pPr>
        <w:spacing w:before="60" w:after="100" w:line="280"/>
      </w:pPr>
      <w:r>
        <w:rPr>
          <w:rFonts w:ascii="Arial" w:cs="Arial" w:eastAsia="Arial" w:hAnsi="Arial"/>
          <w:sz w:val="22"/>
          <w:szCs w:val="22"/>
        </w:rPr>
        <w:t xml:space="preserve">Pythium species (oomycetes) are the primary cause of damping off in seedlings and root rot in established plants in waterlogged or overwatered conditions. They are ubiquitous in most garden soils and become pathogenic when soil moisture is excessive.</w:t>
      </w:r>
    </w:p>
    <w:p>
      <w:pPr>
        <w:pStyle w:val="ListParagraph"/>
        <w:numPr>
          <w:ilvl w:val="0"/>
          <w:numId w:val="2"/>
        </w:numPr>
        <w:spacing w:before="60" w:after="60"/>
      </w:pPr>
      <w:r>
        <w:rPr>
          <w:rFonts w:ascii="Arial" w:cs="Arial" w:eastAsia="Arial" w:hAnsi="Arial"/>
          <w:b/>
          <w:bCs/>
          <w:sz w:val="22"/>
          <w:szCs w:val="22"/>
        </w:rPr>
        <w:t xml:space="preserve">Damping off:</w:t>
      </w:r>
      <w:r>
        <w:rPr>
          <w:rFonts w:ascii="Arial" w:cs="Arial" w:eastAsia="Arial" w:hAnsi="Arial"/>
          <w:sz w:val="22"/>
          <w:szCs w:val="22"/>
        </w:rPr>
        <w:t xml:space="preserve"> Seedlings that germinate normally but then suddenly collapse at the soil line, their stems becoming water-soaked and constricted (the stem appears ‘pinched’ at the soil level). Can occur before or after emergence. The most common cause of seedling failure in home gardens.</w:t>
      </w:r>
    </w:p>
    <w:p>
      <w:pPr>
        <w:pStyle w:val="ListParagraph"/>
        <w:numPr>
          <w:ilvl w:val="0"/>
          <w:numId w:val="2"/>
        </w:numPr>
        <w:spacing w:before="60" w:after="60"/>
      </w:pPr>
      <w:r>
        <w:rPr>
          <w:rFonts w:ascii="Arial" w:cs="Arial" w:eastAsia="Arial" w:hAnsi="Arial"/>
          <w:b/>
          <w:bCs/>
          <w:sz w:val="22"/>
          <w:szCs w:val="22"/>
        </w:rPr>
        <w:t xml:space="preserve">Conditions:</w:t>
      </w:r>
      <w:r>
        <w:rPr>
          <w:rFonts w:ascii="Arial" w:cs="Arial" w:eastAsia="Arial" w:hAnsi="Arial"/>
          <w:sz w:val="22"/>
          <w:szCs w:val="22"/>
        </w:rPr>
        <w:t xml:space="preserve"> Overwatering; cold, wet soil; poor drainage; dense seedling trays with poor air circulation. Pythium thrives in saturated, cool soil.</w:t>
      </w:r>
    </w:p>
    <w:p>
      <w:pPr>
        <w:pStyle w:val="ListParagraph"/>
        <w:numPr>
          <w:ilvl w:val="0"/>
          <w:numId w:val="2"/>
        </w:numPr>
        <w:spacing w:before="60" w:after="60"/>
      </w:pPr>
      <w:r>
        <w:rPr>
          <w:rFonts w:ascii="Arial" w:cs="Arial" w:eastAsia="Arial" w:hAnsi="Arial"/>
          <w:b/>
          <w:bCs/>
          <w:sz w:val="22"/>
          <w:szCs w:val="22"/>
        </w:rPr>
        <w:t xml:space="preserve">Management:</w:t>
      </w:r>
      <w:r>
        <w:rPr>
          <w:rFonts w:ascii="Arial" w:cs="Arial" w:eastAsia="Arial" w:hAnsi="Arial"/>
          <w:sz w:val="22"/>
          <w:szCs w:val="22"/>
        </w:rPr>
        <w:t xml:space="preserve"> Prevention: use well-drained sterile potting mix for seed starting (not garden soil, which contains Pythium); water carefully — allow the top of the soil to dry between waterings; provide good air circulation; avoid sowing into cold, wet outdoor soil. For established plants with root rot: improve drainage; reduce irrigation; treat with phosphonate products or mefenoxam (Ridomil Gold) for high-value plants.</w:t>
      </w:r>
    </w:p>
    <w:p>
      <w:pPr>
        <w:spacing w:before="0" w:after="120"/>
      </w:pPr>
      <w:r>
        <w:t xml:space="preserve"/>
      </w:r>
    </w:p>
    <w:p>
      <w:pPr>
        <w:pStyle w:val="Heading2"/>
        <w:spacing w:before="240" w:after="120"/>
      </w:pPr>
      <w:r>
        <w:rPr>
          <w:rFonts w:ascii="Arial" w:cs="Arial" w:eastAsia="Arial" w:hAnsi="Arial"/>
          <w:b/>
          <w:bCs/>
          <w:color w:val="6B1818"/>
          <w:sz w:val="28"/>
          <w:szCs w:val="28"/>
        </w:rPr>
        <w:t xml:space="preserve">Soil Solarization: A Tool for Soilborne Disease Management</w:t>
      </w:r>
    </w:p>
    <w:p>
      <w:pPr>
        <w:spacing w:before="60" w:after="100" w:line="280"/>
      </w:pPr>
      <w:r>
        <w:rPr>
          <w:rFonts w:ascii="Arial" w:cs="Arial" w:eastAsia="Arial" w:hAnsi="Arial"/>
          <w:sz w:val="22"/>
          <w:szCs w:val="22"/>
        </w:rPr>
        <w:t xml:space="preserve">Soil solarization uses the sun’s heat, trapped under clear plastic sheeting, to raise soil temperatures to levels that kill many soilborne pathogens, nematodes, and weed seeds. It is most effective in warm, sunny climates and during peak summer heat.</w:t>
      </w:r>
    </w:p>
    <w:p>
      <w:pPr>
        <w:pStyle w:val="ListParagraph"/>
        <w:numPr>
          <w:ilvl w:val="0"/>
          <w:numId w:val="3"/>
        </w:numPr>
        <w:spacing w:before="60" w:after="60"/>
      </w:pPr>
      <w:r>
        <w:rPr>
          <w:rFonts w:ascii="Arial" w:cs="Arial" w:eastAsia="Arial" w:hAnsi="Arial"/>
          <w:b/>
          <w:bCs/>
          <w:sz w:val="22"/>
          <w:szCs w:val="22"/>
        </w:rPr>
        <w:t xml:space="preserve">Prepare the bed:</w:t>
      </w:r>
      <w:r>
        <w:rPr>
          <w:rFonts w:ascii="Arial" w:cs="Arial" w:eastAsia="Arial" w:hAnsi="Arial"/>
          <w:sz w:val="22"/>
          <w:szCs w:val="22"/>
        </w:rPr>
        <w:t xml:space="preserve"> Remove all plant debris and weeds. Amend with compost if desired. Irrigate deeply (solarization works best in moist soil).</w:t>
      </w:r>
    </w:p>
    <w:p>
      <w:pPr>
        <w:pStyle w:val="ListParagraph"/>
        <w:numPr>
          <w:ilvl w:val="0"/>
          <w:numId w:val="3"/>
        </w:numPr>
        <w:spacing w:before="60" w:after="60"/>
      </w:pPr>
      <w:r>
        <w:rPr>
          <w:rFonts w:ascii="Arial" w:cs="Arial" w:eastAsia="Arial" w:hAnsi="Arial"/>
          <w:b/>
          <w:bCs/>
          <w:sz w:val="22"/>
          <w:szCs w:val="22"/>
        </w:rPr>
        <w:t xml:space="preserve">Cover with clear plastic:</w:t>
      </w:r>
      <w:r>
        <w:rPr>
          <w:rFonts w:ascii="Arial" w:cs="Arial" w:eastAsia="Arial" w:hAnsi="Arial"/>
          <w:sz w:val="22"/>
          <w:szCs w:val="22"/>
        </w:rPr>
        <w:t xml:space="preserve"> Clear plastic (1–1.5 mil thickness) is most effective; black plastic traps more heat but does not transfer it as deeply. Bury the edges thoroughly to trap heat.</w:t>
      </w:r>
    </w:p>
    <w:p>
      <w:pPr>
        <w:pStyle w:val="ListParagraph"/>
        <w:numPr>
          <w:ilvl w:val="0"/>
          <w:numId w:val="3"/>
        </w:numPr>
        <w:spacing w:before="60" w:after="60"/>
      </w:pPr>
      <w:r>
        <w:rPr>
          <w:rFonts w:ascii="Arial" w:cs="Arial" w:eastAsia="Arial" w:hAnsi="Arial"/>
          <w:b/>
          <w:bCs/>
          <w:sz w:val="22"/>
          <w:szCs w:val="22"/>
        </w:rPr>
        <w:t xml:space="preserve">Duration:</w:t>
      </w:r>
      <w:r>
        <w:rPr>
          <w:rFonts w:ascii="Arial" w:cs="Arial" w:eastAsia="Arial" w:hAnsi="Arial"/>
          <w:sz w:val="22"/>
          <w:szCs w:val="22"/>
        </w:rPr>
        <w:t xml:space="preserve"> Leave in place for 4–6 weeks during the hottest period of summer. In Zones 8–10, July–August is the most effective period. In Zones 5–6, August is typically the best month. In Zones 3–4, solarization is less effective due to lower peak temperatures and shorter effective window.</w:t>
      </w:r>
    </w:p>
    <w:p>
      <w:pPr>
        <w:pStyle w:val="ListParagraph"/>
        <w:numPr>
          <w:ilvl w:val="0"/>
          <w:numId w:val="3"/>
        </w:numPr>
        <w:spacing w:before="60" w:after="60"/>
      </w:pPr>
      <w:r>
        <w:rPr>
          <w:rFonts w:ascii="Arial" w:cs="Arial" w:eastAsia="Arial" w:hAnsi="Arial"/>
          <w:b/>
          <w:bCs/>
          <w:sz w:val="22"/>
          <w:szCs w:val="22"/>
        </w:rPr>
        <w:t xml:space="preserve">Effectiveness:</w:t>
      </w:r>
      <w:r>
        <w:rPr>
          <w:rFonts w:ascii="Arial" w:cs="Arial" w:eastAsia="Arial" w:hAnsi="Arial"/>
          <w:sz w:val="22"/>
          <w:szCs w:val="22"/>
        </w:rPr>
        <w:t xml:space="preserve"> Reduces Fusarium, Verticillium, Sclerotinia, Pythium, and nematode populations in the top 6 inches of soil. Does not eliminate pathogens completely but can reduce populations sufficiently to allow production of susceptible crops for 1–2 seasons.</w:t>
      </w:r>
    </w:p>
    <w:p>
      <w:pPr>
        <w:spacing w:before="0" w:after="120"/>
      </w:pPr>
      <w:r>
        <w:t xml:space="preserve"/>
      </w:r>
    </w:p>
    <w:p>
      <w:pPr>
        <w:pBdr>
          <w:bottom w:val="single" w:color="1D3A2A" w:sz="6" w:space="1"/>
        </w:pBdr>
        <w:spacing w:before="160" w:after="160"/>
      </w:pPr>
      <w:r>
        <w:t xml:space="preserve"/>
      </w:r>
    </w:p>
    <w:p>
      <w:r>
        <w:br w:type="page"/>
      </w:r>
    </w:p>
    <w:p>
      <w:pPr>
        <w:pStyle w:val="Heading1"/>
        <w:spacing w:before="360" w:after="180"/>
      </w:pPr>
      <w:r>
        <w:rPr>
          <w:rFonts w:ascii="Arial" w:cs="Arial" w:eastAsia="Arial" w:hAnsi="Arial"/>
          <w:b/>
          <w:bCs/>
          <w:color w:val="1D3A2A"/>
          <w:sz w:val="36"/>
          <w:szCs w:val="36"/>
        </w:rPr>
        <w:t xml:space="preserve">Section 6: Viral Diseases</w:t>
      </w:r>
    </w:p>
    <w:p>
      <w:pPr>
        <w:spacing w:before="120" w:after="160" w:line="280"/>
      </w:pPr>
      <w:r>
        <w:rPr>
          <w:rFonts w:ascii="Arial" w:cs="Arial" w:eastAsia="Arial" w:hAnsi="Arial"/>
          <w:sz w:val="22"/>
          <w:szCs w:val="22"/>
        </w:rPr>
        <w:t xml:space="preserve">Plant viruses are obligate intracellular pathogens — they can only reproduce inside living plant cells — that cause a distinctive range of symptoms including mosaic patterns, distortion, stunting, ringspots, and color breaks in flowers. There is no cure for a viral infection in a plant; management consists of removing infected plants and controlling the insect vectors that transmit most viruses.</w:t>
      </w:r>
    </w:p>
    <w:p>
      <w:pPr>
        <w:pStyle w:val="Heading2"/>
        <w:spacing w:before="240" w:after="120"/>
      </w:pPr>
      <w:r>
        <w:rPr>
          <w:rFonts w:ascii="Arial" w:cs="Arial" w:eastAsia="Arial" w:hAnsi="Arial"/>
          <w:b/>
          <w:bCs/>
          <w:color w:val="6B1818"/>
          <w:sz w:val="28"/>
          <w:szCs w:val="28"/>
        </w:rPr>
        <w:t xml:space="preserve">Recognition: Common Viral Symptoms</w:t>
      </w:r>
    </w:p>
    <w:p>
      <w:pPr>
        <w:pStyle w:val="ListParagraph"/>
        <w:numPr>
          <w:ilvl w:val="0"/>
          <w:numId w:val="2"/>
        </w:numPr>
        <w:spacing w:before="60" w:after="60"/>
      </w:pPr>
      <w:r>
        <w:rPr>
          <w:rFonts w:ascii="Arial" w:cs="Arial" w:eastAsia="Arial" w:hAnsi="Arial"/>
          <w:b/>
          <w:bCs/>
          <w:sz w:val="22"/>
          <w:szCs w:val="22"/>
        </w:rPr>
        <w:t xml:space="preserve">Mosaic:</w:t>
      </w:r>
      <w:r>
        <w:rPr>
          <w:rFonts w:ascii="Arial" w:cs="Arial" w:eastAsia="Arial" w:hAnsi="Arial"/>
          <w:sz w:val="22"/>
          <w:szCs w:val="22"/>
        </w:rPr>
        <w:t xml:space="preserve"> The most characteristic viral symptom — alternating light and dark green, yellow-green, or yellow patches across the leaf surface that follow the cell-to-cell pattern of viral distribution in the leaf tissue. Mosaics are typically irregular and do not follow leaf vein boundaries.</w:t>
      </w:r>
    </w:p>
    <w:p>
      <w:pPr>
        <w:pStyle w:val="ListParagraph"/>
        <w:numPr>
          <w:ilvl w:val="0"/>
          <w:numId w:val="2"/>
        </w:numPr>
        <w:spacing w:before="60" w:after="60"/>
      </w:pPr>
      <w:r>
        <w:rPr>
          <w:rFonts w:ascii="Arial" w:cs="Arial" w:eastAsia="Arial" w:hAnsi="Arial"/>
          <w:b/>
          <w:bCs/>
          <w:sz w:val="22"/>
          <w:szCs w:val="22"/>
        </w:rPr>
        <w:t xml:space="preserve">Distortion:</w:t>
      </w:r>
      <w:r>
        <w:rPr>
          <w:rFonts w:ascii="Arial" w:cs="Arial" w:eastAsia="Arial" w:hAnsi="Arial"/>
          <w:sz w:val="22"/>
          <w:szCs w:val="22"/>
        </w:rPr>
        <w:t xml:space="preserve"> Leaves may be puckered, cupped, curled, or twisted; new growth is often the most severely affected; plants may be severely stunted. Distortion is caused by the virus disrupting cell division signals during leaf development.</w:t>
      </w:r>
    </w:p>
    <w:p>
      <w:pPr>
        <w:pStyle w:val="ListParagraph"/>
        <w:numPr>
          <w:ilvl w:val="0"/>
          <w:numId w:val="2"/>
        </w:numPr>
        <w:spacing w:before="60" w:after="60"/>
      </w:pPr>
      <w:r>
        <w:rPr>
          <w:rFonts w:ascii="Arial" w:cs="Arial" w:eastAsia="Arial" w:hAnsi="Arial"/>
          <w:b/>
          <w:bCs/>
          <w:sz w:val="22"/>
          <w:szCs w:val="22"/>
        </w:rPr>
        <w:t xml:space="preserve">Ringspots:</w:t>
      </w:r>
      <w:r>
        <w:rPr>
          <w:rFonts w:ascii="Arial" w:cs="Arial" w:eastAsia="Arial" w:hAnsi="Arial"/>
          <w:sz w:val="22"/>
          <w:szCs w:val="22"/>
        </w:rPr>
        <w:t xml:space="preserve"> Circular, ring-like chlorotic or necrotic patterns on leaves, often with a distinct ring-within-ring structure. Most commonly caused by specific viruses (tomato spotted wilt virus produces distinctive bronze ringspots).</w:t>
      </w:r>
    </w:p>
    <w:p>
      <w:pPr>
        <w:pStyle w:val="ListParagraph"/>
        <w:numPr>
          <w:ilvl w:val="0"/>
          <w:numId w:val="2"/>
        </w:numPr>
        <w:spacing w:before="60" w:after="60"/>
      </w:pPr>
      <w:r>
        <w:rPr>
          <w:rFonts w:ascii="Arial" w:cs="Arial" w:eastAsia="Arial" w:hAnsi="Arial"/>
          <w:b/>
          <w:bCs/>
          <w:sz w:val="22"/>
          <w:szCs w:val="22"/>
        </w:rPr>
        <w:t xml:space="preserve">Vein clearing or yellowing:</w:t>
      </w:r>
      <w:r>
        <w:rPr>
          <w:rFonts w:ascii="Arial" w:cs="Arial" w:eastAsia="Arial" w:hAnsi="Arial"/>
          <w:sz w:val="22"/>
          <w:szCs w:val="22"/>
        </w:rPr>
        <w:t xml:space="preserve"> Veins become pale or yellow while the surrounding tissue remains green; an early symptom in some viral infections.</w:t>
      </w:r>
    </w:p>
    <w:p>
      <w:pPr>
        <w:pStyle w:val="ListParagraph"/>
        <w:numPr>
          <w:ilvl w:val="0"/>
          <w:numId w:val="2"/>
        </w:numPr>
        <w:spacing w:before="60" w:after="60"/>
      </w:pPr>
      <w:r>
        <w:rPr>
          <w:rFonts w:ascii="Arial" w:cs="Arial" w:eastAsia="Arial" w:hAnsi="Arial"/>
          <w:b/>
          <w:bCs/>
          <w:sz w:val="22"/>
          <w:szCs w:val="22"/>
        </w:rPr>
        <w:t xml:space="preserve">Flower color break:</w:t>
      </w:r>
      <w:r>
        <w:rPr>
          <w:rFonts w:ascii="Arial" w:cs="Arial" w:eastAsia="Arial" w:hAnsi="Arial"/>
          <w:sz w:val="22"/>
          <w:szCs w:val="22"/>
        </w:rPr>
        <w:t xml:space="preserve"> Tulip breaking virus, the most historically famous plant virus (traded as ‘broken’ tulips during the Dutch tulip mania), causes streaks and color breaks in flower petals. Other viruses can cause similar patterns.</w:t>
      </w:r>
    </w:p>
    <w:p>
      <w:pPr>
        <w:spacing w:before="0" w:after="120"/>
      </w:pPr>
      <w:r>
        <w:t xml:space="preserve"/>
      </w:r>
    </w:p>
    <w:p>
      <w:pPr>
        <w:pStyle w:val="Heading2"/>
        <w:spacing w:before="240" w:after="120"/>
      </w:pPr>
      <w:r>
        <w:rPr>
          <w:rFonts w:ascii="Arial" w:cs="Arial" w:eastAsia="Arial" w:hAnsi="Arial"/>
          <w:b/>
          <w:bCs/>
          <w:color w:val="6B1818"/>
          <w:sz w:val="28"/>
          <w:szCs w:val="28"/>
        </w:rPr>
        <w:t xml:space="preserve">Major Viral Diseases in American Gardens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2200"/>
        <w:gridCol w:w="1560"/>
      </w:tblGrid>
      <w:tr>
        <w:trPr>
          <w:tblHeader/>
        </w:trPr>
        <w:tc>
          <w:tcPr>
            <w:tcW w:type="dxa" w:w="2200"/>
            <w:tcBorders>
              <w:top w:val="single" w:color="3A1860" w:sz="1"/>
              <w:left w:val="single" w:color="3A1860" w:sz="1"/>
              <w:bottom w:val="single" w:color="3A1860" w:sz="1"/>
              <w:right w:val="single" w:color="3A1860" w:sz="1"/>
            </w:tcBorders>
            <w:shd w:fill="3A1860" w:val="clear"/>
            <w:tcMar>
              <w:top w:type="dxa" w:w="80"/>
              <w:left w:type="dxa" w:w="120"/>
              <w:bottom w:type="dxa" w:w="80"/>
              <w:right w:type="dxa" w:w="120"/>
            </w:tcMar>
          </w:tcPr>
          <w:p>
            <w:r>
              <w:rPr>
                <w:rFonts w:ascii="Arial" w:cs="Arial" w:eastAsia="Arial" w:hAnsi="Arial"/>
                <w:b/>
                <w:bCs/>
                <w:color w:val="FFFFFF"/>
                <w:sz w:val="20"/>
                <w:szCs w:val="20"/>
              </w:rPr>
              <w:t xml:space="preserve">Virus</w:t>
            </w:r>
          </w:p>
        </w:tc>
        <w:tc>
          <w:tcPr>
            <w:tcW w:type="dxa" w:w="1800"/>
            <w:tcBorders>
              <w:top w:val="single" w:color="3A1860" w:sz="1"/>
              <w:left w:val="single" w:color="3A1860" w:sz="1"/>
              <w:bottom w:val="single" w:color="3A1860" w:sz="1"/>
              <w:right w:val="single" w:color="3A1860" w:sz="1"/>
            </w:tcBorders>
            <w:shd w:fill="3A1860" w:val="clear"/>
            <w:tcMar>
              <w:top w:type="dxa" w:w="80"/>
              <w:left w:type="dxa" w:w="120"/>
              <w:bottom w:type="dxa" w:w="80"/>
              <w:right w:type="dxa" w:w="120"/>
            </w:tcMar>
          </w:tcPr>
          <w:p>
            <w:r>
              <w:rPr>
                <w:rFonts w:ascii="Arial" w:cs="Arial" w:eastAsia="Arial" w:hAnsi="Arial"/>
                <w:b/>
                <w:bCs/>
                <w:color w:val="FFFFFF"/>
                <w:sz w:val="20"/>
                <w:szCs w:val="20"/>
              </w:rPr>
              <w:t xml:space="preserve">Host Range</w:t>
            </w:r>
          </w:p>
        </w:tc>
        <w:tc>
          <w:tcPr>
            <w:tcW w:type="dxa" w:w="1600"/>
            <w:tcBorders>
              <w:top w:val="single" w:color="3A1860" w:sz="1"/>
              <w:left w:val="single" w:color="3A1860" w:sz="1"/>
              <w:bottom w:val="single" w:color="3A1860" w:sz="1"/>
              <w:right w:val="single" w:color="3A1860" w:sz="1"/>
            </w:tcBorders>
            <w:shd w:fill="3A1860" w:val="clear"/>
            <w:tcMar>
              <w:top w:type="dxa" w:w="80"/>
              <w:left w:type="dxa" w:w="120"/>
              <w:bottom w:type="dxa" w:w="80"/>
              <w:right w:type="dxa" w:w="120"/>
            </w:tcMar>
          </w:tcPr>
          <w:p>
            <w:r>
              <w:rPr>
                <w:rFonts w:ascii="Arial" w:cs="Arial" w:eastAsia="Arial" w:hAnsi="Arial"/>
                <w:b/>
                <w:bCs/>
                <w:color w:val="FFFFFF"/>
                <w:sz w:val="20"/>
                <w:szCs w:val="20"/>
              </w:rPr>
              <w:t xml:space="preserve">Vector</w:t>
            </w:r>
          </w:p>
        </w:tc>
        <w:tc>
          <w:tcPr>
            <w:tcW w:type="dxa" w:w="2200"/>
            <w:tcBorders>
              <w:top w:val="single" w:color="3A1860" w:sz="1"/>
              <w:left w:val="single" w:color="3A1860" w:sz="1"/>
              <w:bottom w:val="single" w:color="3A1860" w:sz="1"/>
              <w:right w:val="single" w:color="3A1860" w:sz="1"/>
            </w:tcBorders>
            <w:shd w:fill="3A1860" w:val="clear"/>
            <w:tcMar>
              <w:top w:type="dxa" w:w="80"/>
              <w:left w:type="dxa" w:w="120"/>
              <w:bottom w:type="dxa" w:w="80"/>
              <w:right w:type="dxa" w:w="120"/>
            </w:tcMar>
          </w:tcPr>
          <w:p>
            <w:r>
              <w:rPr>
                <w:rFonts w:ascii="Arial" w:cs="Arial" w:eastAsia="Arial" w:hAnsi="Arial"/>
                <w:b/>
                <w:bCs/>
                <w:color w:val="FFFFFF"/>
                <w:sz w:val="20"/>
                <w:szCs w:val="20"/>
              </w:rPr>
              <w:t xml:space="preserve">Symptoms</w:t>
            </w:r>
          </w:p>
        </w:tc>
        <w:tc>
          <w:tcPr>
            <w:tcW w:type="dxa" w:w="1560"/>
            <w:tcBorders>
              <w:top w:val="single" w:color="3A1860" w:sz="1"/>
              <w:left w:val="single" w:color="3A1860" w:sz="1"/>
              <w:bottom w:val="single" w:color="3A1860" w:sz="1"/>
              <w:right w:val="single" w:color="3A1860" w:sz="1"/>
            </w:tcBorders>
            <w:shd w:fill="3A1860" w:val="clear"/>
            <w:tcMar>
              <w:top w:type="dxa" w:w="80"/>
              <w:left w:type="dxa" w:w="120"/>
              <w:bottom w:type="dxa" w:w="80"/>
              <w:right w:type="dxa" w:w="120"/>
            </w:tcMar>
          </w:tcPr>
          <w:p>
            <w:r>
              <w:rPr>
                <w:rFonts w:ascii="Arial" w:cs="Arial" w:eastAsia="Arial" w:hAnsi="Arial"/>
                <w:b/>
                <w:bCs/>
                <w:color w:val="FFFFFF"/>
                <w:sz w:val="20"/>
                <w:szCs w:val="20"/>
              </w:rPr>
              <w:t xml:space="preserve">Management</w:t>
            </w:r>
          </w:p>
        </w:tc>
      </w:tr>
      <w:tr>
        <w:tc>
          <w:tcPr>
            <w:tcW w:type="dxa" w:w="22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Tomato Mosaic Virus (ToMV) &amp;
Tobacco Mosaic Virus (TMV)</w:t>
            </w:r>
          </w:p>
        </w:tc>
        <w:tc>
          <w:tcPr>
            <w:tcW w:type="dxa" w:w="18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Tomatoes, peppers, eggplant; TMV also infects tobacco, petunia, and many ornamentals</w:t>
            </w:r>
          </w:p>
        </w:tc>
        <w:tc>
          <w:tcPr>
            <w:tcW w:type="dxa" w:w="16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Mechanical contact (contaminated hands, tools, clothing); seed; no insect vector required</w:t>
            </w:r>
          </w:p>
        </w:tc>
        <w:tc>
          <w:tcPr>
            <w:tcW w:type="dxa" w:w="22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Mosaic pattern; leaf distortion; mottled fruit; internal browning in fruit in severe cases</w:t>
            </w:r>
          </w:p>
        </w:tc>
        <w:tc>
          <w:tcPr>
            <w:tcW w:type="dxa" w:w="156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 resistance code on tomato varieties provides protection. Wash hands with soap and water before handling plants (TMV is extremely persistent and can survive on surfaces for years). Remove infected plants.</w:t>
            </w:r>
          </w:p>
        </w:tc>
      </w:tr>
      <w:tr>
        <w:tc>
          <w:tcPr>
            <w:tcW w:type="dxa" w:w="22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Cucumber Mosaic Virus (CMV)</w:t>
            </w:r>
          </w:p>
        </w:tc>
        <w:tc>
          <w:tcPr>
            <w:tcW w:type="dxa" w:w="18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One of the broadest host ranges of any plant virus: cucurbits, tomatoes, peppers, beans, spinach, many ornamentals (lilies, hostas, delphiniums)</w:t>
            </w:r>
          </w:p>
        </w:tc>
        <w:tc>
          <w:tcPr>
            <w:tcW w:type="dxa" w:w="16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Aphids (non-persistent transmission — aphids can transmit in seconds of feeding)</w:t>
            </w:r>
          </w:p>
        </w:tc>
        <w:tc>
          <w:tcPr>
            <w:tcW w:type="dxa" w:w="22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Mosaic; distortion; stunting; in cucumbers, severe stunting and mosaic; in some ornamentals, white streaking or breaking of flower color</w:t>
            </w:r>
          </w:p>
        </w:tc>
        <w:tc>
          <w:tcPr>
            <w:tcW w:type="dxa" w:w="156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Control aphids; remove weeds that serve as virus reservoirs; remove infected plants immediately; resistant varieties for cucumbers. CMV is one of the most difficult viruses to manage because of its extremely wide host range.</w:t>
            </w:r>
          </w:p>
        </w:tc>
      </w:tr>
      <w:tr>
        <w:tc>
          <w:tcPr>
            <w:tcW w:type="dxa" w:w="22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Tomato Spotted Wilt Virus (TSWV)</w:t>
            </w:r>
          </w:p>
        </w:tc>
        <w:tc>
          <w:tcPr>
            <w:tcW w:type="dxa" w:w="18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Tomatoes, peppers, impatiens, peanuts, many ornamentals; extremely broad host range</w:t>
            </w:r>
          </w:p>
        </w:tc>
        <w:tc>
          <w:tcPr>
            <w:tcW w:type="dxa" w:w="16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Thrips (Frankliniella occidentalis and other species; persistent transmission)</w:t>
            </w:r>
          </w:p>
        </w:tc>
        <w:tc>
          <w:tcPr>
            <w:tcW w:type="dxa" w:w="22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Bronze or brown ringspots on leaves; distinct necrotic (dead) ringspot patterns on leaves and fruit; bronze discoloration of new growth; severe stunting; plant collapse in advanced cases</w:t>
            </w:r>
          </w:p>
        </w:tc>
        <w:tc>
          <w:tcPr>
            <w:tcW w:type="dxa" w:w="156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 (TSWV) resistance code on pepper and tomato varieties. Control thrips with insecticidal soap, spinosad, or pyrethrin. Remove weeds. TSWV is a serious threat in the Southeast, Pacific Coast, and any region with thrips pressure.</w:t>
            </w:r>
          </w:p>
        </w:tc>
      </w:tr>
      <w:tr>
        <w:tc>
          <w:tcPr>
            <w:tcW w:type="dxa" w:w="22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Zucchini Yellow Mosaic Virus (ZYMV)
&amp; Watermelon Mosaic Virus (WMV)</w:t>
            </w:r>
          </w:p>
        </w:tc>
        <w:tc>
          <w:tcPr>
            <w:tcW w:type="dxa" w:w="18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Cucurbits (zucchini, squash, cucumber, melon, pumpkin)</w:t>
            </w:r>
          </w:p>
        </w:tc>
        <w:tc>
          <w:tcPr>
            <w:tcW w:type="dxa" w:w="16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Aphids (non-persistent transmission)</w:t>
            </w:r>
          </w:p>
        </w:tc>
        <w:tc>
          <w:tcPr>
            <w:tcW w:type="dxa" w:w="22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Severe mosaic; distorted, warty, misshapen fruit; leaf blistering and distortion; affected plants produce unmarketable fruit</w:t>
            </w:r>
          </w:p>
        </w:tc>
        <w:tc>
          <w:tcPr>
            <w:tcW w:type="dxa" w:w="156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Mineral oil spray on leaf surfaces physically prevents aphid transmission (non-persistent viruses that aphids pick up and deposit in seconds of probing); row cover during early growth; resistant varieties where available; remove infected plants.</w:t>
            </w:r>
          </w:p>
        </w:tc>
      </w:tr>
      <w:tr>
        <w:tc>
          <w:tcPr>
            <w:tcW w:type="dxa" w:w="22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Bean Common Mosaic Virus (BCMV)</w:t>
            </w:r>
          </w:p>
        </w:tc>
        <w:tc>
          <w:tcPr>
            <w:tcW w:type="dxa" w:w="18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Beans (common bean, snap bean, dry bean)</w:t>
            </w:r>
          </w:p>
        </w:tc>
        <w:tc>
          <w:tcPr>
            <w:tcW w:type="dxa" w:w="16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Aphids; seed</w:t>
            </w:r>
          </w:p>
        </w:tc>
        <w:tc>
          <w:tcPr>
            <w:tcW w:type="dxa" w:w="22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Mosaic; downward leaf roll; blistering; early death in some host-virus combinations</w:t>
            </w:r>
          </w:p>
        </w:tc>
        <w:tc>
          <w:tcPr>
            <w:tcW w:type="dxa" w:w="156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Purchase certified virus-free seed; resistant bean varieties; control aphids; remove infected plants.</w:t>
            </w:r>
          </w:p>
        </w:tc>
      </w:tr>
      <w:tr>
        <w:tc>
          <w:tcPr>
            <w:tcW w:type="dxa" w:w="22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Impatiens Necrotic Spot Virus (INSV)</w:t>
            </w:r>
          </w:p>
        </w:tc>
        <w:tc>
          <w:tcPr>
            <w:tcW w:type="dxa" w:w="18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Primarily impatiens, but also tomatoes, peppers, dahlias, and many ornamentals</w:t>
            </w:r>
          </w:p>
        </w:tc>
        <w:tc>
          <w:tcPr>
            <w:tcW w:type="dxa" w:w="16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Thrips (same vectors as TSWV)</w:t>
            </w:r>
          </w:p>
        </w:tc>
        <w:tc>
          <w:tcPr>
            <w:tcW w:type="dxa" w:w="22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Dark ringspots, lesions, and necrotic patterns; similar to TSWV; severe plant damage and death</w:t>
            </w:r>
          </w:p>
        </w:tc>
        <w:tc>
          <w:tcPr>
            <w:tcW w:type="dxa" w:w="156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Control thrips; remove infected plants immediately; do not compost infected material. Widespread in greenhouse transplant production.</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1818" w:sz="6"/>
              <w:left w:val="single" w:color="6B1818" w:sz="6"/>
              <w:bottom w:val="single" w:color="6B1818" w:sz="6"/>
              <w:right w:val="single" w:color="6B1818" w:sz="6"/>
            </w:tcBorders>
            <w:shd w:fill="FAE8E8" w:val="clear"/>
            <w:tcMar>
              <w:top w:type="dxa" w:w="120"/>
              <w:left w:type="dxa" w:w="160"/>
              <w:bottom w:type="dxa" w:w="80"/>
              <w:right w:type="dxa" w:w="160"/>
            </w:tcMar>
          </w:tcPr>
          <w:p>
            <w:pPr>
              <w:spacing w:before="0" w:after="0"/>
            </w:pPr>
            <w:r>
              <w:rPr>
                <w:rFonts w:ascii="Arial" w:cs="Arial" w:eastAsia="Arial" w:hAnsi="Arial"/>
                <w:b/>
                <w:bCs/>
                <w:color w:val="6B1818"/>
                <w:sz w:val="24"/>
                <w:szCs w:val="24"/>
              </w:rPr>
              <w:t xml:space="preserve">⚠️ No Cure: What to Do When You Find a Viral Disease</w:t>
            </w:r>
          </w:p>
        </w:tc>
      </w:tr>
      <w:tr>
        <w:tc>
          <w:tcPr>
            <w:tcBorders>
              <w:top w:val="single" w:color="6B1818" w:sz="6"/>
              <w:left w:val="single" w:color="6B1818" w:sz="6"/>
              <w:bottom w:val="single" w:color="6B1818" w:sz="6"/>
              <w:right w:val="single" w:color="6B1818" w:sz="6"/>
            </w:tcBorders>
            <w:shd w:fill="FAE8E8"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There is no treatment that will cure a virally infected plant. The correct response to confirmed or strongly suspected viral infection is: (1) remove the plant immediately to prevent the virus from spreading to healthy neighbors via insect vectors; (2) do not compost the plant — bag it and dispose of it in the trash, or bury it deeply; (3) wash hands and tools thoroughly before touching other plants; (4) address the insect vector if one is present (aphid colony, thrips on nearby flowers); (5) assess neighboring plants for early symptoms.</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The instinct to leave a mildly infected plant in hopes it will recover is understandable but counterproductive — a virally infected plant is a reservoir that infects healthy neighbors for the rest of the season. Remove it promptly.</w:t>
            </w:r>
          </w:p>
        </w:tc>
      </w:tr>
    </w:tbl>
    <w:p>
      <w:pPr>
        <w:spacing w:before="0" w:after="120"/>
      </w:pPr>
      <w:r>
        <w:t xml:space="preserve"/>
      </w:r>
    </w:p>
    <w:p>
      <w:pPr>
        <w:pBdr>
          <w:bottom w:val="single" w:color="1D3A2A" w:sz="6" w:space="1"/>
        </w:pBdr>
        <w:spacing w:before="160" w:after="160"/>
      </w:pPr>
      <w:r>
        <w:t xml:space="preserve"/>
      </w:r>
    </w:p>
    <w:p>
      <w:r>
        <w:br w:type="page"/>
      </w:r>
    </w:p>
    <w:p>
      <w:pPr>
        <w:pStyle w:val="Heading1"/>
        <w:spacing w:before="360" w:after="180"/>
      </w:pPr>
      <w:r>
        <w:rPr>
          <w:rFonts w:ascii="Arial" w:cs="Arial" w:eastAsia="Arial" w:hAnsi="Arial"/>
          <w:b/>
          <w:bCs/>
          <w:color w:val="1D3A2A"/>
          <w:sz w:val="36"/>
          <w:szCs w:val="36"/>
        </w:rPr>
        <w:t xml:space="preserve">Section 7: Disease Reference by Crop</w:t>
      </w:r>
    </w:p>
    <w:p>
      <w:pPr>
        <w:spacing w:before="120" w:after="160" w:line="280"/>
      </w:pPr>
      <w:r>
        <w:rPr>
          <w:rFonts w:ascii="Arial" w:cs="Arial" w:eastAsia="Arial" w:hAnsi="Arial"/>
          <w:sz w:val="22"/>
          <w:szCs w:val="22"/>
        </w:rPr>
        <w:t xml:space="preserve">This section provides a crop-by-crop disease reference for the most common food and ornamental plants in American gardens. For each crop, the most important diseases are listed with their key identification features and management notes.</w:t>
      </w:r>
    </w:p>
    <w:p>
      <w:pPr>
        <w:pStyle w:val="Heading2"/>
        <w:spacing w:before="240" w:after="120"/>
      </w:pPr>
      <w:r>
        <w:rPr>
          <w:rFonts w:ascii="Arial" w:cs="Arial" w:eastAsia="Arial" w:hAnsi="Arial"/>
          <w:b/>
          <w:bCs/>
          <w:color w:val="6B1818"/>
          <w:sz w:val="28"/>
          <w:szCs w:val="28"/>
        </w:rPr>
        <w:t xml:space="preserve">Vegetables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600"/>
        <w:gridCol w:w="2660"/>
      </w:tblGrid>
      <w:tr>
        <w:trPr>
          <w:tblHeader/>
        </w:trPr>
        <w:tc>
          <w:tcPr>
            <w:tcW w:type="dxa" w:w="1700"/>
            <w:tcBorders>
              <w:top w:val="single" w:color="1D3A2A" w:sz="1"/>
              <w:left w:val="single" w:color="1D3A2A" w:sz="1"/>
              <w:bottom w:val="single" w:color="1D3A2A" w:sz="1"/>
              <w:right w:val="single" w:color="1D3A2A" w:sz="1"/>
            </w:tcBorders>
            <w:shd w:fill="1D3A2A" w:val="clear"/>
            <w:tcMar>
              <w:top w:type="dxa" w:w="80"/>
              <w:left w:type="dxa" w:w="120"/>
              <w:bottom w:type="dxa" w:w="80"/>
              <w:right w:type="dxa" w:w="120"/>
            </w:tcMar>
          </w:tcPr>
          <w:p>
            <w:r>
              <w:rPr>
                <w:rFonts w:ascii="Arial" w:cs="Arial" w:eastAsia="Arial" w:hAnsi="Arial"/>
                <w:b/>
                <w:bCs/>
                <w:color w:val="FFFFFF"/>
                <w:sz w:val="20"/>
                <w:szCs w:val="20"/>
              </w:rPr>
              <w:t xml:space="preserve">Crop</w:t>
            </w:r>
          </w:p>
        </w:tc>
        <w:tc>
          <w:tcPr>
            <w:tcW w:type="dxa" w:w="2400"/>
            <w:tcBorders>
              <w:top w:val="single" w:color="1D3A2A" w:sz="1"/>
              <w:left w:val="single" w:color="1D3A2A" w:sz="1"/>
              <w:bottom w:val="single" w:color="1D3A2A" w:sz="1"/>
              <w:right w:val="single" w:color="1D3A2A" w:sz="1"/>
            </w:tcBorders>
            <w:shd w:fill="1D3A2A" w:val="clear"/>
            <w:tcMar>
              <w:top w:type="dxa" w:w="80"/>
              <w:left w:type="dxa" w:w="120"/>
              <w:bottom w:type="dxa" w:w="80"/>
              <w:right w:type="dxa" w:w="120"/>
            </w:tcMar>
          </w:tcPr>
          <w:p>
            <w:r>
              <w:rPr>
                <w:rFonts w:ascii="Arial" w:cs="Arial" w:eastAsia="Arial" w:hAnsi="Arial"/>
                <w:b/>
                <w:bCs/>
                <w:color w:val="FFFFFF"/>
                <w:sz w:val="20"/>
                <w:szCs w:val="20"/>
              </w:rPr>
              <w:t xml:space="preserve">Primary Diseases</w:t>
            </w:r>
          </w:p>
        </w:tc>
        <w:tc>
          <w:tcPr>
            <w:tcW w:type="dxa" w:w="2600"/>
            <w:tcBorders>
              <w:top w:val="single" w:color="1D3A2A" w:sz="1"/>
              <w:left w:val="single" w:color="1D3A2A" w:sz="1"/>
              <w:bottom w:val="single" w:color="1D3A2A" w:sz="1"/>
              <w:right w:val="single" w:color="1D3A2A" w:sz="1"/>
            </w:tcBorders>
            <w:shd w:fill="1D3A2A" w:val="clear"/>
            <w:tcMar>
              <w:top w:type="dxa" w:w="80"/>
              <w:left w:type="dxa" w:w="120"/>
              <w:bottom w:type="dxa" w:w="80"/>
              <w:right w:type="dxa" w:w="120"/>
            </w:tcMar>
          </w:tcPr>
          <w:p>
            <w:r>
              <w:rPr>
                <w:rFonts w:ascii="Arial" w:cs="Arial" w:eastAsia="Arial" w:hAnsi="Arial"/>
                <w:b/>
                <w:bCs/>
                <w:color w:val="FFFFFF"/>
                <w:sz w:val="20"/>
                <w:szCs w:val="20"/>
              </w:rPr>
              <w:t xml:space="preserve">Key Identification Features</w:t>
            </w:r>
          </w:p>
        </w:tc>
        <w:tc>
          <w:tcPr>
            <w:tcW w:type="dxa" w:w="2660"/>
            <w:tcBorders>
              <w:top w:val="single" w:color="1D3A2A" w:sz="1"/>
              <w:left w:val="single" w:color="1D3A2A" w:sz="1"/>
              <w:bottom w:val="single" w:color="1D3A2A" w:sz="1"/>
              <w:right w:val="single" w:color="1D3A2A" w:sz="1"/>
            </w:tcBorders>
            <w:shd w:fill="1D3A2A" w:val="clear"/>
            <w:tcMar>
              <w:top w:type="dxa" w:w="80"/>
              <w:left w:type="dxa" w:w="120"/>
              <w:bottom w:type="dxa" w:w="80"/>
              <w:right w:type="dxa" w:w="120"/>
            </w:tcMar>
          </w:tcPr>
          <w:p>
            <w:r>
              <w:rPr>
                <w:rFonts w:ascii="Arial" w:cs="Arial" w:eastAsia="Arial" w:hAnsi="Arial"/>
                <w:b/>
                <w:bCs/>
                <w:color w:val="FFFFFF"/>
                <w:sz w:val="20"/>
                <w:szCs w:val="20"/>
              </w:rPr>
              <w:t xml:space="preserve">Most Effective Management</w:t>
            </w:r>
          </w:p>
        </w:tc>
      </w:tr>
      <w:tr>
        <w:tc>
          <w:tcPr>
            <w:tcW w:type="dxa" w:w="17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Tomato</w:t>
            </w:r>
          </w:p>
        </w:tc>
        <w:tc>
          <w:tcPr>
            <w:tcW w:type="dxa" w:w="24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Early blight, Septoria leaf spot, late blight, Fusarium wilt, Verticillium wilt, bacterial speck, bacterial spot, bacterial canker, tomato mosaic virus, TSWV</w:t>
            </w:r>
          </w:p>
        </w:tc>
        <w:tc>
          <w:tcPr>
            <w:tcW w:type="dxa" w:w="26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Early blight: target spots on lower leaves. Septoria: small gray-centered spots. Late blight: large water-soaked lesions, rapid spread. Wilt: vascular discoloration in stem cross-section</w:t>
            </w:r>
          </w:p>
        </w:tc>
        <w:tc>
          <w:tcPr>
            <w:tcW w:type="dxa" w:w="266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Resistant varieties are the single most effective tool for tomatoes. F, V, N, T resistance codes on variety labels indicate protection. Copper + mancozeb spray program for foliar diseases. Drip irrigation; heavy mulch; 3-year rotation.</w:t>
            </w:r>
          </w:p>
        </w:tc>
      </w:tr>
      <w:tr>
        <w:tc>
          <w:tcPr>
            <w:tcW w:type="dxa" w:w="17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Potato</w:t>
            </w:r>
          </w:p>
        </w:tc>
        <w:tc>
          <w:tcPr>
            <w:tcW w:type="dxa" w:w="24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Late blight, early blight, Verticillium wilt, Fusarium dry rot, black scurf (Rhizoctonia)</w:t>
            </w:r>
          </w:p>
        </w:tc>
        <w:tc>
          <w:tcPr>
            <w:tcW w:type="dxa" w:w="26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Late blight: rapid collapse in cool/humid weather. Early blight: concentric rings on foliage. Rhizoctonia: black sclerotia on tuber skin; stem lesions</w:t>
            </w:r>
          </w:p>
        </w:tc>
        <w:tc>
          <w:tcPr>
            <w:tcW w:type="dxa" w:w="266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Late blight-resistant varieties. Certified seed potatoes (not grocery store potatoes). Crop rotation; hilling to prevent tuber exposure.</w:t>
            </w:r>
          </w:p>
        </w:tc>
      </w:tr>
      <w:tr>
        <w:tc>
          <w:tcPr>
            <w:tcW w:type="dxa" w:w="17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Cucumber</w:t>
            </w:r>
          </w:p>
        </w:tc>
        <w:tc>
          <w:tcPr>
            <w:tcW w:type="dxa" w:w="24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Powdery mildew, cucumber downy mildew, angular leaf spot, anthracnose, bacterial wilt (vector: cucumber beetle)</w:t>
            </w:r>
          </w:p>
        </w:tc>
        <w:tc>
          <w:tcPr>
            <w:tcW w:type="dxa" w:w="26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Powdery mildew: white coating, upper leaf surface. Downy mildew: angular yellow spots, gray underside. Bacterial wilt: sudden wilt, positive thread test</w:t>
            </w:r>
          </w:p>
        </w:tc>
        <w:tc>
          <w:tcPr>
            <w:tcW w:type="dxa" w:w="266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Resistant varieties (‘Diva,’ ‘Marketmore’). Row cover for seedling protection against cucumber beetles. Drip irrigation.</w:t>
            </w:r>
          </w:p>
        </w:tc>
      </w:tr>
      <w:tr>
        <w:tc>
          <w:tcPr>
            <w:tcW w:type="dxa" w:w="17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Squash &amp; Zucchini</w:t>
            </w:r>
          </w:p>
        </w:tc>
        <w:tc>
          <w:tcPr>
            <w:tcW w:type="dxa" w:w="24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Powdery mildew, squash vine borer (pest but causes disease entry), downy mildew, ZYMV/WMV viruses</w:t>
            </w:r>
          </w:p>
        </w:tc>
        <w:tc>
          <w:tcPr>
            <w:tcW w:type="dxa" w:w="26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Powdery mildew: white coating by midsummer, nearly universal in humid climates. Viruses: mosaic and distorted fruit</w:t>
            </w:r>
          </w:p>
        </w:tc>
        <w:tc>
          <w:tcPr>
            <w:tcW w:type="dxa" w:w="266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Powdery mildew-resistant varieties. Plant multiple succession plantings so late-season plants are still healthy when early ones decline. Potassium bicarbonate spray.</w:t>
            </w:r>
          </w:p>
        </w:tc>
      </w:tr>
      <w:tr>
        <w:tc>
          <w:tcPr>
            <w:tcW w:type="dxa" w:w="17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Pepper</w:t>
            </w:r>
          </w:p>
        </w:tc>
        <w:tc>
          <w:tcPr>
            <w:tcW w:type="dxa" w:w="24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Phytophthora blight, bacterial spot, TSWV, Botrytis gray mold</w:t>
            </w:r>
          </w:p>
        </w:tc>
        <w:tc>
          <w:tcPr>
            <w:tcW w:type="dxa" w:w="26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Phytophthora blight (P. capsici): sudden collapse; water-soaked lesions on stem at soil line; fruit rots. Bacterial spot: raised scabby lesions on fruit</w:t>
            </w:r>
          </w:p>
        </w:tc>
        <w:tc>
          <w:tcPr>
            <w:tcW w:type="dxa" w:w="266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Excellent drainage essential — P. capsici is lethal and permanent in poorly drained soil. Resistant varieties for bacterial spot. Thrips control for TSWV.</w:t>
            </w:r>
          </w:p>
        </w:tc>
      </w:tr>
      <w:tr>
        <w:tc>
          <w:tcPr>
            <w:tcW w:type="dxa" w:w="17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Bean</w:t>
            </w:r>
          </w:p>
        </w:tc>
        <w:tc>
          <w:tcPr>
            <w:tcW w:type="dxa" w:w="24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Rust, bean common mosaic virus, white mold (Sclerotinia), anthracnose, bacterial brown spot</w:t>
            </w:r>
          </w:p>
        </w:tc>
        <w:tc>
          <w:tcPr>
            <w:tcW w:type="dxa" w:w="26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Rust: chocolate-brown pustules on lower leaves. Sclerotinia: white cottony mold at base of stems. Anthracnose: sunken dark lesions on pods</w:t>
            </w:r>
          </w:p>
        </w:tc>
        <w:tc>
          <w:tcPr>
            <w:tcW w:type="dxa" w:w="266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Rust-resistant varieties; good air circulation; crop rotation; disease-free seed; avoid working in wet foliage.</w:t>
            </w:r>
          </w:p>
        </w:tc>
      </w:tr>
      <w:tr>
        <w:tc>
          <w:tcPr>
            <w:tcW w:type="dxa" w:w="17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Lettuce &amp; Greens</w:t>
            </w:r>
          </w:p>
        </w:tc>
        <w:tc>
          <w:tcPr>
            <w:tcW w:type="dxa" w:w="24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Downy mildew, tipburn (physiological, not pathogenic), bottom rot (Rhizoctonia), big vein disease (viral)</w:t>
            </w:r>
          </w:p>
        </w:tc>
        <w:tc>
          <w:tcPr>
            <w:tcW w:type="dxa" w:w="26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Downy mildew: pale patches upper leaf, white underside sporulation. Bottom rot: outer leaves collapse at the base; slimy; foul smell</w:t>
            </w:r>
          </w:p>
        </w:tc>
        <w:tc>
          <w:tcPr>
            <w:tcW w:type="dxa" w:w="266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Resistant varieties for downy mildew; good drainage; avoid overhead irrigation; crop rotation; avoid excessively dense spacing.</w:t>
            </w:r>
          </w:p>
        </w:tc>
      </w:tr>
      <w:tr>
        <w:tc>
          <w:tcPr>
            <w:tcW w:type="dxa" w:w="17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Onion &amp; Garlic</w:t>
            </w:r>
          </w:p>
        </w:tc>
        <w:tc>
          <w:tcPr>
            <w:tcW w:type="dxa" w:w="24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Botrytis leaf blight, purple blotch, downy mildew, white rot (Sclerotium cepivorum), neck rot (Botrytis allii)</w:t>
            </w:r>
          </w:p>
        </w:tc>
        <w:tc>
          <w:tcPr>
            <w:tcW w:type="dxa" w:w="26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Purple blotch: purple-brown lesions with yellow margins. White rot: fluffy white mold on bulb with tiny black sclerotia</w:t>
            </w:r>
          </w:p>
        </w:tc>
        <w:tc>
          <w:tcPr>
            <w:tcW w:type="dxa" w:w="266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White rot is extremely persistent in soil (20+ years). Do not introduce contaminated soil or plant material. Botrytis: improve air circulation; copper spray; avoid overhead irrigation.</w:t>
            </w:r>
          </w:p>
        </w:tc>
      </w:tr>
    </w:tbl>
    <w:p>
      <w:pPr>
        <w:spacing w:before="0" w:after="120"/>
      </w:pPr>
      <w:r>
        <w:t xml:space="preserve"/>
      </w:r>
    </w:p>
    <w:p>
      <w:pPr>
        <w:pStyle w:val="Heading2"/>
        <w:spacing w:before="240" w:after="120"/>
      </w:pPr>
      <w:r>
        <w:rPr>
          <w:rFonts w:ascii="Arial" w:cs="Arial" w:eastAsia="Arial" w:hAnsi="Arial"/>
          <w:b/>
          <w:bCs/>
          <w:color w:val="6B1818"/>
          <w:sz w:val="28"/>
          <w:szCs w:val="28"/>
        </w:rPr>
        <w:t xml:space="preserve">Fruit Crops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600"/>
        <w:gridCol w:w="2660"/>
      </w:tblGrid>
      <w:tr>
        <w:trPr>
          <w:tblHeader/>
        </w:trPr>
        <w:tc>
          <w:tcPr>
            <w:tcW w:type="dxa" w:w="1700"/>
            <w:tcBorders>
              <w:top w:val="single" w:color="6B3A08" w:sz="1"/>
              <w:left w:val="single" w:color="6B3A08" w:sz="1"/>
              <w:bottom w:val="single" w:color="6B3A08" w:sz="1"/>
              <w:right w:val="single" w:color="6B3A08" w:sz="1"/>
            </w:tcBorders>
            <w:shd w:fill="6B3A08" w:val="clear"/>
            <w:tcMar>
              <w:top w:type="dxa" w:w="80"/>
              <w:left w:type="dxa" w:w="120"/>
              <w:bottom w:type="dxa" w:w="80"/>
              <w:right w:type="dxa" w:w="120"/>
            </w:tcMar>
          </w:tcPr>
          <w:p>
            <w:r>
              <w:rPr>
                <w:rFonts w:ascii="Arial" w:cs="Arial" w:eastAsia="Arial" w:hAnsi="Arial"/>
                <w:b/>
                <w:bCs/>
                <w:color w:val="FFFFFF"/>
                <w:sz w:val="20"/>
                <w:szCs w:val="20"/>
              </w:rPr>
              <w:t xml:space="preserve">Crop</w:t>
            </w:r>
          </w:p>
        </w:tc>
        <w:tc>
          <w:tcPr>
            <w:tcW w:type="dxa" w:w="2400"/>
            <w:tcBorders>
              <w:top w:val="single" w:color="6B3A08" w:sz="1"/>
              <w:left w:val="single" w:color="6B3A08" w:sz="1"/>
              <w:bottom w:val="single" w:color="6B3A08" w:sz="1"/>
              <w:right w:val="single" w:color="6B3A08" w:sz="1"/>
            </w:tcBorders>
            <w:shd w:fill="6B3A08" w:val="clear"/>
            <w:tcMar>
              <w:top w:type="dxa" w:w="80"/>
              <w:left w:type="dxa" w:w="120"/>
              <w:bottom w:type="dxa" w:w="80"/>
              <w:right w:type="dxa" w:w="120"/>
            </w:tcMar>
          </w:tcPr>
          <w:p>
            <w:r>
              <w:rPr>
                <w:rFonts w:ascii="Arial" w:cs="Arial" w:eastAsia="Arial" w:hAnsi="Arial"/>
                <w:b/>
                <w:bCs/>
                <w:color w:val="FFFFFF"/>
                <w:sz w:val="20"/>
                <w:szCs w:val="20"/>
              </w:rPr>
              <w:t xml:space="preserve">Primary Diseases</w:t>
            </w:r>
          </w:p>
        </w:tc>
        <w:tc>
          <w:tcPr>
            <w:tcW w:type="dxa" w:w="2600"/>
            <w:tcBorders>
              <w:top w:val="single" w:color="6B3A08" w:sz="1"/>
              <w:left w:val="single" w:color="6B3A08" w:sz="1"/>
              <w:bottom w:val="single" w:color="6B3A08" w:sz="1"/>
              <w:right w:val="single" w:color="6B3A08" w:sz="1"/>
            </w:tcBorders>
            <w:shd w:fill="6B3A08" w:val="clear"/>
            <w:tcMar>
              <w:top w:type="dxa" w:w="80"/>
              <w:left w:type="dxa" w:w="120"/>
              <w:bottom w:type="dxa" w:w="80"/>
              <w:right w:type="dxa" w:w="120"/>
            </w:tcMar>
          </w:tcPr>
          <w:p>
            <w:r>
              <w:rPr>
                <w:rFonts w:ascii="Arial" w:cs="Arial" w:eastAsia="Arial" w:hAnsi="Arial"/>
                <w:b/>
                <w:bCs/>
                <w:color w:val="FFFFFF"/>
                <w:sz w:val="20"/>
                <w:szCs w:val="20"/>
              </w:rPr>
              <w:t xml:space="preserve">Key Identification</w:t>
            </w:r>
          </w:p>
        </w:tc>
        <w:tc>
          <w:tcPr>
            <w:tcW w:type="dxa" w:w="2660"/>
            <w:tcBorders>
              <w:top w:val="single" w:color="6B3A08" w:sz="1"/>
              <w:left w:val="single" w:color="6B3A08" w:sz="1"/>
              <w:bottom w:val="single" w:color="6B3A08" w:sz="1"/>
              <w:right w:val="single" w:color="6B3A08" w:sz="1"/>
            </w:tcBorders>
            <w:shd w:fill="6B3A08" w:val="clear"/>
            <w:tcMar>
              <w:top w:type="dxa" w:w="80"/>
              <w:left w:type="dxa" w:w="120"/>
              <w:bottom w:type="dxa" w:w="80"/>
              <w:right w:type="dxa" w:w="120"/>
            </w:tcMar>
          </w:tcPr>
          <w:p>
            <w:r>
              <w:rPr>
                <w:rFonts w:ascii="Arial" w:cs="Arial" w:eastAsia="Arial" w:hAnsi="Arial"/>
                <w:b/>
                <w:bCs/>
                <w:color w:val="FFFFFF"/>
                <w:sz w:val="20"/>
                <w:szCs w:val="20"/>
              </w:rPr>
              <w:t xml:space="preserve">Management Priority</w:t>
            </w:r>
          </w:p>
        </w:tc>
      </w:tr>
      <w:tr>
        <w:tc>
          <w:tcPr>
            <w:tcW w:type="dxa" w:w="17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Apple</w:t>
            </w:r>
          </w:p>
        </w:tc>
        <w:tc>
          <w:tcPr>
            <w:tcW w:type="dxa" w:w="24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Apple scab, fire blight, powdery mildew, cedar-apple rust, bitter rot</w:t>
            </w:r>
          </w:p>
        </w:tc>
        <w:tc>
          <w:tcPr>
            <w:tcW w:type="dxa" w:w="26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Apple scab: olive-green to black spots on leaves and fruit; the most economically important apple disease in humid eastern states. Fire blight: shepherd’s crook; scorched appearance</w:t>
            </w:r>
          </w:p>
        </w:tc>
        <w:tc>
          <w:tcPr>
            <w:tcW w:type="dxa" w:w="266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Disease-resistant apple varieties are the most important management tool (‘Liberty,’ ‘Enterprise,’ ‘Goldrush,’ ‘William’s Pride’). Copper at green tip for scab; prune out fire blight; avoid nearby eastern red cedar for rust.</w:t>
            </w:r>
          </w:p>
        </w:tc>
      </w:tr>
      <w:tr>
        <w:tc>
          <w:tcPr>
            <w:tcW w:type="dxa" w:w="17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Strawberry</w:t>
            </w:r>
          </w:p>
        </w:tc>
        <w:tc>
          <w:tcPr>
            <w:tcW w:type="dxa" w:w="24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Gray mold (Botrytis), angular leaf spot, red stele (Phytophthora), leather rot</w:t>
            </w:r>
          </w:p>
        </w:tc>
        <w:tc>
          <w:tcPr>
            <w:tcW w:type="dxa" w:w="26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Botrytis: gray fuzzy mold on ripe and overripe berries; most severe in cool, humid weather. Red stele: roots have a red-pink core when cut; plant declines and dies</w:t>
            </w:r>
          </w:p>
        </w:tc>
        <w:tc>
          <w:tcPr>
            <w:tcW w:type="dxa" w:w="266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Botrytis: remove overripe berries daily; renovate (mow) June-bearers after harvest to improve air circulation. Red stele: plant in raised beds with excellent drainage; resistant varieties.</w:t>
            </w:r>
          </w:p>
        </w:tc>
      </w:tr>
      <w:tr>
        <w:tc>
          <w:tcPr>
            <w:tcW w:type="dxa" w:w="17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Grape</w:t>
            </w:r>
          </w:p>
        </w:tc>
        <w:tc>
          <w:tcPr>
            <w:tcW w:type="dxa" w:w="24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Downy mildew, powdery mildew, black rot, Botrytis bunch rot</w:t>
            </w:r>
          </w:p>
        </w:tc>
        <w:tc>
          <w:tcPr>
            <w:tcW w:type="dxa" w:w="26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Black rot: brown spots on leaves with black pycnidia; fruit turns into hard, black, shriveled mummies. Downy mildew: oil spots on leaves; white sporulation on underside</w:t>
            </w:r>
          </w:p>
        </w:tc>
        <w:tc>
          <w:tcPr>
            <w:tcW w:type="dxa" w:w="266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American and hybrid grape varieties have considerably more disease resistance than European V. vinifera. Copper and sulfur are the primary organic management tools for the full disease complex.</w:t>
            </w:r>
          </w:p>
        </w:tc>
      </w:tr>
      <w:tr>
        <w:tc>
          <w:tcPr>
            <w:tcW w:type="dxa" w:w="17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Blueberry</w:t>
            </w:r>
          </w:p>
        </w:tc>
        <w:tc>
          <w:tcPr>
            <w:tcW w:type="dxa" w:w="24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Mummy berry (Monilinia vaccinii-corymbosi), stem canker, stunt virus (vector: blueberry tip midge)</w:t>
            </w:r>
          </w:p>
        </w:tc>
        <w:tc>
          <w:tcPr>
            <w:tcW w:type="dxa" w:w="26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Mummy berry: infected fruit shrivels to a gray-brown ‘mummy’; primary infection causes leaf and shoot blight in spring. Canker: dead, girdling lesions on canes</w:t>
            </w:r>
          </w:p>
        </w:tc>
        <w:tc>
          <w:tcPr>
            <w:tcW w:type="dxa" w:w="266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Rake and remove mummified berries; apply mulch to cover remaining mummies. Prune out infected canes. Choose site with good air circulation.</w:t>
            </w:r>
          </w:p>
        </w:tc>
      </w:tr>
      <w:tr>
        <w:tc>
          <w:tcPr>
            <w:tcW w:type="dxa" w:w="17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Peach / Nectarine</w:t>
            </w:r>
          </w:p>
        </w:tc>
        <w:tc>
          <w:tcPr>
            <w:tcW w:type="dxa" w:w="24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Peach leaf curl, brown rot, bacterial spot, peach canker</w:t>
            </w:r>
          </w:p>
        </w:tc>
        <w:tc>
          <w:tcPr>
            <w:tcW w:type="dxa" w:w="26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Leaf curl: leaves curl, blister, and turn red-pink in early spring — one of the most distinctive plant disease symptoms. Brown rot: soft, brown fruit rot in humid conditions, often covering fruit in gray spore masses</w:t>
            </w:r>
          </w:p>
        </w:tc>
        <w:tc>
          <w:tcPr>
            <w:tcW w:type="dxa" w:w="266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Peach leaf curl: a single copper spray at dormant bud swell (before buds open in early spring) is highly effective. Brown rot: sanitation (remove mummified fruit); captan spray during bloom and fruit development.</w:t>
            </w:r>
          </w:p>
        </w:tc>
      </w:tr>
    </w:tbl>
    <w:p>
      <w:pPr>
        <w:spacing w:before="0" w:after="120"/>
      </w:pPr>
      <w:r>
        <w:t xml:space="preserve"/>
      </w:r>
    </w:p>
    <w:p>
      <w:pPr>
        <w:pStyle w:val="Heading2"/>
        <w:spacing w:before="240" w:after="120"/>
      </w:pPr>
      <w:r>
        <w:rPr>
          <w:rFonts w:ascii="Arial" w:cs="Arial" w:eastAsia="Arial" w:hAnsi="Arial"/>
          <w:b/>
          <w:bCs/>
          <w:color w:val="6B1818"/>
          <w:sz w:val="28"/>
          <w:szCs w:val="28"/>
        </w:rPr>
        <w:t xml:space="preserve">Ornamentals and Woody Plants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600"/>
        <w:gridCol w:w="2660"/>
      </w:tblGrid>
      <w:tr>
        <w:trPr>
          <w:tblHeader/>
        </w:trPr>
        <w:tc>
          <w:tcPr>
            <w:tcW w:type="dxa" w:w="1900"/>
            <w:tcBorders>
              <w:top w:val="single" w:color="1A4040" w:sz="1"/>
              <w:left w:val="single" w:color="1A4040" w:sz="1"/>
              <w:bottom w:val="single" w:color="1A4040" w:sz="1"/>
              <w:right w:val="single" w:color="1A4040" w:sz="1"/>
            </w:tcBorders>
            <w:shd w:fill="1A4040" w:val="clear"/>
            <w:tcMar>
              <w:top w:type="dxa" w:w="80"/>
              <w:left w:type="dxa" w:w="120"/>
              <w:bottom w:type="dxa" w:w="80"/>
              <w:right w:type="dxa" w:w="120"/>
            </w:tcMar>
          </w:tcPr>
          <w:p>
            <w:r>
              <w:rPr>
                <w:rFonts w:ascii="Arial" w:cs="Arial" w:eastAsia="Arial" w:hAnsi="Arial"/>
                <w:b/>
                <w:bCs/>
                <w:color w:val="FFFFFF"/>
                <w:sz w:val="20"/>
                <w:szCs w:val="20"/>
              </w:rPr>
              <w:t xml:space="preserve">Plant Group</w:t>
            </w:r>
          </w:p>
        </w:tc>
        <w:tc>
          <w:tcPr>
            <w:tcW w:type="dxa" w:w="2200"/>
            <w:tcBorders>
              <w:top w:val="single" w:color="1A4040" w:sz="1"/>
              <w:left w:val="single" w:color="1A4040" w:sz="1"/>
              <w:bottom w:val="single" w:color="1A4040" w:sz="1"/>
              <w:right w:val="single" w:color="1A4040" w:sz="1"/>
            </w:tcBorders>
            <w:shd w:fill="1A4040" w:val="clear"/>
            <w:tcMar>
              <w:top w:type="dxa" w:w="80"/>
              <w:left w:type="dxa" w:w="120"/>
              <w:bottom w:type="dxa" w:w="80"/>
              <w:right w:type="dxa" w:w="120"/>
            </w:tcMar>
          </w:tcPr>
          <w:p>
            <w:r>
              <w:rPr>
                <w:rFonts w:ascii="Arial" w:cs="Arial" w:eastAsia="Arial" w:hAnsi="Arial"/>
                <w:b/>
                <w:bCs/>
                <w:color w:val="FFFFFF"/>
                <w:sz w:val="20"/>
                <w:szCs w:val="20"/>
              </w:rPr>
              <w:t xml:space="preserve">Primary Diseases</w:t>
            </w:r>
          </w:p>
        </w:tc>
        <w:tc>
          <w:tcPr>
            <w:tcW w:type="dxa" w:w="2600"/>
            <w:tcBorders>
              <w:top w:val="single" w:color="1A4040" w:sz="1"/>
              <w:left w:val="single" w:color="1A4040" w:sz="1"/>
              <w:bottom w:val="single" w:color="1A4040" w:sz="1"/>
              <w:right w:val="single" w:color="1A4040" w:sz="1"/>
            </w:tcBorders>
            <w:shd w:fill="1A4040" w:val="clear"/>
            <w:tcMar>
              <w:top w:type="dxa" w:w="80"/>
              <w:left w:type="dxa" w:w="120"/>
              <w:bottom w:type="dxa" w:w="80"/>
              <w:right w:type="dxa" w:w="120"/>
            </w:tcMar>
          </w:tcPr>
          <w:p>
            <w:r>
              <w:rPr>
                <w:rFonts w:ascii="Arial" w:cs="Arial" w:eastAsia="Arial" w:hAnsi="Arial"/>
                <w:b/>
                <w:bCs/>
                <w:color w:val="FFFFFF"/>
                <w:sz w:val="20"/>
                <w:szCs w:val="20"/>
              </w:rPr>
              <w:t xml:space="preserve">Key Identification</w:t>
            </w:r>
          </w:p>
        </w:tc>
        <w:tc>
          <w:tcPr>
            <w:tcW w:type="dxa" w:w="2660"/>
            <w:tcBorders>
              <w:top w:val="single" w:color="1A4040" w:sz="1"/>
              <w:left w:val="single" w:color="1A4040" w:sz="1"/>
              <w:bottom w:val="single" w:color="1A4040" w:sz="1"/>
              <w:right w:val="single" w:color="1A4040" w:sz="1"/>
            </w:tcBorders>
            <w:shd w:fill="1A4040" w:val="clear"/>
            <w:tcMar>
              <w:top w:type="dxa" w:w="80"/>
              <w:left w:type="dxa" w:w="120"/>
              <w:bottom w:type="dxa" w:w="80"/>
              <w:right w:type="dxa" w:w="120"/>
            </w:tcMar>
          </w:tcPr>
          <w:p>
            <w:r>
              <w:rPr>
                <w:rFonts w:ascii="Arial" w:cs="Arial" w:eastAsia="Arial" w:hAnsi="Arial"/>
                <w:b/>
                <w:bCs/>
                <w:color w:val="FFFFFF"/>
                <w:sz w:val="20"/>
                <w:szCs w:val="20"/>
              </w:rPr>
              <w:t xml:space="preserve">Management Approach</w:t>
            </w:r>
          </w:p>
        </w:tc>
      </w:tr>
      <w:tr>
        <w:tc>
          <w:tcPr>
            <w:tcW w:type="dxa" w:w="19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Roses</w:t>
            </w:r>
          </w:p>
        </w:tc>
        <w:tc>
          <w:tcPr>
            <w:tcW w:type="dxa" w:w="22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Black spot, powdery mildew, rose rust, botrytis, rose rosette disease (viral; vector: eriophyid mite)</w:t>
            </w:r>
          </w:p>
        </w:tc>
        <w:tc>
          <w:tcPr>
            <w:tcW w:type="dxa" w:w="26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Black spot: circular black spots with fringed margins on upper leaf surface; dramatic defoliation. Rose rosette: distorted, witch’s-broom growth; excessive thorns; bright red new growth that won’t turn normal green</w:t>
            </w:r>
          </w:p>
        </w:tc>
        <w:tc>
          <w:tcPr>
            <w:tcW w:type="dxa" w:w="266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Disease-resistant varieties (Knock Out® series, Carefree shrub roses, many landscape roses) dramatically reduce or eliminate the need for spray programs. Black spot: remove fallen leaves; improve air circulation; sulfur or myclobutanil spray. Rose rosette: no cure; remove and destroy immediately.</w:t>
            </w:r>
          </w:p>
        </w:tc>
      </w:tr>
      <w:tr>
        <w:tc>
          <w:tcPr>
            <w:tcW w:type="dxa" w:w="19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Phlox</w:t>
            </w:r>
          </w:p>
        </w:tc>
        <w:tc>
          <w:tcPr>
            <w:tcW w:type="dxa" w:w="22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Powdery mildew (almost universal on tall garden phlox by midsummer)</w:t>
            </w:r>
          </w:p>
        </w:tc>
        <w:tc>
          <w:tcPr>
            <w:tcW w:type="dxa" w:w="26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White powdery coating on leaves and stems; may cause severe defoliation by late summer</w:t>
            </w:r>
          </w:p>
        </w:tc>
        <w:tc>
          <w:tcPr>
            <w:tcW w:type="dxa" w:w="266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‘David’ (white) and several other modern phlox varieties have significant powdery mildew resistance. Good air circulation; avoid overhead irrigation. Sulfur or potassium bicarbonate spray as preventive.</w:t>
            </w:r>
          </w:p>
        </w:tc>
      </w:tr>
      <w:tr>
        <w:tc>
          <w:tcPr>
            <w:tcW w:type="dxa" w:w="19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Hosta</w:t>
            </w:r>
          </w:p>
        </w:tc>
        <w:tc>
          <w:tcPr>
            <w:tcW w:type="dxa" w:w="22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Hosta virus X (HVX; no vector; spread by tools), anthracnose, Sclerotinia crown rot</w:t>
            </w:r>
          </w:p>
        </w:tc>
        <w:tc>
          <w:tcPr>
            <w:tcW w:type="dxa" w:w="26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HVX: ink-bleed mottling pattern following leaf veins; distinct from normal hosta variegation. Anthracnose: large, irregular tan-to-brown spots with dark irregular margins in humid, warm conditions</w:t>
            </w:r>
          </w:p>
        </w:tc>
        <w:tc>
          <w:tcPr>
            <w:tcW w:type="dxa" w:w="266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cure for HVX; remove infected plants; wash tools with 10% bleach between plants (the virus is spread by cutting tools). Never divide infected plants.</w:t>
            </w:r>
          </w:p>
        </w:tc>
      </w:tr>
      <w:tr>
        <w:tc>
          <w:tcPr>
            <w:tcW w:type="dxa" w:w="19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Dogwood</w:t>
            </w:r>
          </w:p>
        </w:tc>
        <w:tc>
          <w:tcPr>
            <w:tcW w:type="dxa" w:w="22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Dogwood anthracnose (Discula destructiva), powdery mildew, spot anthracnose</w:t>
            </w:r>
          </w:p>
        </w:tc>
        <w:tc>
          <w:tcPr>
            <w:tcW w:type="dxa" w:w="26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Dogwood anthracnose: tan blotches with purple margins; cankering of branches; epicormic sprouts on main trunk; most severe in cool, wet springs at elevation</w:t>
            </w:r>
          </w:p>
        </w:tc>
        <w:tc>
          <w:tcPr>
            <w:tcW w:type="dxa" w:w="266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Kousa dogwood (Cornus kousa) has significant resistance to anthracnose compared to flowering dogwood (C. florida). Native dogwoods in their natural range (understory) are most susceptible; stressed landscape dogwoods in full sun are more susceptible than well-grown specimens.</w:t>
            </w:r>
          </w:p>
        </w:tc>
      </w:tr>
      <w:tr>
        <w:tc>
          <w:tcPr>
            <w:tcW w:type="dxa" w:w="19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Lilac</w:t>
            </w:r>
          </w:p>
        </w:tc>
        <w:tc>
          <w:tcPr>
            <w:tcW w:type="dxa" w:w="22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Powdery mildew, bacterial blight (Pseudomonas syringae)</w:t>
            </w:r>
          </w:p>
        </w:tc>
        <w:tc>
          <w:tcPr>
            <w:tcW w:type="dxa" w:w="26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Powdery mildew: white coating on leaves by midsummer — almost universal on lilacs; rarely causes serious harm. Bacterial blight: shoots die back rapidly in cool, wet spring; young shoots turn brown-black as if frosted</w:t>
            </w:r>
          </w:p>
        </w:tc>
        <w:tc>
          <w:tcPr>
            <w:tcW w:type="dxa" w:w="266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Powdery mildew: primarily cosmetic; improve air circulation; fungicide if desired. Bacterial blight: prune out affected shoots 12 inches below visible infection; sterilize tools between cuts.</w:t>
            </w:r>
          </w:p>
        </w:tc>
      </w:tr>
    </w:tbl>
    <w:p>
      <w:pPr>
        <w:spacing w:before="0" w:after="120"/>
      </w:pPr>
      <w:r>
        <w:t xml:space="preserve"/>
      </w:r>
    </w:p>
    <w:p>
      <w:pPr>
        <w:pBdr>
          <w:bottom w:val="single" w:color="1D3A2A" w:sz="6" w:space="1"/>
        </w:pBdr>
        <w:spacing w:before="160" w:after="160"/>
      </w:pPr>
      <w:r>
        <w:t xml:space="preserve"/>
      </w:r>
    </w:p>
    <w:p>
      <w:r>
        <w:br w:type="page"/>
      </w:r>
    </w:p>
    <w:p>
      <w:pPr>
        <w:pStyle w:val="Heading1"/>
        <w:spacing w:before="360" w:after="180"/>
      </w:pPr>
      <w:r>
        <w:rPr>
          <w:rFonts w:ascii="Arial" w:cs="Arial" w:eastAsia="Arial" w:hAnsi="Arial"/>
          <w:b/>
          <w:bCs/>
          <w:color w:val="1D3A2A"/>
          <w:sz w:val="36"/>
          <w:szCs w:val="36"/>
        </w:rPr>
        <w:t xml:space="preserve">Section 8: Treatment Options — From Cultural to Chemical</w:t>
      </w:r>
    </w:p>
    <w:p>
      <w:pPr>
        <w:spacing w:before="120" w:after="160" w:line="280"/>
      </w:pPr>
      <w:r>
        <w:rPr>
          <w:rFonts w:ascii="Arial" w:cs="Arial" w:eastAsia="Arial" w:hAnsi="Arial"/>
          <w:sz w:val="22"/>
          <w:szCs w:val="22"/>
        </w:rPr>
        <w:t xml:space="preserve">The integrated pest management (IPM) framework for plant disease management moves through a hierarchy of interventions from least to most disruptive: cultural practices first, then physical controls, then biological controls, then organic-approved chemical products, and finally synthetic chemical fungicides when necessary. Most garden disease problems can be managed satisfactorily at the cultural or biological level when addressed early; chemical treatments become necessary only when diseases are established or when high-value plants are at risk.</w:t>
      </w:r>
    </w:p>
    <w:p>
      <w:pPr>
        <w:pStyle w:val="Heading2"/>
        <w:spacing w:before="240" w:after="120"/>
      </w:pPr>
      <w:r>
        <w:rPr>
          <w:rFonts w:ascii="Arial" w:cs="Arial" w:eastAsia="Arial" w:hAnsi="Arial"/>
          <w:b/>
          <w:bCs/>
          <w:color w:val="6B1818"/>
          <w:sz w:val="28"/>
          <w:szCs w:val="28"/>
        </w:rPr>
        <w:t xml:space="preserve">Organic-Approved Treatments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960"/>
      </w:tblGrid>
      <w:tr>
        <w:trPr>
          <w:tblHeader/>
        </w:trPr>
        <w:tc>
          <w:tcPr>
            <w:tcW w:type="dxa" w:w="2200"/>
            <w:tcBorders>
              <w:top w:val="single" w:color="1D3A2A" w:sz="1"/>
              <w:left w:val="single" w:color="1D3A2A" w:sz="1"/>
              <w:bottom w:val="single" w:color="1D3A2A" w:sz="1"/>
              <w:right w:val="single" w:color="1D3A2A" w:sz="1"/>
            </w:tcBorders>
            <w:shd w:fill="1D3A2A"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2000"/>
            <w:tcBorders>
              <w:top w:val="single" w:color="1D3A2A" w:sz="1"/>
              <w:left w:val="single" w:color="1D3A2A" w:sz="1"/>
              <w:bottom w:val="single" w:color="1D3A2A" w:sz="1"/>
              <w:right w:val="single" w:color="1D3A2A" w:sz="1"/>
            </w:tcBorders>
            <w:shd w:fill="1D3A2A"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2200"/>
            <w:tcBorders>
              <w:top w:val="single" w:color="1D3A2A" w:sz="1"/>
              <w:left w:val="single" w:color="1D3A2A" w:sz="1"/>
              <w:bottom w:val="single" w:color="1D3A2A" w:sz="1"/>
              <w:right w:val="single" w:color="1D3A2A" w:sz="1"/>
            </w:tcBorders>
            <w:shd w:fill="1D3A2A" w:val="clear"/>
            <w:tcMar>
              <w:top w:type="dxa" w:w="80"/>
              <w:left w:type="dxa" w:w="120"/>
              <w:bottom w:type="dxa" w:w="80"/>
              <w:right w:type="dxa" w:w="120"/>
            </w:tcMar>
          </w:tcPr>
          <w:p>
            <w:r>
              <w:rPr>
                <w:rFonts w:ascii="Arial" w:cs="Arial" w:eastAsia="Arial" w:hAnsi="Arial"/>
                <w:b/>
                <w:bCs/>
                <w:color w:val="FFFFFF"/>
                <w:sz w:val="20"/>
                <w:szCs w:val="20"/>
              </w:rPr>
              <w:t xml:space="preserve">Effective Against</w:t>
            </w:r>
          </w:p>
        </w:tc>
        <w:tc>
          <w:tcPr>
            <w:tcW w:type="dxa" w:w="2960"/>
            <w:tcBorders>
              <w:top w:val="single" w:color="1D3A2A" w:sz="1"/>
              <w:left w:val="single" w:color="1D3A2A" w:sz="1"/>
              <w:bottom w:val="single" w:color="1D3A2A" w:sz="1"/>
              <w:right w:val="single" w:color="1D3A2A" w:sz="1"/>
            </w:tcBorders>
            <w:shd w:fill="1D3A2A" w:val="clear"/>
            <w:tcMar>
              <w:top w:type="dxa" w:w="80"/>
              <w:left w:type="dxa" w:w="120"/>
              <w:bottom w:type="dxa" w:w="80"/>
              <w:right w:type="dxa" w:w="120"/>
            </w:tcMar>
          </w:tcPr>
          <w:p>
            <w:r>
              <w:rPr>
                <w:rFonts w:ascii="Arial" w:cs="Arial" w:eastAsia="Arial" w:hAnsi="Arial"/>
                <w:b/>
                <w:bCs/>
                <w:color w:val="FFFFFF"/>
                <w:sz w:val="20"/>
                <w:szCs w:val="20"/>
              </w:rPr>
              <w:t xml:space="preserve">Limitations &amp; Notes</w:t>
            </w:r>
          </w:p>
        </w:tc>
      </w:tr>
      <w:tr>
        <w:tc>
          <w:tcPr>
            <w:tcW w:type="dxa" w:w="22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Copper (copper hydroxide, copper sulfate, Bordeaux mixture)</w:t>
            </w:r>
          </w:p>
        </w:tc>
        <w:tc>
          <w:tcPr>
            <w:tcW w:type="dxa" w:w="20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Heavy metal with broad-spectrum bactericidal and fungicidal activity on leaf surfaces; contact action only; does not penetrate plant tissue</w:t>
            </w:r>
          </w:p>
        </w:tc>
        <w:tc>
          <w:tcPr>
            <w:tcW w:type="dxa" w:w="22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Bacterial diseases (leaf spot, fire blight, angular leaf spot); many fungal diseases; downy mildew; some Phytophthora suppression</w:t>
            </w:r>
          </w:p>
        </w:tc>
        <w:tc>
          <w:tcPr>
            <w:tcW w:type="dxa" w:w="296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Repeated use can lead to copper toxicity in soil; phytotoxic to some sensitive plants in hot weather; must be reapplied after rain; does NOT work on oomycetes systemically. Most widely used organic spray.</w:t>
            </w:r>
          </w:p>
        </w:tc>
      </w:tr>
      <w:tr>
        <w:tc>
          <w:tcPr>
            <w:tcW w:type="dxa" w:w="22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Sulfur</w:t>
            </w:r>
          </w:p>
        </w:tc>
        <w:tc>
          <w:tcPr>
            <w:tcW w:type="dxa" w:w="20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Disrupts fungal enzyme systems; contact action; must contact the fungus directly</w:t>
            </w:r>
          </w:p>
        </w:tc>
        <w:tc>
          <w:tcPr>
            <w:tcW w:type="dxa" w:w="22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Powdery mildew (excellent); rust; scab; anthracnose; various leaf spots</w:t>
            </w:r>
          </w:p>
        </w:tc>
        <w:tc>
          <w:tcPr>
            <w:tcW w:type="dxa" w:w="296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Do not apply when temperature exceeds 90°F (causes phytotoxicity); do not apply within 2 weeks of horticultural oil application (causes damage); some plant species are sulfur-sensitive. Most effective organic treatment for powdery mildew.</w:t>
            </w:r>
          </w:p>
        </w:tc>
      </w:tr>
      <w:tr>
        <w:tc>
          <w:tcPr>
            <w:tcW w:type="dxa" w:w="22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Potassium Bicarbonate</w:t>
            </w:r>
          </w:p>
        </w:tc>
        <w:tc>
          <w:tcPr>
            <w:tcW w:type="dxa" w:w="20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Raises pH on leaf surface temporarily, creating unfavorable conditions for fungal germination; contact action; also disrupts fungal cell membranes</w:t>
            </w:r>
          </w:p>
        </w:tc>
        <w:tc>
          <w:tcPr>
            <w:tcW w:type="dxa" w:w="22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Powdery mildew (the most effective single treatment); some other surface fungi</w:t>
            </w:r>
          </w:p>
        </w:tc>
        <w:tc>
          <w:tcPr>
            <w:tcW w:type="dxa" w:w="296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Contact action only; reapply every 7–14 days; most effective as a preventive or at early infection stage. Safer for temperature-sensitive applications than sulfur.</w:t>
            </w:r>
          </w:p>
        </w:tc>
      </w:tr>
      <w:tr>
        <w:tc>
          <w:tcPr>
            <w:tcW w:type="dxa" w:w="22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Neem Oil (azadirachtin)</w:t>
            </w:r>
          </w:p>
        </w:tc>
        <w:tc>
          <w:tcPr>
            <w:tcW w:type="dxa" w:w="20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Disrupts fungal growth; also has insecticidal properties; primarily contact action</w:t>
            </w:r>
          </w:p>
        </w:tc>
        <w:tc>
          <w:tcPr>
            <w:tcW w:type="dxa" w:w="22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Powdery mildew; some fungal leaf spots; aphids (bonus); spider mites (bonus)</w:t>
            </w:r>
          </w:p>
        </w:tc>
        <w:tc>
          <w:tcPr>
            <w:tcW w:type="dxa" w:w="296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Must be combined with an emulsifier (most products already formulated); can be phytotoxic in heat; spray coverage on all leaf surfaces essential; reapply every 7–14 days. Multi-pest benefits make it valuable.</w:t>
            </w:r>
          </w:p>
        </w:tc>
      </w:tr>
      <w:tr>
        <w:tc>
          <w:tcPr>
            <w:tcW w:type="dxa" w:w="22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Bacillus subtilis (Serenade®)</w:t>
            </w:r>
          </w:p>
        </w:tc>
        <w:tc>
          <w:tcPr>
            <w:tcW w:type="dxa" w:w="20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Beneficial bacterium that colonizes leaf surfaces and outcompetes pathogens; also produces antifungal compounds</w:t>
            </w:r>
          </w:p>
        </w:tc>
        <w:tc>
          <w:tcPr>
            <w:tcW w:type="dxa" w:w="22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Powdery mildew; Botrytis; bacterial leaf spot; fire blight (suppressive)</w:t>
            </w:r>
          </w:p>
        </w:tc>
        <w:tc>
          <w:tcPr>
            <w:tcW w:type="dxa" w:w="296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Lowest efficacy of the organic options but very safe; no phytotoxicity risk; works best as a preventive rather than curative. Apply regularly through the season as part of an IPM program.</w:t>
            </w:r>
          </w:p>
        </w:tc>
      </w:tr>
      <w:tr>
        <w:tc>
          <w:tcPr>
            <w:tcW w:type="dxa" w:w="22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Hydrogen Peroxide (dilute)</w:t>
            </w:r>
          </w:p>
        </w:tc>
        <w:tc>
          <w:tcPr>
            <w:tcW w:type="dxa" w:w="20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Oxidizing action kills fungal spores and bacteria on contact</w:t>
            </w:r>
          </w:p>
        </w:tc>
        <w:tc>
          <w:tcPr>
            <w:tcW w:type="dxa" w:w="22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Surface sterilization; can be used on tools; dilute spray for some fungal control</w:t>
            </w:r>
          </w:p>
        </w:tc>
        <w:tc>
          <w:tcPr>
            <w:tcW w:type="dxa" w:w="296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Very short residual activity; must be applied directly to diseased tissue; limited field efficacy compared to sulfur or copper. Best used for tool sanitation and seedling tray sterilization.</w:t>
            </w:r>
          </w:p>
        </w:tc>
      </w:tr>
      <w:tr>
        <w:tc>
          <w:tcPr>
            <w:tcW w:type="dxa" w:w="22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Trichoderma harzianum
(RootShield®)</w:t>
            </w:r>
          </w:p>
        </w:tc>
        <w:tc>
          <w:tcPr>
            <w:tcW w:type="dxa" w:w="20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Beneficial fungus that colonizes roots and suppresses soilborne pathogens; competitive exclusion</w:t>
            </w:r>
          </w:p>
        </w:tc>
        <w:tc>
          <w:tcPr>
            <w:tcW w:type="dxa" w:w="22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Fusarium, Pythium, Rhizoctonia in the root zone; most effective as a soil amendment at planting</w:t>
            </w:r>
          </w:p>
        </w:tc>
        <w:tc>
          <w:tcPr>
            <w:tcW w:type="dxa" w:w="296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Preventive only; apply at or before planting; does not rescue a plant already infected with Fusarium wilt. Most valuable when soil history suggests soilborne disease risk.</w:t>
            </w:r>
          </w:p>
        </w:tc>
      </w:tr>
    </w:tbl>
    <w:p>
      <w:pPr>
        <w:spacing w:before="0" w:after="120"/>
      </w:pPr>
      <w:r>
        <w:t xml:space="preserve"/>
      </w:r>
    </w:p>
    <w:p>
      <w:pPr>
        <w:pStyle w:val="Heading2"/>
        <w:spacing w:before="240" w:after="120"/>
      </w:pPr>
      <w:r>
        <w:rPr>
          <w:rFonts w:ascii="Arial" w:cs="Arial" w:eastAsia="Arial" w:hAnsi="Arial"/>
          <w:b/>
          <w:bCs/>
          <w:color w:val="6B1818"/>
          <w:sz w:val="28"/>
          <w:szCs w:val="28"/>
        </w:rPr>
        <w:t xml:space="preserve">Synthetic Fungicide Reference</w:t>
      </w:r>
    </w:p>
    <w:p>
      <w:pPr>
        <w:spacing w:before="60" w:after="100" w:line="280"/>
      </w:pPr>
      <w:r>
        <w:rPr>
          <w:rFonts w:ascii="Arial" w:cs="Arial" w:eastAsia="Arial" w:hAnsi="Arial"/>
          <w:sz w:val="22"/>
          <w:szCs w:val="22"/>
        </w:rPr>
        <w:t xml:space="preserve">Synthetic fungicides are appropriate when high-value plants are threatened, when organic options have not provided adequate control, or when a severe disease outbreak requires rapid intervention. The most important principle in synthetic fungicide use is resistance management: rotating between fungicide classes (FRAC groups) prevents the development of resistant fungal populations, which has become a serious problem for several common fungicides.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2200"/>
        <w:gridCol w:w="1160"/>
      </w:tblGrid>
      <w:tr>
        <w:trPr>
          <w:tblHeader/>
        </w:trPr>
        <w:tc>
          <w:tcPr>
            <w:tcW w:type="dxa" w:w="2200"/>
            <w:tcBorders>
              <w:top w:val="single" w:color="6B3A08" w:sz="1"/>
              <w:left w:val="single" w:color="6B3A08" w:sz="1"/>
              <w:bottom w:val="single" w:color="6B3A08" w:sz="1"/>
              <w:right w:val="single" w:color="6B3A08" w:sz="1"/>
            </w:tcBorders>
            <w:shd w:fill="6B3A08" w:val="clear"/>
            <w:tcMar>
              <w:top w:type="dxa" w:w="80"/>
              <w:left w:type="dxa" w:w="120"/>
              <w:bottom w:type="dxa" w:w="80"/>
              <w:right w:type="dxa" w:w="120"/>
            </w:tcMar>
          </w:tcPr>
          <w:p>
            <w:r>
              <w:rPr>
                <w:rFonts w:ascii="Arial" w:cs="Arial" w:eastAsia="Arial" w:hAnsi="Arial"/>
                <w:b/>
                <w:bCs/>
                <w:color w:val="FFFFFF"/>
                <w:sz w:val="20"/>
                <w:szCs w:val="20"/>
              </w:rPr>
              <w:t xml:space="preserve">Active Ingredient</w:t>
            </w:r>
          </w:p>
        </w:tc>
        <w:tc>
          <w:tcPr>
            <w:tcW w:type="dxa" w:w="2200"/>
            <w:tcBorders>
              <w:top w:val="single" w:color="6B3A08" w:sz="1"/>
              <w:left w:val="single" w:color="6B3A08" w:sz="1"/>
              <w:bottom w:val="single" w:color="6B3A08" w:sz="1"/>
              <w:right w:val="single" w:color="6B3A08" w:sz="1"/>
            </w:tcBorders>
            <w:shd w:fill="6B3A08" w:val="clear"/>
            <w:tcMar>
              <w:top w:type="dxa" w:w="80"/>
              <w:left w:type="dxa" w:w="120"/>
              <w:bottom w:type="dxa" w:w="80"/>
              <w:right w:type="dxa" w:w="120"/>
            </w:tcMar>
          </w:tcPr>
          <w:p>
            <w:r>
              <w:rPr>
                <w:rFonts w:ascii="Arial" w:cs="Arial" w:eastAsia="Arial" w:hAnsi="Arial"/>
                <w:b/>
                <w:bCs/>
                <w:color w:val="FFFFFF"/>
                <w:sz w:val="20"/>
                <w:szCs w:val="20"/>
              </w:rPr>
              <w:t xml:space="preserve">Common Product Names</w:t>
            </w:r>
          </w:p>
        </w:tc>
        <w:tc>
          <w:tcPr>
            <w:tcW w:type="dxa" w:w="1600"/>
            <w:tcBorders>
              <w:top w:val="single" w:color="6B3A08" w:sz="1"/>
              <w:left w:val="single" w:color="6B3A08" w:sz="1"/>
              <w:bottom w:val="single" w:color="6B3A08" w:sz="1"/>
              <w:right w:val="single" w:color="6B3A08" w:sz="1"/>
            </w:tcBorders>
            <w:shd w:fill="6B3A08" w:val="clear"/>
            <w:tcMar>
              <w:top w:type="dxa" w:w="80"/>
              <w:left w:type="dxa" w:w="120"/>
              <w:bottom w:type="dxa" w:w="80"/>
              <w:right w:type="dxa" w:w="120"/>
            </w:tcMar>
          </w:tcPr>
          <w:p>
            <w:r>
              <w:rPr>
                <w:rFonts w:ascii="Arial" w:cs="Arial" w:eastAsia="Arial" w:hAnsi="Arial"/>
                <w:b/>
                <w:bCs/>
                <w:color w:val="FFFFFF"/>
                <w:sz w:val="20"/>
                <w:szCs w:val="20"/>
              </w:rPr>
              <w:t xml:space="preserve">FRAC Group</w:t>
            </w:r>
          </w:p>
        </w:tc>
        <w:tc>
          <w:tcPr>
            <w:tcW w:type="dxa" w:w="2200"/>
            <w:tcBorders>
              <w:top w:val="single" w:color="6B3A08" w:sz="1"/>
              <w:left w:val="single" w:color="6B3A08" w:sz="1"/>
              <w:bottom w:val="single" w:color="6B3A08" w:sz="1"/>
              <w:right w:val="single" w:color="6B3A08" w:sz="1"/>
            </w:tcBorders>
            <w:shd w:fill="6B3A08" w:val="clear"/>
            <w:tcMar>
              <w:top w:type="dxa" w:w="80"/>
              <w:left w:type="dxa" w:w="120"/>
              <w:bottom w:type="dxa" w:w="80"/>
              <w:right w:type="dxa" w:w="120"/>
            </w:tcMar>
          </w:tcPr>
          <w:p>
            <w:r>
              <w:rPr>
                <w:rFonts w:ascii="Arial" w:cs="Arial" w:eastAsia="Arial" w:hAnsi="Arial"/>
                <w:b/>
                <w:bCs/>
                <w:color w:val="FFFFFF"/>
                <w:sz w:val="20"/>
                <w:szCs w:val="20"/>
              </w:rPr>
              <w:t xml:space="preserve">Target Diseases</w:t>
            </w:r>
          </w:p>
        </w:tc>
        <w:tc>
          <w:tcPr>
            <w:tcW w:type="dxa" w:w="1160"/>
            <w:tcBorders>
              <w:top w:val="single" w:color="6B3A08" w:sz="1"/>
              <w:left w:val="single" w:color="6B3A08" w:sz="1"/>
              <w:bottom w:val="single" w:color="6B3A08" w:sz="1"/>
              <w:right w:val="single" w:color="6B3A08" w:sz="1"/>
            </w:tcBorders>
            <w:shd w:fill="6B3A0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Chlorothalonil</w:t>
            </w:r>
          </w:p>
        </w:tc>
        <w:tc>
          <w:tcPr>
            <w:tcW w:type="dxa" w:w="22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Daconil®, Ortho® Disease Control</w:t>
            </w:r>
          </w:p>
        </w:tc>
        <w:tc>
          <w:tcPr>
            <w:tcW w:type="dxa" w:w="16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M5 (multi-site; low resistance risk)</w:t>
            </w:r>
          </w:p>
        </w:tc>
        <w:tc>
          <w:tcPr>
            <w:tcW w:type="dxa" w:w="22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Tomato early blight, Septoria, anthracnose, leaf spots, many vegetable diseases</w:t>
            </w:r>
          </w:p>
        </w:tc>
        <w:tc>
          <w:tcPr>
            <w:tcW w:type="dxa" w:w="116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most broadly effective vegetable disease fungicide; contact action only; multi-site mode of action makes resistance very unlikely; do not use on edibles within 7–14 days of harvest (check label). Most important tomato fungicide.</w:t>
            </w:r>
          </w:p>
        </w:tc>
      </w:tr>
      <w:tr>
        <w:tc>
          <w:tcPr>
            <w:tcW w:type="dxa" w:w="22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Myclobutanil</w:t>
            </w:r>
          </w:p>
        </w:tc>
        <w:tc>
          <w:tcPr>
            <w:tcW w:type="dxa" w:w="22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Eagle®, Immunox®</w:t>
            </w:r>
          </w:p>
        </w:tc>
        <w:tc>
          <w:tcPr>
            <w:tcW w:type="dxa" w:w="16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3 (DMI/sterol biosynthesis inhibitor)</w:t>
            </w:r>
          </w:p>
        </w:tc>
        <w:tc>
          <w:tcPr>
            <w:tcW w:type="dxa" w:w="22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Powdery mildew (excellent), rust, scab, many fungal diseases</w:t>
            </w:r>
          </w:p>
        </w:tc>
        <w:tc>
          <w:tcPr>
            <w:tcW w:type="dxa" w:w="116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Systemic (moves into plant tissue); highly effective for powdery mildew and rusts; rotate with different FRAC groups to prevent resistance. Excellent for roses and ornamentals.</w:t>
            </w:r>
          </w:p>
        </w:tc>
      </w:tr>
      <w:tr>
        <w:tc>
          <w:tcPr>
            <w:tcW w:type="dxa" w:w="22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Trifloxystrobin</w:t>
            </w:r>
          </w:p>
        </w:tc>
        <w:tc>
          <w:tcPr>
            <w:tcW w:type="dxa" w:w="22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Flint®</w:t>
            </w:r>
          </w:p>
        </w:tc>
        <w:tc>
          <w:tcPr>
            <w:tcW w:type="dxa" w:w="16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 (QoI/strobilurin)</w:t>
            </w:r>
          </w:p>
        </w:tc>
        <w:tc>
          <w:tcPr>
            <w:tcW w:type="dxa" w:w="22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Powdery mildew, rusts, scab, blight, many fungal diseases</w:t>
            </w:r>
          </w:p>
        </w:tc>
        <w:tc>
          <w:tcPr>
            <w:tcW w:type="dxa" w:w="116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Systemic; broad spectrum; resistance concern in some pathogens — rotate with FRAC Group 3 or M products. Do not use more than 2 sequential applications.</w:t>
            </w:r>
          </w:p>
        </w:tc>
      </w:tr>
      <w:tr>
        <w:tc>
          <w:tcPr>
            <w:tcW w:type="dxa" w:w="22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Azoxystrobin</w:t>
            </w:r>
          </w:p>
        </w:tc>
        <w:tc>
          <w:tcPr>
            <w:tcW w:type="dxa" w:w="22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Syngenta Heritage®, Quadris®</w:t>
            </w:r>
          </w:p>
        </w:tc>
        <w:tc>
          <w:tcPr>
            <w:tcW w:type="dxa" w:w="16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11 (QoI/strobilurin)</w:t>
            </w:r>
          </w:p>
        </w:tc>
        <w:tc>
          <w:tcPr>
            <w:tcW w:type="dxa" w:w="22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Very broad spectrum: Alternaria, anthracnose, downy mildew, Pythium, Phytophthora</w:t>
            </w:r>
          </w:p>
        </w:tc>
        <w:tc>
          <w:tcPr>
            <w:tcW w:type="dxa" w:w="116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Systemic; oomycete-active (unusual for a fungicide); resistance concern in some pathogens. Rotate with FRAC Group 3.</w:t>
            </w:r>
          </w:p>
        </w:tc>
      </w:tr>
      <w:tr>
        <w:tc>
          <w:tcPr>
            <w:tcW w:type="dxa" w:w="22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Mancozeb</w:t>
            </w:r>
          </w:p>
        </w:tc>
        <w:tc>
          <w:tcPr>
            <w:tcW w:type="dxa" w:w="22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Dithane®, Manzate®</w:t>
            </w:r>
          </w:p>
        </w:tc>
        <w:tc>
          <w:tcPr>
            <w:tcW w:type="dxa" w:w="16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M3 (multi-site; low resistance risk)</w:t>
            </w:r>
          </w:p>
        </w:tc>
        <w:tc>
          <w:tcPr>
            <w:tcW w:type="dxa" w:w="22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Tomato blights, downy mildews, apple scab, many foliar diseases</w:t>
            </w:r>
          </w:p>
        </w:tc>
        <w:tc>
          <w:tcPr>
            <w:tcW w:type="dxa" w:w="116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Contact action; broad spectrum; typically tank-mixed with copper for bacterial/fungal combination protection; low resistance risk; PHI (pre-harvest interval) varies by crop — check label.</w:t>
            </w:r>
          </w:p>
        </w:tc>
      </w:tr>
      <w:tr>
        <w:tc>
          <w:tcPr>
            <w:tcW w:type="dxa" w:w="22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Propiconazole</w:t>
            </w:r>
          </w:p>
        </w:tc>
        <w:tc>
          <w:tcPr>
            <w:tcW w:type="dxa" w:w="22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Banner MAXX®, Bonide Infuse®</w:t>
            </w:r>
          </w:p>
        </w:tc>
        <w:tc>
          <w:tcPr>
            <w:tcW w:type="dxa" w:w="16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3 (DMI)</w:t>
            </w:r>
          </w:p>
        </w:tc>
        <w:tc>
          <w:tcPr>
            <w:tcW w:type="dxa" w:w="22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Rust (excellent), powdery mildew, dollar spot in turf, many tree diseases</w:t>
            </w:r>
          </w:p>
        </w:tc>
        <w:tc>
          <w:tcPr>
            <w:tcW w:type="dxa" w:w="116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Systemic; excellent for rust diseases on ornamentals; widely available in homeowner formulations.</w:t>
            </w:r>
          </w:p>
        </w:tc>
      </w:tr>
      <w:tr>
        <w:tc>
          <w:tcPr>
            <w:tcW w:type="dxa" w:w="22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Iprodione</w:t>
            </w:r>
          </w:p>
        </w:tc>
        <w:tc>
          <w:tcPr>
            <w:tcW w:type="dxa" w:w="22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Rovral®</w:t>
            </w:r>
          </w:p>
        </w:tc>
        <w:tc>
          <w:tcPr>
            <w:tcW w:type="dxa" w:w="16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(dicarboximide)</w:t>
            </w:r>
          </w:p>
        </w:tc>
        <w:tc>
          <w:tcPr>
            <w:tcW w:type="dxa" w:w="22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Botrytis (gray mold); Sclerotinia; dollar spot; various leaf spots</w:t>
            </w:r>
          </w:p>
        </w:tc>
        <w:tc>
          <w:tcPr>
            <w:tcW w:type="dxa" w:w="116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Excellent for Botrytis control; resistance has developed in some Botrytis populations with repeated use — rotate with FRAC Group 7 or copper.</w:t>
            </w:r>
          </w:p>
        </w:tc>
      </w:tr>
      <w:tr>
        <w:tc>
          <w:tcPr>
            <w:tcW w:type="dxa" w:w="22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Mandipropamid</w:t>
            </w:r>
          </w:p>
        </w:tc>
        <w:tc>
          <w:tcPr>
            <w:tcW w:type="dxa" w:w="22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Revus®</w:t>
            </w:r>
          </w:p>
        </w:tc>
        <w:tc>
          <w:tcPr>
            <w:tcW w:type="dxa" w:w="16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40 (CAA; oomycete-specific)</w:t>
            </w:r>
          </w:p>
        </w:tc>
        <w:tc>
          <w:tcPr>
            <w:tcW w:type="dxa" w:w="22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Downy mildew, late blight, Phytophthora</w:t>
            </w:r>
          </w:p>
        </w:tc>
        <w:tc>
          <w:tcPr>
            <w:tcW w:type="dxa" w:w="116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Oomycete-specific systemic; one of the most effective products for late blight and downy mildew. Resistance management: rotate with chlorothalonil or copper.</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3A08" w:sz="6"/>
              <w:left w:val="single" w:color="6B3A08" w:sz="6"/>
              <w:bottom w:val="single" w:color="6B3A08" w:sz="6"/>
              <w:right w:val="single" w:color="6B3A08" w:sz="6"/>
            </w:tcBorders>
            <w:shd w:fill="FDF3E0" w:val="clear"/>
            <w:tcMar>
              <w:top w:type="dxa" w:w="120"/>
              <w:left w:type="dxa" w:w="160"/>
              <w:bottom w:type="dxa" w:w="80"/>
              <w:right w:type="dxa" w:w="160"/>
            </w:tcMar>
          </w:tcPr>
          <w:p>
            <w:pPr>
              <w:spacing w:before="0" w:after="0"/>
            </w:pPr>
            <w:r>
              <w:rPr>
                <w:rFonts w:ascii="Arial" w:cs="Arial" w:eastAsia="Arial" w:hAnsi="Arial"/>
                <w:b/>
                <w:bCs/>
                <w:color w:val="6B3A08"/>
                <w:sz w:val="24"/>
                <w:szCs w:val="24"/>
              </w:rPr>
              <w:t xml:space="preserve">⚠️ Critical Safety and Resistance Management Notes</w:t>
            </w:r>
          </w:p>
        </w:tc>
      </w:tr>
      <w:tr>
        <w:tc>
          <w:tcPr>
            <w:tcBorders>
              <w:top w:val="single" w:color="6B3A08" w:sz="6"/>
              <w:left w:val="single" w:color="6B3A08" w:sz="6"/>
              <w:bottom w:val="single" w:color="6B3A08" w:sz="6"/>
              <w:right w:val="single" w:color="6B3A08" w:sz="6"/>
            </w:tcBorders>
            <w:shd w:fill="FDF3E0"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Always read and follow fungicide labels completely. The label is a legal document and following it is required by law. Key label elements to note: pre-harvest interval (PHI — the minimum days between last application and harvest); re-entry interval (REI — how long to wait before entering a treated area); personal protective equipment requirements (PPE); application rates (more is not better and can cause phytotoxicity); and approved crops (a fungicide labeled for ornamentals may not be legal to use on food crops).</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Fungicide resistance management: Do not make more than 2–3 consecutive applications of the same FRAC group before rotating to a different mode of action. Groups 3 (DMIs) and 11 (strobilurins) have documented resistance in several important pathogens including powdery mildew fungi and Botrytis. Multi-site products (FRAC groups M) have essentially no resistance risk and are the backbone of any resistance management program.</w:t>
            </w:r>
          </w:p>
        </w:tc>
      </w:tr>
    </w:tbl>
    <w:p>
      <w:pPr>
        <w:spacing w:before="0" w:after="120"/>
      </w:pPr>
      <w:r>
        <w:t xml:space="preserve"/>
      </w:r>
    </w:p>
    <w:p>
      <w:pPr>
        <w:pBdr>
          <w:bottom w:val="single" w:color="1D3A2A" w:sz="6" w:space="1"/>
        </w:pBdr>
        <w:spacing w:before="160" w:after="160"/>
      </w:pPr>
      <w:r>
        <w:t xml:space="preserve"/>
      </w:r>
    </w:p>
    <w:p>
      <w:r>
        <w:br w:type="page"/>
      </w:r>
    </w:p>
    <w:p>
      <w:pPr>
        <w:pStyle w:val="Heading1"/>
        <w:spacing w:before="360" w:after="180"/>
      </w:pPr>
      <w:r>
        <w:rPr>
          <w:rFonts w:ascii="Arial" w:cs="Arial" w:eastAsia="Arial" w:hAnsi="Arial"/>
          <w:b/>
          <w:bCs/>
          <w:color w:val="1D3A2A"/>
          <w:sz w:val="36"/>
          <w:szCs w:val="36"/>
        </w:rPr>
        <w:t xml:space="preserve">Section 9: Regional Disease Pressure Guide</w:t>
      </w:r>
    </w:p>
    <w:p>
      <w:pPr>
        <w:spacing w:before="120" w:after="160" w:line="280"/>
      </w:pPr>
      <w:r>
        <w:rPr>
          <w:rFonts w:ascii="Arial" w:cs="Arial" w:eastAsia="Arial" w:hAnsi="Arial"/>
          <w:sz w:val="22"/>
          <w:szCs w:val="22"/>
        </w:rPr>
        <w:t xml:space="preserve">Disease pressure varies significantly across American climate regions. The cool, humid conditions of the Pacific Northwest favor different diseases than the hot, humid summers of the Southeast or the dry heat of the Southwest. Understanding which diseases are most prevalent in your region helps focus attention on the most relevant preventive practices and variety choices.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2600"/>
        <w:gridCol w:w="1900"/>
        <w:gridCol w:w="960"/>
      </w:tblGrid>
      <w:tr>
        <w:trPr>
          <w:tblHeader/>
        </w:trPr>
        <w:tc>
          <w:tcPr>
            <w:tcW w:type="dxa" w:w="2000"/>
            <w:tcBorders>
              <w:top w:val="single" w:color="1D3A2A" w:sz="1"/>
              <w:left w:val="single" w:color="1D3A2A" w:sz="1"/>
              <w:bottom w:val="single" w:color="1D3A2A" w:sz="1"/>
              <w:right w:val="single" w:color="1D3A2A" w:sz="1"/>
            </w:tcBorders>
            <w:shd w:fill="1D3A2A"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1900"/>
            <w:tcBorders>
              <w:top w:val="single" w:color="1D3A2A" w:sz="1"/>
              <w:left w:val="single" w:color="1D3A2A" w:sz="1"/>
              <w:bottom w:val="single" w:color="1D3A2A" w:sz="1"/>
              <w:right w:val="single" w:color="1D3A2A" w:sz="1"/>
            </w:tcBorders>
            <w:shd w:fill="1D3A2A" w:val="clear"/>
            <w:tcMar>
              <w:top w:type="dxa" w:w="80"/>
              <w:left w:type="dxa" w:w="120"/>
              <w:bottom w:type="dxa" w:w="80"/>
              <w:right w:type="dxa" w:w="120"/>
            </w:tcMar>
          </w:tcPr>
          <w:p>
            <w:r>
              <w:rPr>
                <w:rFonts w:ascii="Arial" w:cs="Arial" w:eastAsia="Arial" w:hAnsi="Arial"/>
                <w:b/>
                <w:bCs/>
                <w:color w:val="FFFFFF"/>
                <w:sz w:val="20"/>
                <w:szCs w:val="20"/>
              </w:rPr>
              <w:t xml:space="preserve">Climate Profile</w:t>
            </w:r>
          </w:p>
        </w:tc>
        <w:tc>
          <w:tcPr>
            <w:tcW w:type="dxa" w:w="2600"/>
            <w:tcBorders>
              <w:top w:val="single" w:color="1D3A2A" w:sz="1"/>
              <w:left w:val="single" w:color="1D3A2A" w:sz="1"/>
              <w:bottom w:val="single" w:color="1D3A2A" w:sz="1"/>
              <w:right w:val="single" w:color="1D3A2A" w:sz="1"/>
            </w:tcBorders>
            <w:shd w:fill="1D3A2A" w:val="clear"/>
            <w:tcMar>
              <w:top w:type="dxa" w:w="80"/>
              <w:left w:type="dxa" w:w="120"/>
              <w:bottom w:type="dxa" w:w="80"/>
              <w:right w:type="dxa" w:w="120"/>
            </w:tcMar>
          </w:tcPr>
          <w:p>
            <w:r>
              <w:rPr>
                <w:rFonts w:ascii="Arial" w:cs="Arial" w:eastAsia="Arial" w:hAnsi="Arial"/>
                <w:b/>
                <w:bCs/>
                <w:color w:val="FFFFFF"/>
                <w:sz w:val="20"/>
                <w:szCs w:val="20"/>
              </w:rPr>
              <w:t xml:space="preserve">Highest-Priority Diseases</w:t>
            </w:r>
          </w:p>
        </w:tc>
        <w:tc>
          <w:tcPr>
            <w:tcW w:type="dxa" w:w="1900"/>
            <w:tcBorders>
              <w:top w:val="single" w:color="1D3A2A" w:sz="1"/>
              <w:left w:val="single" w:color="1D3A2A" w:sz="1"/>
              <w:bottom w:val="single" w:color="1D3A2A" w:sz="1"/>
              <w:right w:val="single" w:color="1D3A2A" w:sz="1"/>
            </w:tcBorders>
            <w:shd w:fill="1D3A2A" w:val="clear"/>
            <w:tcMar>
              <w:top w:type="dxa" w:w="80"/>
              <w:left w:type="dxa" w:w="120"/>
              <w:bottom w:type="dxa" w:w="80"/>
              <w:right w:type="dxa" w:w="120"/>
            </w:tcMar>
          </w:tcPr>
          <w:p>
            <w:r>
              <w:rPr>
                <w:rFonts w:ascii="Arial" w:cs="Arial" w:eastAsia="Arial" w:hAnsi="Arial"/>
                <w:b/>
                <w:bCs/>
                <w:color w:val="FFFFFF"/>
                <w:sz w:val="20"/>
                <w:szCs w:val="20"/>
              </w:rPr>
              <w:t xml:space="preserve">Lower-Risk Diseases Here</w:t>
            </w:r>
          </w:p>
        </w:tc>
        <w:tc>
          <w:tcPr>
            <w:tcW w:type="dxa" w:w="960"/>
            <w:tcBorders>
              <w:top w:val="single" w:color="1D3A2A" w:sz="1"/>
              <w:left w:val="single" w:color="1D3A2A" w:sz="1"/>
              <w:bottom w:val="single" w:color="1D3A2A" w:sz="1"/>
              <w:right w:val="single" w:color="1D3A2A" w:sz="1"/>
            </w:tcBorders>
            <w:shd w:fill="1D3A2A" w:val="clear"/>
            <w:tcMar>
              <w:top w:type="dxa" w:w="80"/>
              <w:left w:type="dxa" w:w="120"/>
              <w:bottom w:type="dxa" w:w="80"/>
              <w:right w:type="dxa" w:w="120"/>
            </w:tcMar>
          </w:tcPr>
          <w:p>
            <w:r>
              <w:rPr>
                <w:rFonts w:ascii="Arial" w:cs="Arial" w:eastAsia="Arial" w:hAnsi="Arial"/>
                <w:b/>
                <w:bCs/>
                <w:color w:val="FFFFFF"/>
                <w:sz w:val="20"/>
                <w:szCs w:val="20"/>
              </w:rPr>
              <w:t xml:space="preserve">Key Management Emphasis</w:t>
            </w:r>
          </w:p>
        </w:tc>
      </w:tr>
      <w:tr>
        <w:tc>
          <w:tcPr>
            <w:tcW w:type="dxa" w:w="20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Northeast &amp; New England
(Zones 4–6)</w:t>
            </w:r>
          </w:p>
        </w:tc>
        <w:tc>
          <w:tcPr>
            <w:tcW w:type="dxa" w:w="19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Cold winters; warm, humid summers; significant summer rainfall; cool-wet springs</w:t>
            </w:r>
          </w:p>
        </w:tc>
        <w:tc>
          <w:tcPr>
            <w:tcW w:type="dxa" w:w="26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blight (cool summers are ideal conditions), early blight, Septoria, powdery mildew (cucurbits), fire blight (apples/pears), downy mildew, Botrytis</w:t>
            </w:r>
          </w:p>
        </w:tc>
        <w:tc>
          <w:tcPr>
            <w:tcW w:type="dxa" w:w="19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Most diseases requiring prolonged heat; Phytophthora blight on pepper (less severe in cooler summers)</w:t>
            </w:r>
          </w:p>
        </w:tc>
        <w:tc>
          <w:tcPr>
            <w:tcW w:type="dxa" w:w="96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blight-resistant tomato and potato varieties are essential. Fire blight management for apple/pear. Drip irrigation and good air circulation. Copper spray programs for high-value crops.</w:t>
            </w:r>
          </w:p>
        </w:tc>
      </w:tr>
      <w:tr>
        <w:tc>
          <w:tcPr>
            <w:tcW w:type="dxa" w:w="20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Mid-Atlantic &amp; Southeast
(Zones 6–9)</w:t>
            </w:r>
          </w:p>
        </w:tc>
        <w:tc>
          <w:tcPr>
            <w:tcW w:type="dxa" w:w="19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Hot, humid summers; ample rainfall; mild winters; long growing season creates extended disease pressure</w:t>
            </w:r>
          </w:p>
        </w:tc>
        <w:tc>
          <w:tcPr>
            <w:tcW w:type="dxa" w:w="26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Early blight, Septoria, powdery mildew, Fusarium wilt, bacterial spot (tomato/pepper), Phytophthora blight, TSWV, cucumber beetle/bacterial wilt, Botrytis (strawberry)</w:t>
            </w:r>
          </w:p>
        </w:tc>
        <w:tc>
          <w:tcPr>
            <w:tcW w:type="dxa" w:w="19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Late blight is less severe in very hot summers (pathogen favors cooler temperatures)</w:t>
            </w:r>
          </w:p>
        </w:tc>
        <w:tc>
          <w:tcPr>
            <w:tcW w:type="dxa" w:w="96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Resistant varieties are the single most important tool in this high-pressure region. Drip irrigation; mulching; crop rotation; preventive spray programs for high-value crops. TSWV management requires thrips control.</w:t>
            </w:r>
          </w:p>
        </w:tc>
      </w:tr>
      <w:tr>
        <w:tc>
          <w:tcPr>
            <w:tcW w:type="dxa" w:w="20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Midwest &amp; Great Plains
(Zones 3–6)</w:t>
            </w:r>
          </w:p>
        </w:tc>
        <w:tc>
          <w:tcPr>
            <w:tcW w:type="dxa" w:w="19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Cold winters; warm summers with variable humidity; thunderstorm rainfall; Great Plains has drier, windier conditions</w:t>
            </w:r>
          </w:p>
        </w:tc>
        <w:tc>
          <w:tcPr>
            <w:tcW w:type="dxa" w:w="26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Verticillium wilt (cooler soils), early blight, Septoria, rust diseases (cedar-apple rust in areas with cedars; bean rust; hollyhock rust), powdery mildew, white mold (Sclerotinia) on beans and sunflowers</w:t>
            </w:r>
          </w:p>
        </w:tc>
        <w:tc>
          <w:tcPr>
            <w:tcW w:type="dxa" w:w="19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blight (less severe in hot summers); Phytophthora blight (less severe)</w:t>
            </w:r>
          </w:p>
        </w:tc>
        <w:tc>
          <w:tcPr>
            <w:tcW w:type="dxa" w:w="96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3-year crop rotation. Fusarium and Verticillium-resistant varieties. Rust management on ornamentals. Biocontrol with Trichoderma where soilborne diseases are a problem.</w:t>
            </w:r>
          </w:p>
        </w:tc>
      </w:tr>
      <w:tr>
        <w:tc>
          <w:tcPr>
            <w:tcW w:type="dxa" w:w="20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Pacific Northwest
(Western WA, OR, northern CA; Zones 7–8)</w:t>
            </w:r>
          </w:p>
        </w:tc>
        <w:tc>
          <w:tcPr>
            <w:tcW w:type="dxa" w:w="19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Mild, wet winters and springs; relatively cool, dry summers; maritime influence; high humidity</w:t>
            </w:r>
          </w:p>
        </w:tc>
        <w:tc>
          <w:tcPr>
            <w:tcW w:type="dxa" w:w="26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Late blight (the highest late blight pressure in the continental US due to cool, foggy summers), Botrytis, peach leaf curl, downy mildew (lettuce, grapes), apple scab, fire blight, Phytophthora root rot</w:t>
            </w:r>
          </w:p>
        </w:tc>
        <w:tc>
          <w:tcPr>
            <w:tcW w:type="dxa" w:w="19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Most diseases requiring heat (bacterial wilt, TSWV less severe); Fusarium wilt less severe in cool soils</w:t>
            </w:r>
          </w:p>
        </w:tc>
        <w:tc>
          <w:tcPr>
            <w:tcW w:type="dxa" w:w="96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Late blight-resistant varieties are not optional in the Pacific Northwest — they are essential for tomato and potato production. Peach leaf curl: single copper spray at dormancy. Apple scab program from green tip through summer.</w:t>
            </w:r>
          </w:p>
        </w:tc>
      </w:tr>
      <w:tr>
        <w:tc>
          <w:tcPr>
            <w:tcW w:type="dxa" w:w="20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Southwest &amp; Rocky Mountain
(Zones 4–9)</w:t>
            </w:r>
          </w:p>
        </w:tc>
        <w:tc>
          <w:tcPr>
            <w:tcW w:type="dxa" w:w="19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humidity; intense sun; hot days, cool nights; monsoon pattern in Arizona/NM creates wet periods; alkaline soils</w:t>
            </w:r>
          </w:p>
        </w:tc>
        <w:tc>
          <w:tcPr>
            <w:tcW w:type="dxa" w:w="26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Powdery mildew (exacerbated by cool nights), Verticillium wilt, root rot in poorly drained or overwatered soils (Phytophthora, Pythium), boron and iron deficiencies (alkaline soil — not a disease but similar symptoms)</w:t>
            </w:r>
          </w:p>
        </w:tc>
        <w:tc>
          <w:tcPr>
            <w:tcW w:type="dxa" w:w="19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Bacterial diseases requiring high humidity; late blight (except in high-elevation, humid areas); Botrytis (except in monsoon zone)</w:t>
            </w:r>
          </w:p>
        </w:tc>
        <w:tc>
          <w:tcPr>
            <w:tcW w:type="dxa" w:w="96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Drainage is the primary concern. Avoid overwatering. Powdery mildew management on cucurbits and roses. Soil pH management (alkaline soils cause nutrient deficiencies that mimic disease).</w:t>
            </w:r>
          </w:p>
        </w:tc>
      </w:tr>
      <w:tr>
        <w:tc>
          <w:tcPr>
            <w:tcW w:type="dxa" w:w="20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California &amp; Pacific Coast
(Zones 8–10)</w:t>
            </w:r>
          </w:p>
        </w:tc>
        <w:tc>
          <w:tcPr>
            <w:tcW w:type="dxa" w:w="19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Mediterranean climate; wet winters, dry summers; coastal fog provides humidity; diverse microclimates</w:t>
            </w:r>
          </w:p>
        </w:tc>
        <w:tc>
          <w:tcPr>
            <w:tcW w:type="dxa" w:w="26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Fusarium (strawberry, many crops), Phytophthora (avocado, many landscape plants), downy mildew (lettuce, grapes), rose rust (more common than in the East), powdery mildew, tomato diseases in summer</w:t>
            </w:r>
          </w:p>
        </w:tc>
        <w:tc>
          <w:tcPr>
            <w:tcW w:type="dxa" w:w="19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Late blight (except coastal and foggy areas where it can be severe); bacterial wilt</w:t>
            </w:r>
          </w:p>
        </w:tc>
        <w:tc>
          <w:tcPr>
            <w:tcW w:type="dxa" w:w="96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Fusarium-resistant varieties. Phytophthora management through drainage. Rose rust: rust-resistant varieties or sulfur spray. Avocado: ensure drainage is perfect; phosphonate soil drenches.</w:t>
            </w:r>
          </w:p>
        </w:tc>
      </w:tr>
    </w:tbl>
    <w:p>
      <w:pPr>
        <w:spacing w:before="0" w:after="120"/>
      </w:pPr>
      <w:r>
        <w:t xml:space="preserve"/>
      </w:r>
    </w:p>
    <w:p>
      <w:pPr>
        <w:pBdr>
          <w:bottom w:val="single" w:color="1D3A2A" w:sz="6" w:space="1"/>
        </w:pBdr>
        <w:spacing w:before="160" w:after="160"/>
      </w:pPr>
      <w:r>
        <w:t xml:space="preserve"/>
      </w:r>
    </w:p>
    <w:p>
      <w:r>
        <w:br w:type="page"/>
      </w:r>
    </w:p>
    <w:p>
      <w:pPr>
        <w:pStyle w:val="Heading1"/>
        <w:spacing w:before="360" w:after="180"/>
      </w:pPr>
      <w:r>
        <w:rPr>
          <w:rFonts w:ascii="Arial" w:cs="Arial" w:eastAsia="Arial" w:hAnsi="Arial"/>
          <w:b/>
          <w:bCs/>
          <w:color w:val="1D3A2A"/>
          <w:sz w:val="36"/>
          <w:szCs w:val="36"/>
        </w:rPr>
        <w:t xml:space="preserve">Section 10: Quick Reference — Diagnosis &amp; Treatment Decision Guides</w:t>
      </w:r>
    </w:p>
    <w:p>
      <w:pPr>
        <w:spacing w:before="120" w:after="160" w:line="280"/>
      </w:pPr>
      <w:r>
        <w:rPr>
          <w:rFonts w:ascii="Arial" w:cs="Arial" w:eastAsia="Arial" w:hAnsi="Arial"/>
          <w:sz w:val="22"/>
          <w:szCs w:val="22"/>
        </w:rPr>
        <w:t xml:space="preserve">This final section provides practical quick-reference tools: a step-by-step diagnosis process, a treatment decision framework, sanitation protocols, and a seasonal disease management calendar.</w:t>
      </w:r>
    </w:p>
    <w:p>
      <w:pPr>
        <w:pStyle w:val="Heading2"/>
        <w:spacing w:before="240" w:after="120"/>
      </w:pPr>
      <w:r>
        <w:rPr>
          <w:rFonts w:ascii="Arial" w:cs="Arial" w:eastAsia="Arial" w:hAnsi="Arial"/>
          <w:b/>
          <w:bCs/>
          <w:color w:val="6B1818"/>
          <w:sz w:val="28"/>
          <w:szCs w:val="28"/>
        </w:rPr>
        <w:t xml:space="preserve">The 5-Step Diagnosis Process</w:t>
      </w:r>
    </w:p>
    <w:p>
      <w:pPr>
        <w:pStyle w:val="ListParagraph"/>
        <w:numPr>
          <w:ilvl w:val="0"/>
          <w:numId w:val="3"/>
        </w:numPr>
        <w:spacing w:before="60" w:after="60"/>
      </w:pPr>
      <w:r>
        <w:rPr>
          <w:rFonts w:ascii="Arial" w:cs="Arial" w:eastAsia="Arial" w:hAnsi="Arial"/>
          <w:b/>
          <w:bCs/>
          <w:sz w:val="22"/>
          <w:szCs w:val="22"/>
        </w:rPr>
        <w:t xml:space="preserve">Observe the symptoms carefully:</w:t>
      </w:r>
      <w:r>
        <w:rPr>
          <w:rFonts w:ascii="Arial" w:cs="Arial" w:eastAsia="Arial" w:hAnsi="Arial"/>
          <w:sz w:val="22"/>
          <w:szCs w:val="22"/>
        </w:rPr>
        <w:t xml:space="preserve"> What do you see? Which plant parts are affected (leaves, stems, roots, fruit, flowers)? What is the color, texture, and pattern of the damage? Is it localized (specific leaves or branches) or systemic (entire plant)? Use the Rapid Symptom Key in the introduction as your first reference.</w:t>
      </w:r>
    </w:p>
    <w:p>
      <w:pPr>
        <w:pStyle w:val="ListParagraph"/>
        <w:numPr>
          <w:ilvl w:val="0"/>
          <w:numId w:val="3"/>
        </w:numPr>
        <w:spacing w:before="60" w:after="60"/>
      </w:pPr>
      <w:r>
        <w:rPr>
          <w:rFonts w:ascii="Arial" w:cs="Arial" w:eastAsia="Arial" w:hAnsi="Arial"/>
          <w:b/>
          <w:bCs/>
          <w:sz w:val="22"/>
          <w:szCs w:val="22"/>
        </w:rPr>
        <w:t xml:space="preserve">Assess the conditions:</w:t>
      </w:r>
      <w:r>
        <w:rPr>
          <w:rFonts w:ascii="Arial" w:cs="Arial" w:eastAsia="Arial" w:hAnsi="Arial"/>
          <w:sz w:val="22"/>
          <w:szCs w:val="22"/>
        </w:rPr>
        <w:t xml:space="preserve"> What has the weather been like in the past 2 weeks? Hot and dry, or cool and wet? Has there been rain or overhead irrigation that would wet foliage? What is the soil drainage like? Has the plant been under stress (drought, poor nutrition, recent transplanting)?</w:t>
      </w:r>
    </w:p>
    <w:p>
      <w:pPr>
        <w:pStyle w:val="ListParagraph"/>
        <w:numPr>
          <w:ilvl w:val="0"/>
          <w:numId w:val="3"/>
        </w:numPr>
        <w:spacing w:before="60" w:after="60"/>
      </w:pPr>
      <w:r>
        <w:rPr>
          <w:rFonts w:ascii="Arial" w:cs="Arial" w:eastAsia="Arial" w:hAnsi="Arial"/>
          <w:b/>
          <w:bCs/>
          <w:sz w:val="22"/>
          <w:szCs w:val="22"/>
        </w:rPr>
        <w:t xml:space="preserve">Consider the disease triangle:</w:t>
      </w:r>
      <w:r>
        <w:rPr>
          <w:rFonts w:ascii="Arial" w:cs="Arial" w:eastAsia="Arial" w:hAnsi="Arial"/>
          <w:sz w:val="22"/>
          <w:szCs w:val="22"/>
        </w:rPr>
        <w:t xml:space="preserve"> Do you have a susceptible host (yes — that’s why you’re asking)? Are the environmental conditions right for the suspected pathogen? Is there a history of this disease in this location or on these plants before?</w:t>
      </w:r>
    </w:p>
    <w:p>
      <w:pPr>
        <w:pStyle w:val="ListParagraph"/>
        <w:numPr>
          <w:ilvl w:val="0"/>
          <w:numId w:val="3"/>
        </w:numPr>
        <w:spacing w:before="60" w:after="60"/>
      </w:pPr>
      <w:r>
        <w:rPr>
          <w:rFonts w:ascii="Arial" w:cs="Arial" w:eastAsia="Arial" w:hAnsi="Arial"/>
          <w:b/>
          <w:bCs/>
          <w:sz w:val="22"/>
          <w:szCs w:val="22"/>
        </w:rPr>
        <w:t xml:space="preserve">Check for insect involvement:</w:t>
      </w:r>
      <w:r>
        <w:rPr>
          <w:rFonts w:ascii="Arial" w:cs="Arial" w:eastAsia="Arial" w:hAnsi="Arial"/>
          <w:sz w:val="22"/>
          <w:szCs w:val="22"/>
        </w:rPr>
        <w:t xml:space="preserve"> Many disease symptoms are caused by insects (leaf miners, gall insects, scale insects) or are the result of insect damage that allowed pathogen entry. Check under leaves for insects and on stems for scale, mealybug, or other pests before concluding the problem is purely disease.</w:t>
      </w:r>
    </w:p>
    <w:p>
      <w:pPr>
        <w:pStyle w:val="ListParagraph"/>
        <w:numPr>
          <w:ilvl w:val="0"/>
          <w:numId w:val="3"/>
        </w:numPr>
        <w:spacing w:before="60" w:after="60"/>
      </w:pPr>
      <w:r>
        <w:rPr>
          <w:rFonts w:ascii="Arial" w:cs="Arial" w:eastAsia="Arial" w:hAnsi="Arial"/>
          <w:b/>
          <w:bCs/>
          <w:sz w:val="22"/>
          <w:szCs w:val="22"/>
        </w:rPr>
        <w:t xml:space="preserve">Seek confirmation if needed:</w:t>
      </w:r>
      <w:r>
        <w:rPr>
          <w:rFonts w:ascii="Arial" w:cs="Arial" w:eastAsia="Arial" w:hAnsi="Arial"/>
          <w:sz w:val="22"/>
          <w:szCs w:val="22"/>
        </w:rPr>
        <w:t xml:space="preserve"> For any problem you cannot identify confidently, or for any problem affecting many high-value plants, contact your state’s cooperative extension service or land-grant university plant disease diagnostic laboratory. Most states offer online diagnostic submissions with photographs, and physical sample submission for laboratory diagnosis. This is the most reliable route to a confirmed diagnosis.</w:t>
      </w:r>
    </w:p>
    <w:p>
      <w:pPr>
        <w:spacing w:before="0" w:after="120"/>
      </w:pPr>
      <w:r>
        <w:t xml:space="preserve"/>
      </w:r>
    </w:p>
    <w:p>
      <w:pPr>
        <w:pStyle w:val="Heading2"/>
        <w:spacing w:before="240" w:after="120"/>
      </w:pPr>
      <w:r>
        <w:rPr>
          <w:rFonts w:ascii="Arial" w:cs="Arial" w:eastAsia="Arial" w:hAnsi="Arial"/>
          <w:b/>
          <w:bCs/>
          <w:color w:val="6B1818"/>
          <w:sz w:val="28"/>
          <w:szCs w:val="28"/>
        </w:rPr>
        <w:t xml:space="preserve">Treatment Decision Framework</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400"/>
        <w:gridCol w:w="1960"/>
      </w:tblGrid>
      <w:tr>
        <w:trPr>
          <w:tblHeader/>
        </w:trPr>
        <w:tc>
          <w:tcPr>
            <w:tcW w:type="dxa" w:w="3000"/>
            <w:tcBorders>
              <w:top w:val="single" w:color="6B1818" w:sz="1"/>
              <w:left w:val="single" w:color="6B1818" w:sz="1"/>
              <w:bottom w:val="single" w:color="6B1818" w:sz="1"/>
              <w:right w:val="single" w:color="6B1818" w:sz="1"/>
            </w:tcBorders>
            <w:shd w:fill="6B1818"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4400"/>
            <w:tcBorders>
              <w:top w:val="single" w:color="6B1818" w:sz="1"/>
              <w:left w:val="single" w:color="6B1818" w:sz="1"/>
              <w:bottom w:val="single" w:color="6B1818" w:sz="1"/>
              <w:right w:val="single" w:color="6B1818" w:sz="1"/>
            </w:tcBorders>
            <w:shd w:fill="6B1818" w:val="clear"/>
            <w:tcMar>
              <w:top w:type="dxa" w:w="80"/>
              <w:left w:type="dxa" w:w="120"/>
              <w:bottom w:type="dxa" w:w="80"/>
              <w:right w:type="dxa" w:w="120"/>
            </w:tcMar>
          </w:tcPr>
          <w:p>
            <w:r>
              <w:rPr>
                <w:rFonts w:ascii="Arial" w:cs="Arial" w:eastAsia="Arial" w:hAnsi="Arial"/>
                <w:b/>
                <w:bCs/>
                <w:color w:val="FFFFFF"/>
                <w:sz w:val="20"/>
                <w:szCs w:val="20"/>
              </w:rPr>
              <w:t xml:space="preserve">Recommended Action</w:t>
            </w:r>
          </w:p>
        </w:tc>
        <w:tc>
          <w:tcPr>
            <w:tcW w:type="dxa" w:w="1960"/>
            <w:tcBorders>
              <w:top w:val="single" w:color="6B1818" w:sz="1"/>
              <w:left w:val="single" w:color="6B1818" w:sz="1"/>
              <w:bottom w:val="single" w:color="6B1818" w:sz="1"/>
              <w:right w:val="single" w:color="6B1818" w:sz="1"/>
            </w:tcBorders>
            <w:shd w:fill="6B1818"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 signs of foliar fungal disease (powdery mildew, rust, leaf spots) on one or a few leaves</w:t>
            </w:r>
          </w:p>
        </w:tc>
        <w:tc>
          <w:tcPr>
            <w:tcW w:type="dxa" w:w="44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Remove affected leaves; improve air circulation; apply potassium bicarbonate, sulfur, or copper as appropriate; monitor closely</w:t>
            </w:r>
          </w:p>
        </w:tc>
        <w:tc>
          <w:tcPr>
            <w:tcW w:type="dxa" w:w="196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 — act within 1–3 days</w:t>
            </w:r>
          </w:p>
        </w:tc>
      </w:tr>
      <w:tr>
        <w:tc>
          <w:tcPr>
            <w:tcW w:type="dxa" w:w="30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Spreading fungal disease on high-value crop (tomatoes, roses)</w:t>
            </w:r>
          </w:p>
        </w:tc>
        <w:tc>
          <w:tcPr>
            <w:tcW w:type="dxa" w:w="44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Remove infected tissue; apply appropriate fungicide (chlorothalonil for tomatoes; myclobutanil for roses); set up spray program on 7–14-day schedule</w:t>
            </w:r>
          </w:p>
        </w:tc>
        <w:tc>
          <w:tcPr>
            <w:tcW w:type="dxa" w:w="196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High — act immediately</w:t>
            </w:r>
          </w:p>
        </w:tc>
      </w:tr>
      <w:tr>
        <w:tc>
          <w:tcPr>
            <w:tcW w:type="dxa" w:w="30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Confirmed or strongly suspected late blight</w:t>
            </w:r>
          </w:p>
        </w:tc>
        <w:tc>
          <w:tcPr>
            <w:tcW w:type="dxa" w:w="44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Remove entire affected plant(s) immediately; bag and dispose; apply oomycete-active fungicide (mandipropamid, chlorothalonil) to remaining plants preventively; monitor daily</w:t>
            </w:r>
          </w:p>
        </w:tc>
        <w:tc>
          <w:tcPr>
            <w:tcW w:type="dxa" w:w="196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Critical — act same day</w:t>
            </w:r>
          </w:p>
        </w:tc>
      </w:tr>
      <w:tr>
        <w:tc>
          <w:tcPr>
            <w:tcW w:type="dxa" w:w="30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Wilting that does not recover after watering</w:t>
            </w:r>
          </w:p>
        </w:tc>
        <w:tc>
          <w:tcPr>
            <w:tcW w:type="dxa" w:w="44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Cut stem near soil line; examine for vascular discoloration; if present (Fusarium or Verticillium wilt), remove plant; do not replant susceptible species in same location without soil treatment</w:t>
            </w:r>
          </w:p>
        </w:tc>
        <w:tc>
          <w:tcPr>
            <w:tcW w:type="dxa" w:w="196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High — act immediately; do not waste time on treatment</w:t>
            </w:r>
          </w:p>
        </w:tc>
      </w:tr>
      <w:tr>
        <w:tc>
          <w:tcPr>
            <w:tcW w:type="dxa" w:w="30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Viral symptoms (mosaic, distortion, ringspots)</w:t>
            </w:r>
          </w:p>
        </w:tc>
        <w:tc>
          <w:tcPr>
            <w:tcW w:type="dxa" w:w="44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Remove and dispose of infected plant; control insect vectors; wash hands and tools; assess neighboring plants for early symptoms</w:t>
            </w:r>
          </w:p>
        </w:tc>
        <w:tc>
          <w:tcPr>
            <w:tcW w:type="dxa" w:w="196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 act within 1 day; every day the plant remains is a day the virus can spread</w:t>
            </w:r>
          </w:p>
        </w:tc>
      </w:tr>
      <w:tr>
        <w:tc>
          <w:tcPr>
            <w:tcW w:type="dxa" w:w="30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Fire blight on apple or pear</w:t>
            </w:r>
          </w:p>
        </w:tc>
        <w:tc>
          <w:tcPr>
            <w:tcW w:type="dxa" w:w="44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Prune 12 inches below visible infection; sterilize tools between every cut with 70% alcohol; do not prune in wet conditions; apply copper spray to remaining plant</w:t>
            </w:r>
          </w:p>
        </w:tc>
        <w:tc>
          <w:tcPr>
            <w:tcW w:type="dxa" w:w="196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High — act within 1–2 days; fire blight spreads rapidly</w:t>
            </w:r>
          </w:p>
        </w:tc>
      </w:tr>
      <w:tr>
        <w:tc>
          <w:tcPr>
            <w:tcW w:type="dxa" w:w="30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Crown rot or root rot</w:t>
            </w:r>
          </w:p>
        </w:tc>
        <w:tc>
          <w:tcPr>
            <w:tcW w:type="dxa" w:w="44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Improve drainage immediately; reduce irrigation; do not replant the same species in the same location; treat surrounding plants preventively with phosphonate if Phytophthora is suspected</w:t>
            </w:r>
          </w:p>
        </w:tc>
        <w:tc>
          <w:tcPr>
            <w:tcW w:type="dxa" w:w="196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Medium-High — affected plant is often unrecoverable; focus on protecting healthy plants</w:t>
            </w:r>
          </w:p>
        </w:tc>
      </w:tr>
      <w:tr>
        <w:tc>
          <w:tcPr>
            <w:tcW w:type="dxa" w:w="30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Damping off in seedlings</w:t>
            </w:r>
          </w:p>
        </w:tc>
        <w:tc>
          <w:tcPr>
            <w:tcW w:type="dxa" w:w="44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Remove affected seedlings; allow soil surface to dry between waterings; improve air circulation; treat remaining seedlings with dilute hydrogen peroxide or Bacillus subtilis product; thin if overcrowded</w:t>
            </w:r>
          </w:p>
        </w:tc>
        <w:tc>
          <w:tcPr>
            <w:tcW w:type="dxa" w:w="196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Medium — act within 1–2 days to prevent spread</w:t>
            </w:r>
          </w:p>
        </w:tc>
      </w:tr>
    </w:tbl>
    <w:p>
      <w:pPr>
        <w:spacing w:before="0" w:after="120"/>
      </w:pPr>
      <w:r>
        <w:t xml:space="preserve"/>
      </w:r>
    </w:p>
    <w:p>
      <w:pPr>
        <w:pStyle w:val="Heading2"/>
        <w:spacing w:before="240" w:after="120"/>
      </w:pPr>
      <w:r>
        <w:rPr>
          <w:rFonts w:ascii="Arial" w:cs="Arial" w:eastAsia="Arial" w:hAnsi="Arial"/>
          <w:b/>
          <w:bCs/>
          <w:color w:val="6B1818"/>
          <w:sz w:val="28"/>
          <w:szCs w:val="28"/>
        </w:rPr>
        <w:t xml:space="preserve">Sanitation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63040" w:sz="6"/>
              <w:left w:val="single" w:color="263040" w:sz="6"/>
              <w:bottom w:val="single" w:color="263040" w:sz="6"/>
              <w:right w:val="single" w:color="263040" w:sz="6"/>
            </w:tcBorders>
            <w:shd w:fill="EAF0F8" w:val="clear"/>
            <w:tcMar>
              <w:top w:type="dxa" w:w="120"/>
              <w:left w:type="dxa" w:w="160"/>
              <w:bottom w:type="dxa" w:w="80"/>
              <w:right w:type="dxa" w:w="160"/>
            </w:tcMar>
          </w:tcPr>
          <w:p>
            <w:pPr>
              <w:spacing w:before="0" w:after="0"/>
            </w:pPr>
            <w:r>
              <w:rPr>
                <w:rFonts w:ascii="Arial" w:cs="Arial" w:eastAsia="Arial" w:hAnsi="Arial"/>
                <w:b/>
                <w:bCs/>
                <w:color w:val="263040"/>
                <w:sz w:val="24"/>
                <w:szCs w:val="24"/>
              </w:rPr>
              <w:t xml:space="preserve">🧼 Tool and Equipment Sanitation</w:t>
            </w:r>
          </w:p>
        </w:tc>
      </w:tr>
      <w:tr>
        <w:tc>
          <w:tcPr>
            <w:tcBorders>
              <w:top w:val="single" w:color="263040" w:sz="6"/>
              <w:left w:val="single" w:color="263040" w:sz="6"/>
              <w:bottom w:val="single" w:color="263040" w:sz="6"/>
              <w:right w:val="single" w:color="263040" w:sz="6"/>
            </w:tcBorders>
            <w:shd w:fill="EAF0F8"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Many of the most damaging garden diseases — Hosta virus X, fire blight, bacterial canker, Fusarium — are spread from plant to plant by contaminated pruning tools, trowels, and hands. A simple sanitation protocol prevents this route of spread entirely.</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For cutting tools (pruners, loppers, saws): between plants, dip blade in 70% isopropyl alcohol (the most convenient and effective method) or 10% bleach solution (effective but corrosive to metal — rinse and dry tools promptly after use). Allow 30 seconds of contact before making the next cut. For trowels and digging tools: scrape off soil; clean with a brush; spray with 70% alcohol or dip in bleach solution. For hands: wash with soap and water; wear disposable gloves when working around known diseased plants.</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The 10% bleach solution: 1 part household bleach + 9 parts water. This is the standard recommendation and is effective against most plant pathogens. Prepare fresh daily as bleach solutions lose potency quickly.</w:t>
            </w:r>
          </w:p>
        </w:tc>
      </w:tr>
    </w:tbl>
    <w:p>
      <w:pPr>
        <w:spacing w:before="0" w:after="60"/>
      </w:pPr>
      <w:r>
        <w:t xml:space="preserve"/>
      </w:r>
    </w:p>
    <w:p>
      <w:pPr>
        <w:pStyle w:val="Heading2"/>
        <w:spacing w:before="240" w:after="120"/>
      </w:pPr>
      <w:r>
        <w:rPr>
          <w:rFonts w:ascii="Arial" w:cs="Arial" w:eastAsia="Arial" w:hAnsi="Arial"/>
          <w:b/>
          <w:bCs/>
          <w:color w:val="6B1818"/>
          <w:sz w:val="28"/>
          <w:szCs w:val="28"/>
        </w:rPr>
        <w:t xml:space="preserve">Seasonal Disease Management Calendar</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1D3A2A" w:sz="1"/>
              <w:left w:val="single" w:color="1D3A2A" w:sz="1"/>
              <w:bottom w:val="single" w:color="1D3A2A" w:sz="1"/>
              <w:right w:val="single" w:color="1D3A2A" w:sz="1"/>
            </w:tcBorders>
            <w:shd w:fill="1D3A2A" w:val="clear"/>
            <w:tcMar>
              <w:top w:type="dxa" w:w="80"/>
              <w:left w:type="dxa" w:w="120"/>
              <w:bottom w:type="dxa" w:w="80"/>
              <w:right w:type="dxa" w:w="120"/>
            </w:tcMar>
          </w:tcPr>
          <w:p>
            <w:r>
              <w:rPr>
                <w:rFonts w:ascii="Arial" w:cs="Arial" w:eastAsia="Arial" w:hAnsi="Arial"/>
                <w:b/>
                <w:bCs/>
                <w:color w:val="FFFFFF"/>
                <w:sz w:val="20"/>
                <w:szCs w:val="20"/>
              </w:rPr>
              <w:t xml:space="preserve">Season</w:t>
            </w:r>
          </w:p>
        </w:tc>
        <w:tc>
          <w:tcPr>
            <w:tcW w:type="dxa" w:w="2000"/>
            <w:tcBorders>
              <w:top w:val="single" w:color="1D3A2A" w:sz="1"/>
              <w:left w:val="single" w:color="1D3A2A" w:sz="1"/>
              <w:bottom w:val="single" w:color="1D3A2A" w:sz="1"/>
              <w:right w:val="single" w:color="1D3A2A" w:sz="1"/>
            </w:tcBorders>
            <w:shd w:fill="1D3A2A"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4960"/>
            <w:tcBorders>
              <w:top w:val="single" w:color="1D3A2A" w:sz="1"/>
              <w:left w:val="single" w:color="1D3A2A" w:sz="1"/>
              <w:bottom w:val="single" w:color="1D3A2A" w:sz="1"/>
              <w:right w:val="single" w:color="1D3A2A" w:sz="1"/>
            </w:tcBorders>
            <w:shd w:fill="1D3A2A" w:val="clear"/>
            <w:tcMar>
              <w:top w:type="dxa" w:w="80"/>
              <w:left w:type="dxa" w:w="120"/>
              <w:bottom w:type="dxa" w:w="80"/>
              <w:right w:type="dxa" w:w="120"/>
            </w:tcMar>
          </w:tcPr>
          <w:p>
            <w:r>
              <w:rPr>
                <w:rFonts w:ascii="Arial" w:cs="Arial" w:eastAsia="Arial" w:hAnsi="Arial"/>
                <w:b/>
                <w:bCs/>
                <w:color w:val="FFFFFF"/>
                <w:sz w:val="20"/>
                <w:szCs w:val="20"/>
              </w:rPr>
              <w:t xml:space="preserve">Key Tasks</w:t>
            </w:r>
          </w:p>
        </w:tc>
      </w:tr>
      <w:tr>
        <w:tc>
          <w:tcPr>
            <w:tcW w:type="dxa" w:w="24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Winter / Early Spring
(Before leaf-out)</w:t>
            </w:r>
          </w:p>
        </w:tc>
        <w:tc>
          <w:tcPr>
            <w:tcW w:type="dxa" w:w="20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Prevention setup; dormant treatments; planning</w:t>
            </w:r>
          </w:p>
        </w:tc>
        <w:tc>
          <w:tcPr>
            <w:tcW w:type="dxa" w:w="496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Apply dormant oil spray to fruit trees and ornamentals for scale control (which reduces secondary disease from sooty mold). Apply copper spray to dormant peaches (prevents peach leaf curl — must be before bud swell). Order disease-resistant varieties for the season. Review last year’s disease records; plan rotation. Prepare raised beds; test soil if disease was a problem last year.</w:t>
            </w:r>
          </w:p>
        </w:tc>
      </w:tr>
      <w:tr>
        <w:tc>
          <w:tcPr>
            <w:tcW w:type="dxa" w:w="24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Spring (Bud break through transplanting)</w:t>
            </w:r>
          </w:p>
        </w:tc>
        <w:tc>
          <w:tcPr>
            <w:tcW w:type="dxa" w:w="20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Early monitoring; preventive applications on high-risk crops; clean planting practices</w:t>
            </w:r>
          </w:p>
        </w:tc>
        <w:tc>
          <w:tcPr>
            <w:tcW w:type="dxa" w:w="496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Begin monitoring as soon as plants emerge. Apply copper spray preventively to apples and pears at green tip for apple scab and fire blight prevention. Inspect all transplants for viral symptoms, spots, and abnormalities before placing in the garden. Install drip irrigation. Apply Trichoderma to soil at planting in areas with Fusarium or Pythium history.</w:t>
            </w:r>
          </w:p>
        </w:tc>
      </w:tr>
      <w:tr>
        <w:tc>
          <w:tcPr>
            <w:tcW w:type="dxa" w:w="24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Spring / Early Summer (Active growth)</w:t>
            </w:r>
          </w:p>
        </w:tc>
        <w:tc>
          <w:tcPr>
            <w:tcW w:type="dxa" w:w="20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Fungal disease prevention; aphid/vector control</w:t>
            </w:r>
          </w:p>
        </w:tc>
        <w:tc>
          <w:tcPr>
            <w:tcW w:type="dxa" w:w="496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Begin fungicide spray programs for high-risk crops (tomatoes in humid regions: chlorothalonil/copper program starting when plants are 12–18 inches tall). Control aphids to prevent virus spread. Monitor cucurbits for powdery and downy mildew. Prune for air circulation. Water at the base; never overhead in the evening. Pinch out fire blight-affected shoot tips as they appear.</w:t>
            </w:r>
          </w:p>
        </w:tc>
      </w:tr>
      <w:tr>
        <w:tc>
          <w:tcPr>
            <w:tcW w:type="dxa" w:w="24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Midsummer (Peak growing season)</w:t>
            </w:r>
          </w:p>
        </w:tc>
        <w:tc>
          <w:tcPr>
            <w:tcW w:type="dxa" w:w="200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Sustained management; monitoring for new outbreaks</w:t>
            </w:r>
          </w:p>
        </w:tc>
        <w:tc>
          <w:tcPr>
            <w:tcW w:type="dxa" w:w="4960"/>
            <w:tcBorders>
              <w:top w:val="single" w:color="B8C4B0" w:sz="1"/>
              <w:left w:val="single" w:color="B8C4B0" w:sz="1"/>
              <w:bottom w:val="single" w:color="B8C4B0" w:sz="1"/>
              <w:right w:val="single" w:color="B8C4B0" w:sz="1"/>
            </w:tcBorders>
            <w:shd w:fill="F4EDE4" w:val="clear"/>
            <w:tcMar>
              <w:top w:type="dxa" w:w="80"/>
              <w:left w:type="dxa" w:w="120"/>
              <w:bottom w:type="dxa" w:w="80"/>
              <w:right w:type="dxa" w:w="120"/>
            </w:tcMar>
          </w:tcPr>
          <w:p>
            <w:r>
              <w:rPr>
                <w:rFonts w:ascii="Arial" w:cs="Arial" w:eastAsia="Arial" w:hAnsi="Arial"/>
                <w:b w:val="false"/>
                <w:bCs w:val="false"/>
                <w:sz w:val="20"/>
                <w:szCs w:val="20"/>
              </w:rPr>
              <w:t xml:space="preserve">Maintain spray programs on a 7–14-day schedule. Scout regularly — walk the garden 2–3 times per week looking for early symptoms. Remove and dispose of disease-affected tissue promptly. Check tomatoes especially for late blight and Septoria. Monitor peppers for Phytophthora symptoms in areas that receive heavy rain. Keep mulch replenished to prevent soil splash.</w:t>
            </w:r>
          </w:p>
        </w:tc>
      </w:tr>
      <w:tr>
        <w:tc>
          <w:tcPr>
            <w:tcW w:type="dxa" w:w="24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Summer / Fall (Season wind-down)</w:t>
            </w:r>
          </w:p>
        </w:tc>
        <w:tc>
          <w:tcPr>
            <w:tcW w:type="dxa" w:w="200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Cleanup; preventing carryover to next year</w:t>
            </w:r>
          </w:p>
        </w:tc>
        <w:tc>
          <w:tcPr>
            <w:tcW w:type="dxa" w:w="4960"/>
            <w:tcBorders>
              <w:top w:val="single" w:color="B8C4B0" w:sz="1"/>
              <w:left w:val="single" w:color="B8C4B0" w:sz="1"/>
              <w:bottom w:val="single" w:color="B8C4B0" w:sz="1"/>
              <w:right w:val="single" w:color="B8C4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Remove and dispose of all diseased plant tissue (do not compost). Till or dig in remaining plant debris in severely diseased areas, or cover with sheet mulch. Order cover crop seed to reduce soilborne disease pressure through winter. Make notes on all disease problems for next year’s planning — the best disease management decision is made in fall when the problem is fresh, for the following spring when prevention begins.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3A2A" w:sz="6"/>
              <w:left w:val="single" w:color="1D3A2A" w:sz="6"/>
              <w:bottom w:val="single" w:color="1D3A2A" w:sz="6"/>
              <w:right w:val="single" w:color="1D3A2A" w:sz="6"/>
            </w:tcBorders>
            <w:shd w:fill="E5F0EA" w:val="clear"/>
            <w:tcMar>
              <w:top w:type="dxa" w:w="120"/>
              <w:left w:type="dxa" w:w="160"/>
              <w:bottom w:type="dxa" w:w="80"/>
              <w:right w:type="dxa" w:w="160"/>
            </w:tcMar>
          </w:tcPr>
          <w:p>
            <w:pPr>
              <w:spacing w:before="0" w:after="0"/>
            </w:pPr>
            <w:r>
              <w:rPr>
                <w:rFonts w:ascii="Arial" w:cs="Arial" w:eastAsia="Arial" w:hAnsi="Arial"/>
                <w:b/>
                <w:bCs/>
                <w:color w:val="1D3A2A"/>
                <w:sz w:val="24"/>
                <w:szCs w:val="24"/>
              </w:rPr>
              <w:t xml:space="preserve">🔬 The Most Important Principle in Plant Disease Management</w:t>
            </w:r>
          </w:p>
        </w:tc>
      </w:tr>
      <w:tr>
        <w:tc>
          <w:tcPr>
            <w:tcBorders>
              <w:top w:val="single" w:color="1D3A2A" w:sz="6"/>
              <w:left w:val="single" w:color="1D3A2A" w:sz="6"/>
              <w:bottom w:val="single" w:color="1D3A2A" w:sz="6"/>
              <w:right w:val="single" w:color="1D3A2A" w:sz="6"/>
            </w:tcBorders>
            <w:shd w:fill="E5F0EA"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Almost every significant plant disease problem in the garden is easier to prevent than to cure. A tomato with established Fusarium wilt cannot be saved. A plant with a systemic viral infection cannot be cured. A fire blight infection that has reached the main trunk of an apple tree may kill the tree regardless of treatment. Late blight that has devastated a tomato planting in cool, humid weather cannot be reversed.</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The investment of time in disease prevention — choosing resistant varieties, spacing plants properly, watering at the base, rotating crops, sanitizing tools, applying preventive copper or sulfur before a disease appears — returns far more value than the same time spent treating diseases after the fact. Good gardening practices are disease management. The gardener who understands this principle will have fewer disease problems, not because they treat them better, but because they rarely arise in the first place.</w:t>
            </w:r>
          </w:p>
        </w:tc>
      </w:tr>
    </w:tbl>
    <w:p>
      <w:pPr>
        <w:spacing w:before="0" w:after="120"/>
      </w:pPr>
      <w:r>
        <w:t xml:space="preserve"/>
      </w:r>
    </w:p>
    <w:p>
      <w:pPr>
        <w:spacing w:before="200" w:after="80"/>
        <w:jc w:val="center"/>
      </w:pPr>
      <w:r>
        <w:rPr>
          <w:rFonts w:ascii="Segoe UI Emoji" w:cs="Segoe UI Emoji" w:eastAsia="Segoe UI Emoji" w:hAnsi="Segoe UI Emoji"/>
          <w:sz w:val="40"/>
          <w:szCs w:val="40"/>
        </w:rPr>
        <w:t xml:space="preserve">🔬  🌱  🪴  🌿  🧪  🐛</w:t>
      </w:r>
    </w:p>
    <w:p>
      <w:pPr>
        <w:spacing w:before="0" w:after="80"/>
        <w:jc w:val="center"/>
      </w:pPr>
      <w:r>
        <w:rPr>
          <w:rFonts w:ascii="Arial" w:cs="Arial" w:eastAsia="Arial" w:hAnsi="Arial"/>
          <w:i/>
          <w:iCs/>
          <w:color w:val="1D3A2A"/>
          <w:sz w:val="25"/>
          <w:szCs w:val="25"/>
        </w:rPr>
        <w:t xml:space="preserve">The best disease management is prevention. The best prevention is a healthy plant in the right place, given what it needs.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B1818" w:sz="4" w:space="1"/>
      </w:pBdr>
      <w:tabs>
        <w:tab w:val="right" w:pos="9360"/>
      </w:tabs>
      <w:spacing w:before="80" w:after="0"/>
    </w:pPr>
    <w:r>
      <w:rPr>
        <w:rFonts w:ascii="Arial" w:cs="Arial" w:eastAsia="Arial" w:hAnsi="Arial"/>
        <w:color w:val="6B7280"/>
        <w:sz w:val="18"/>
        <w:szCs w:val="18"/>
      </w:rPr>
      <w:t xml:space="preserve">The Complete Garden Disease Guide  •  Identification, Treatment &amp; Prevention for All Major Plant Diseases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3A2A" w:sz="4" w:space="1"/>
      </w:pBdr>
      <w:spacing w:before="0" w:after="80"/>
    </w:pPr>
    <w:r>
      <w:rPr>
        <w:rFonts w:ascii="Arial" w:cs="Arial" w:eastAsia="Arial" w:hAnsi="Arial"/>
        <w:b/>
        <w:bCs/>
        <w:color w:val="1D3A2A"/>
        <w:sz w:val="18"/>
        <w:szCs w:val="18"/>
      </w:rPr>
      <w:t xml:space="preserve">COMMON GARDEN DISEASES — COMPLETE GUIDE</w:t>
    </w:r>
    <w:r>
      <w:rPr>
        <w:rFonts w:ascii="Arial" w:cs="Arial" w:eastAsia="Arial" w:hAnsi="Arial"/>
        <w:color w:val="6B7280"/>
        <w:sz w:val="18"/>
        <w:szCs w:val="18"/>
      </w:rPr>
      <w:t xml:space="preserve">   |   Fungal, Bacterial, Viral &amp; Soilborne • All US Regions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D3A2A"/>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6B1818"/>
      <w:sz w:val="28"/>
      <w:szCs w:val="28"/>
    </w:rPr>
  </w:style>
  <w:style w:type="paragraph" w:styleId="Heading3">
    <w:name w:val="Heading 3"/>
    <w:basedOn w:val="Normal"/>
    <w:next w:val="Normal"/>
    <w:qFormat/>
    <w:pPr>
      <w:spacing w:before="180" w:after="80"/>
      <w:outlineLvl w:val="2"/>
    </w:pPr>
    <w:rPr>
      <w:rFonts w:ascii="Arial" w:cs="Arial" w:eastAsia="Arial" w:hAnsi="Arial"/>
      <w:b/>
      <w:bCs/>
      <w:color w:val="6B3A0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2026-03-15T18:50:14.373Z</dcterms:created>
  <dcterms:modified xsi:type="dcterms:W3CDTF">2026-03-15T18:50:14.374Z</dcterms:modified>
</cp:coreProperties>
</file>

<file path=docProps/custom.xml><?xml version="1.0" encoding="utf-8"?>
<Properties xmlns="http://schemas.openxmlformats.org/officeDocument/2006/custom-properties" xmlns:vt="http://schemas.openxmlformats.org/officeDocument/2006/docPropsVTypes"/>
</file>