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jc w:val="center"/>
      </w:pPr>
      <w:r>
        <w:rPr>
          <w:rFonts w:ascii="Segoe UI Emoji" w:cs="Segoe UI Emoji" w:eastAsia="Segoe UI Emoji" w:hAnsi="Segoe UI Emoji"/>
          <w:sz w:val="96"/>
          <w:szCs w:val="96"/>
        </w:rPr>
        <w:t xml:space="preserve">🦋</w:t>
      </w:r>
    </w:p>
    <w:p>
      <w:pPr>
        <w:spacing w:before="0" w:after="60"/>
        <w:jc w:val="center"/>
      </w:pPr>
      <w:r>
        <w:rPr>
          <w:rFonts w:ascii="Arial" w:cs="Arial" w:eastAsia="Arial" w:hAnsi="Arial"/>
          <w:i/>
          <w:iCs/>
          <w:color w:val="707880"/>
          <w:sz w:val="28"/>
          <w:szCs w:val="28"/>
        </w:rPr>
        <w:t xml:space="preserve">The Complete Guide to the</w:t>
      </w:r>
    </w:p>
    <w:p>
      <w:pPr>
        <w:spacing w:before="0" w:after="80"/>
        <w:jc w:val="center"/>
      </w:pPr>
      <w:r>
        <w:rPr>
          <w:rFonts w:ascii="Arial" w:cs="Arial" w:eastAsia="Arial" w:hAnsi="Arial"/>
          <w:b/>
          <w:bCs/>
          <w:color w:val="2A1858"/>
          <w:sz w:val="56"/>
          <w:szCs w:val="56"/>
        </w:rPr>
        <w:t xml:space="preserve">BUTTERFLY GARDEN</w:t>
      </w:r>
    </w:p>
    <w:p>
      <w:pPr>
        <w:spacing w:before="0" w:after="120"/>
        <w:jc w:val="center"/>
      </w:pPr>
      <w:r>
        <w:rPr>
          <w:rFonts w:ascii="Arial" w:cs="Arial" w:eastAsia="Arial" w:hAnsi="Arial"/>
          <w:i/>
          <w:iCs/>
          <w:color w:val="1E4020"/>
          <w:sz w:val="26"/>
          <w:szCs w:val="26"/>
        </w:rPr>
        <w:t xml:space="preserve">Attract and Support Butterflies with the Right Host and Nectar Plants</w:t>
      </w:r>
    </w:p>
    <w:p>
      <w:pPr>
        <w:spacing w:before="0" w:after="280"/>
        <w:jc w:val="center"/>
      </w:pPr>
      <w:r>
        <w:rPr>
          <w:rFonts w:ascii="Arial" w:cs="Arial" w:eastAsia="Arial" w:hAnsi="Arial"/>
          <w:color w:val="707880"/>
          <w:sz w:val="21"/>
          <w:szCs w:val="21"/>
        </w:rPr>
        <w:t xml:space="preserve">Butterfly Biology  •  30 Species Profiles  •  Host Plants  •  Nectar Plants  •  Garden Design  •  Habitat  •  Monarch Conservation  •  Regional Guides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1858" w:sz="6"/>
              <w:left w:val="single" w:color="2A1858" w:sz="6"/>
              <w:bottom w:val="single" w:color="2A1858" w:sz="6"/>
              <w:right w:val="single" w:color="2A1858" w:sz="6"/>
            </w:tcBorders>
            <w:shd w:fill="F0EAFA" w:val="clear"/>
            <w:tcMar>
              <w:top w:type="dxa" w:w="120"/>
              <w:left w:type="dxa" w:w="160"/>
              <w:bottom w:type="dxa" w:w="80"/>
              <w:right w:type="dxa" w:w="160"/>
            </w:tcMar>
          </w:tcPr>
          <w:p>
            <w:pPr>
              <w:spacing w:before="0" w:after="0"/>
            </w:pPr>
            <w:r>
              <w:rPr>
                <w:rFonts w:ascii="Arial" w:cs="Arial" w:eastAsia="Arial" w:hAnsi="Arial"/>
                <w:b/>
                <w:bCs/>
                <w:color w:val="2A1858"/>
                <w:sz w:val="24"/>
                <w:szCs w:val="24"/>
              </w:rPr>
              <w:t xml:space="preserve">🦋 The Host Plant Distinction That Changes Everything</w:t>
            </w:r>
          </w:p>
        </w:tc>
      </w:tr>
      <w:tr>
        <w:tc>
          <w:tcPr>
            <w:tcBorders>
              <w:top w:val="single" w:color="2A1858" w:sz="6"/>
              <w:left w:val="single" w:color="2A1858" w:sz="6"/>
              <w:bottom w:val="single" w:color="2A1858" w:sz="6"/>
              <w:right w:val="single" w:color="2A1858" w:sz="6"/>
            </w:tcBorders>
            <w:shd w:fill="F0EAFA"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Most butterfly gardens are nectar gardens in disguise. They provide flowers that visiting adult butterflies feed from, and they attract and delight the gardener. But they do not support butterfly populations in any lasting way, because they are missing the element that butterflies need most: host plants where females can lay eggs and caterpillars can feed.</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Every butterfly species is entirely dependent on specific host plants to complete its life cycle. The monarch butterfly can only lay eggs on milkweed (Asclepias spp.). The black swallowtail lays only on members of the carrot family. The spicebush swallowtail requires spicebush (Lindera benzoin) or sassafras (Sassafras albidum). The zebra longwing depends on native passionflower vines. Without these host plants, butterflies visit the garden to feed and leave; they cannot breed there.</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A garden that includes both nectar plants (to feed adults) and host plants (to support the complete life cycle) does something qualitatively different from a nectar-only garden: it becomes a butterfly nursery. The caterpillars that appear on host plants are not a problem to be managed; they are the next generation of butterflies. This guide is built around that distinction. It covers both the nectar plants that attract butterflies and, crucially, the host plants that make a garden a genuine habitat where butterfly populations can establish, reproduce, and thrive.</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American butterfly diversity spans 750+ species across every habitat from arctic tundra to tropical rainforest. This guide focuses on the species most commonly found in and around American residential gardens across the continental United States, and the specific plants — both native and well-adapted non-native — that support them.</w:t>
            </w:r>
          </w:p>
        </w:tc>
      </w:tr>
    </w:tbl>
    <w:p>
      <w:pPr>
        <w:spacing w:before="0" w:after="80"/>
      </w:pPr>
      <w:r>
        <w:t xml:space="preserve"/>
      </w:r>
    </w:p>
    <w:p>
      <w:pPr>
        <w:spacing w:before="60" w:after="120" w:line="285"/>
      </w:pPr>
      <w:r>
        <w:rPr>
          <w:rFonts w:ascii="Arial" w:cs="Arial" w:eastAsia="Arial" w:hAnsi="Arial"/>
          <w:sz w:val="22"/>
          <w:szCs w:val="22"/>
        </w:rPr>
        <w:t xml:space="preserve">A note on native plants: this guide strongly emphasizes native plants throughout, not from dogma but from documented ecological fact. Butterflies have co-evolved with native plants over millions of years. Most butterfly host plant relationships are with specific native plant species or genera. A garden built primarily on native plants will support more butterfly species, more individual butterflies, and more complete life cycles than one built on ornamental non-natives of equivalent beauty. The good news: native plants are increasingly available at nurseries across the country, and many are among the most beautiful plants available for American gardens.</w:t>
      </w:r>
    </w:p>
    <w:p>
      <w:pPr>
        <w:pBdr>
          <w:bottom w:val="single" w:color="2A1858" w:sz="6" w:space="1"/>
        </w:pBdr>
        <w:spacing w:before="160" w:after="160"/>
      </w:pPr>
      <w:r>
        <w:t xml:space="preserve"/>
      </w:r>
    </w:p>
    <w:p>
      <w:pPr>
        <w:pStyle w:val="Heading2"/>
        <w:spacing w:before="240" w:after="120"/>
      </w:pPr>
      <w:r>
        <w:rPr>
          <w:rFonts w:ascii="Arial" w:cs="Arial" w:eastAsia="Arial" w:hAnsi="Arial"/>
          <w:b/>
          <w:bCs/>
          <w:color w:val="1E4020"/>
          <w:sz w:val="28"/>
          <w:szCs w:val="28"/>
        </w:rPr>
        <w:t xml:space="preserve">The Butterfly Life Cycle: What a Complete Butterfly Garden Provides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000"/>
        <w:gridCol w:w="2960"/>
      </w:tblGrid>
      <w:tr>
        <w:trPr>
          <w:tblHeader/>
        </w:trPr>
        <w:tc>
          <w:tcPr>
            <w:tcW w:type="dxa" w:w="1600"/>
            <w:tcBorders>
              <w:top w:val="single" w:color="2A1858" w:sz="1"/>
              <w:left w:val="single" w:color="2A1858" w:sz="1"/>
              <w:bottom w:val="single" w:color="2A1858" w:sz="1"/>
              <w:right w:val="single" w:color="2A1858" w:sz="1"/>
            </w:tcBorders>
            <w:shd w:fill="2A1858" w:val="clear"/>
            <w:tcMar>
              <w:top w:type="dxa" w:w="80"/>
              <w:left w:type="dxa" w:w="120"/>
              <w:bottom w:type="dxa" w:w="80"/>
              <w:right w:type="dxa" w:w="120"/>
            </w:tcMar>
          </w:tcPr>
          <w:p>
            <w:r>
              <w:rPr>
                <w:rFonts w:ascii="Arial" w:cs="Arial" w:eastAsia="Arial" w:hAnsi="Arial"/>
                <w:b/>
                <w:bCs/>
                <w:color w:val="FFFFFF"/>
                <w:sz w:val="20"/>
                <w:szCs w:val="20"/>
              </w:rPr>
              <w:t xml:space="preserve">Life Stage</w:t>
            </w:r>
          </w:p>
        </w:tc>
        <w:tc>
          <w:tcPr>
            <w:tcW w:type="dxa" w:w="1800"/>
            <w:tcBorders>
              <w:top w:val="single" w:color="2A1858" w:sz="1"/>
              <w:left w:val="single" w:color="2A1858" w:sz="1"/>
              <w:bottom w:val="single" w:color="2A1858" w:sz="1"/>
              <w:right w:val="single" w:color="2A1858" w:sz="1"/>
            </w:tcBorders>
            <w:shd w:fill="2A1858"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000"/>
            <w:tcBorders>
              <w:top w:val="single" w:color="2A1858" w:sz="1"/>
              <w:left w:val="single" w:color="2A1858" w:sz="1"/>
              <w:bottom w:val="single" w:color="2A1858" w:sz="1"/>
              <w:right w:val="single" w:color="2A1858" w:sz="1"/>
            </w:tcBorders>
            <w:shd w:fill="2A1858" w:val="clear"/>
            <w:tcMar>
              <w:top w:type="dxa" w:w="80"/>
              <w:left w:type="dxa" w:w="120"/>
              <w:bottom w:type="dxa" w:w="80"/>
              <w:right w:type="dxa" w:w="120"/>
            </w:tcMar>
          </w:tcPr>
          <w:p>
            <w:r>
              <w:rPr>
                <w:rFonts w:ascii="Arial" w:cs="Arial" w:eastAsia="Arial" w:hAnsi="Arial"/>
                <w:b/>
                <w:bCs/>
                <w:color w:val="FFFFFF"/>
                <w:sz w:val="20"/>
                <w:szCs w:val="20"/>
              </w:rPr>
              <w:t xml:space="preserve">What It Needs from Your Garden</w:t>
            </w:r>
          </w:p>
        </w:tc>
        <w:tc>
          <w:tcPr>
            <w:tcW w:type="dxa" w:w="2960"/>
            <w:tcBorders>
              <w:top w:val="single" w:color="2A1858" w:sz="1"/>
              <w:left w:val="single" w:color="2A1858" w:sz="1"/>
              <w:bottom w:val="single" w:color="2A1858" w:sz="1"/>
              <w:right w:val="single" w:color="2A1858" w:sz="1"/>
            </w:tcBorders>
            <w:shd w:fill="2A1858" w:val="clear"/>
            <w:tcMar>
              <w:top w:type="dxa" w:w="80"/>
              <w:left w:type="dxa" w:w="120"/>
              <w:bottom w:type="dxa" w:w="80"/>
              <w:right w:type="dxa" w:w="120"/>
            </w:tcMar>
          </w:tcPr>
          <w:p>
            <w:r>
              <w:rPr>
                <w:rFonts w:ascii="Arial" w:cs="Arial" w:eastAsia="Arial" w:hAnsi="Arial"/>
                <w:b/>
                <w:bCs/>
                <w:color w:val="FFFFFF"/>
                <w:sz w:val="20"/>
                <w:szCs w:val="20"/>
              </w:rPr>
              <w:t xml:space="preserve">How to Support It</w:t>
            </w:r>
          </w:p>
        </w:tc>
      </w:tr>
      <w:tr>
        <w:tc>
          <w:tcPr>
            <w:tcW w:type="dxa" w:w="16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Egg</w:t>
            </w:r>
          </w:p>
        </w:tc>
        <w:tc>
          <w:tcPr>
            <w:tcW w:type="dxa" w:w="18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3–10 days (temperature-dependent)</w:t>
            </w:r>
          </w:p>
        </w:tc>
        <w:tc>
          <w:tcPr>
            <w:tcW w:type="dxa" w:w="30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Host plants with appropriate foliage on which the female chooses to lay; specific plants for each species</w:t>
            </w:r>
          </w:p>
        </w:tc>
        <w:tc>
          <w:tcPr>
            <w:tcW w:type="dxa" w:w="296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Plant the correct host plant species for the butterflies in your region; learn what their eggs look like so you can recognize them</w:t>
            </w:r>
          </w:p>
        </w:tc>
      </w:tr>
      <w:tr>
        <w:tc>
          <w:tcPr>
            <w:tcW w:type="dxa" w:w="16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Larva (caterpillar)</w:t>
            </w:r>
          </w:p>
        </w:tc>
        <w:tc>
          <w:tcPr>
            <w:tcW w:type="dxa" w:w="18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2–6 weeks; grows through 4–5 instars (molts)</w:t>
            </w:r>
          </w:p>
        </w:tc>
        <w:tc>
          <w:tcPr>
            <w:tcW w:type="dxa" w:w="30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Abundant host plant foliage to consume; protection from pesticides; some natural protection from parasitoids (a managed balance)</w:t>
            </w:r>
          </w:p>
        </w:tc>
        <w:tc>
          <w:tcPr>
            <w:tcW w:type="dxa" w:w="296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Never use pesticides (including Bt unless extremely targeted) on or near host plants; allow caterpillars to consume foliage without intervention; plant enough host plant that caterpillar feeding does not destroy the entire planting</w:t>
            </w:r>
          </w:p>
        </w:tc>
      </w:tr>
      <w:tr>
        <w:tc>
          <w:tcPr>
            <w:tcW w:type="dxa" w:w="16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Pupa (chrysalis)</w:t>
            </w:r>
          </w:p>
        </w:tc>
        <w:tc>
          <w:tcPr>
            <w:tcW w:type="dxa" w:w="18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 weeks (summer); longer for overwintering species</w:t>
            </w:r>
          </w:p>
        </w:tc>
        <w:tc>
          <w:tcPr>
            <w:tcW w:type="dxa" w:w="30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place to attach and pupate safely; often on nearby structures, stems, or leaf litter rather than on the host plant itself</w:t>
            </w:r>
          </w:p>
        </w:tc>
        <w:tc>
          <w:tcPr>
            <w:tcW w:type="dxa" w:w="296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Leave plant stems, fence posts, and twigs undisturbed; do not disturb leaf litter where some species overwinter as pupae</w:t>
            </w:r>
          </w:p>
        </w:tc>
      </w:tr>
      <w:tr>
        <w:tc>
          <w:tcPr>
            <w:tcW w:type="dxa" w:w="16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Adult (butterfly)</w:t>
            </w:r>
          </w:p>
        </w:tc>
        <w:tc>
          <w:tcPr>
            <w:tcW w:type="dxa" w:w="18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1–2 weeks for most species; 8–9 months for overwintering adults like monarchs and mourning cloaks</w:t>
            </w:r>
          </w:p>
        </w:tc>
        <w:tc>
          <w:tcPr>
            <w:tcW w:type="dxa" w:w="30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Nectar sources; puddling areas (moisture and minerals); basking sites (warm, flat surfaces in sun); shelter from wind and rain</w:t>
            </w:r>
          </w:p>
        </w:tc>
        <w:tc>
          <w:tcPr>
            <w:tcW w:type="dxa" w:w="296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Diverse nectar flowers throughout the season; a shallow puddling area; flat stones for basking; wind shelter from hedgerows or structures</w:t>
            </w:r>
          </w:p>
        </w:tc>
      </w:tr>
    </w:tbl>
    <w:p>
      <w:pPr>
        <w:spacing w:before="0" w:after="120"/>
      </w:pPr>
      <w:r>
        <w:t xml:space="preserve"/>
      </w:r>
    </w:p>
    <w:p>
      <w:pPr>
        <w:pBdr>
          <w:bottom w:val="single" w:color="2A1858" w:sz="6" w:space="1"/>
        </w:pBdr>
        <w:spacing w:before="160" w:after="160"/>
      </w:pPr>
      <w:r>
        <w:t xml:space="preserve"/>
      </w:r>
    </w:p>
    <w:p>
      <w:r>
        <w:br w:type="page"/>
      </w:r>
    </w:p>
    <w:p>
      <w:pPr>
        <w:pStyle w:val="Heading1"/>
        <w:spacing w:before="360" w:after="180"/>
      </w:pPr>
      <w:r>
        <w:rPr>
          <w:rFonts w:ascii="Arial" w:cs="Arial" w:eastAsia="Arial" w:hAnsi="Arial"/>
          <w:b/>
          <w:bCs/>
          <w:color w:val="2A1858"/>
          <w:sz w:val="36"/>
          <w:szCs w:val="36"/>
        </w:rPr>
        <w:t xml:space="preserve">Section 1: Butterfly Profiles — 30 Key Species and Their Needs</w:t>
      </w:r>
    </w:p>
    <w:p>
      <w:pPr>
        <w:spacing w:before="120" w:after="160" w:line="285"/>
      </w:pPr>
      <w:r>
        <w:rPr>
          <w:rFonts w:ascii="Arial" w:cs="Arial" w:eastAsia="Arial" w:hAnsi="Arial"/>
          <w:sz w:val="22"/>
          <w:szCs w:val="22"/>
        </w:rPr>
        <w:t xml:space="preserve">The following profiles cover the butterfly species most commonly found in and around American residential gardens. For each species we cover identification, range, host plants (where larvae feed), nectar preferences (what adults drink from), habitat needs, and any conservation considerations. This information is the practical foundation for planting decisions.</w:t>
      </w:r>
    </w:p>
    <w:p>
      <w:pPr>
        <w:pStyle w:val="Heading2"/>
        <w:spacing w:before="240" w:after="120"/>
      </w:pPr>
      <w:r>
        <w:rPr>
          <w:rFonts w:ascii="Arial" w:cs="Arial" w:eastAsia="Arial" w:hAnsi="Arial"/>
          <w:b/>
          <w:bCs/>
          <w:color w:val="1E4020"/>
          <w:sz w:val="28"/>
          <w:szCs w:val="28"/>
        </w:rPr>
        <w:t xml:space="preserve">Group 1: Swallowtails (Papilionidae) — The Garden’s Largest Butterflies</w:t>
      </w:r>
    </w:p>
    <w:p>
      <w:pPr>
        <w:spacing w:before="60" w:after="100" w:line="285"/>
      </w:pPr>
      <w:r>
        <w:rPr>
          <w:rFonts w:ascii="Arial" w:cs="Arial" w:eastAsia="Arial" w:hAnsi="Arial"/>
          <w:sz w:val="22"/>
          <w:szCs w:val="22"/>
        </w:rPr>
        <w:t xml:space="preserve">Swallowtails are the largest and most dramatic butterflies in most American gardens, with wingspans of 3 to 5 inches. They are active, conspicuous visitors and among the most beloved of all garden butterflies. Each species has specific, often tightly defined host plant requirements.</w:t>
      </w:r>
    </w:p>
    <w:p>
      <w:pPr>
        <w:spacing w:before="0" w:after="6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800"/>
        <w:gridCol w:w="2400"/>
        <w:gridCol w:w="2200"/>
        <w:gridCol w:w="1260"/>
      </w:tblGrid>
      <w:tr>
        <w:trPr>
          <w:tblHeader/>
        </w:trPr>
        <w:tc>
          <w:tcPr>
            <w:tcW w:type="dxa" w:w="2000"/>
            <w:tcBorders>
              <w:top w:val="single" w:color="1E4020" w:sz="1"/>
              <w:left w:val="single" w:color="1E4020" w:sz="1"/>
              <w:bottom w:val="single" w:color="1E4020" w:sz="1"/>
              <w:right w:val="single" w:color="1E4020" w:sz="1"/>
            </w:tcBorders>
            <w:shd w:fill="1E4020" w:val="clear"/>
            <w:tcMar>
              <w:top w:type="dxa" w:w="80"/>
              <w:left w:type="dxa" w:w="120"/>
              <w:bottom w:type="dxa" w:w="80"/>
              <w:right w:type="dxa" w:w="120"/>
            </w:tcMar>
          </w:tcPr>
          <w:p>
            <w:r>
              <w:rPr>
                <w:rFonts w:ascii="Arial" w:cs="Arial" w:eastAsia="Arial" w:hAnsi="Arial"/>
                <w:b/>
                <w:bCs/>
                <w:color w:val="FFFFFF"/>
                <w:sz w:val="20"/>
                <w:szCs w:val="20"/>
              </w:rPr>
              <w:t xml:space="preserve">Species</w:t>
            </w:r>
          </w:p>
        </w:tc>
        <w:tc>
          <w:tcPr>
            <w:tcW w:type="dxa" w:w="1700"/>
            <w:tcBorders>
              <w:top w:val="single" w:color="1E4020" w:sz="1"/>
              <w:left w:val="single" w:color="1E4020" w:sz="1"/>
              <w:bottom w:val="single" w:color="1E4020" w:sz="1"/>
              <w:right w:val="single" w:color="1E4020" w:sz="1"/>
            </w:tcBorders>
            <w:shd w:fill="1E4020"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1800"/>
            <w:tcBorders>
              <w:top w:val="single" w:color="1E4020" w:sz="1"/>
              <w:left w:val="single" w:color="1E4020" w:sz="1"/>
              <w:bottom w:val="single" w:color="1E4020" w:sz="1"/>
              <w:right w:val="single" w:color="1E4020" w:sz="1"/>
            </w:tcBorders>
            <w:shd w:fill="1E4020" w:val="clear"/>
            <w:tcMar>
              <w:top w:type="dxa" w:w="80"/>
              <w:left w:type="dxa" w:w="120"/>
              <w:bottom w:type="dxa" w:w="80"/>
              <w:right w:type="dxa" w:w="120"/>
            </w:tcMar>
          </w:tcPr>
          <w:p>
            <w:r>
              <w:rPr>
                <w:rFonts w:ascii="Arial" w:cs="Arial" w:eastAsia="Arial" w:hAnsi="Arial"/>
                <w:b/>
                <w:bCs/>
                <w:color w:val="FFFFFF"/>
                <w:sz w:val="20"/>
                <w:szCs w:val="20"/>
              </w:rPr>
              <w:t xml:space="preserve">Identification</w:t>
            </w:r>
          </w:p>
        </w:tc>
        <w:tc>
          <w:tcPr>
            <w:tcW w:type="dxa" w:w="2400"/>
            <w:tcBorders>
              <w:top w:val="single" w:color="1E4020" w:sz="1"/>
              <w:left w:val="single" w:color="1E4020" w:sz="1"/>
              <w:bottom w:val="single" w:color="1E4020" w:sz="1"/>
              <w:right w:val="single" w:color="1E4020" w:sz="1"/>
            </w:tcBorders>
            <w:shd w:fill="1E4020" w:val="clear"/>
            <w:tcMar>
              <w:top w:type="dxa" w:w="80"/>
              <w:left w:type="dxa" w:w="120"/>
              <w:bottom w:type="dxa" w:w="80"/>
              <w:right w:type="dxa" w:w="120"/>
            </w:tcMar>
          </w:tcPr>
          <w:p>
            <w:r>
              <w:rPr>
                <w:rFonts w:ascii="Arial" w:cs="Arial" w:eastAsia="Arial" w:hAnsi="Arial"/>
                <w:b/>
                <w:bCs/>
                <w:color w:val="FFFFFF"/>
                <w:sz w:val="20"/>
                <w:szCs w:val="20"/>
              </w:rPr>
              <w:t xml:space="preserve">Host Plants</w:t>
            </w:r>
          </w:p>
        </w:tc>
        <w:tc>
          <w:tcPr>
            <w:tcW w:type="dxa" w:w="2200"/>
            <w:tcBorders>
              <w:top w:val="single" w:color="1E4020" w:sz="1"/>
              <w:left w:val="single" w:color="1E4020" w:sz="1"/>
              <w:bottom w:val="single" w:color="1E4020" w:sz="1"/>
              <w:right w:val="single" w:color="1E4020" w:sz="1"/>
            </w:tcBorders>
            <w:shd w:fill="1E4020" w:val="clear"/>
            <w:tcMar>
              <w:top w:type="dxa" w:w="80"/>
              <w:left w:type="dxa" w:w="120"/>
              <w:bottom w:type="dxa" w:w="80"/>
              <w:right w:type="dxa" w:w="120"/>
            </w:tcMar>
          </w:tcPr>
          <w:p>
            <w:r>
              <w:rPr>
                <w:rFonts w:ascii="Arial" w:cs="Arial" w:eastAsia="Arial" w:hAnsi="Arial"/>
                <w:b/>
                <w:bCs/>
                <w:color w:val="FFFFFF"/>
                <w:sz w:val="20"/>
                <w:szCs w:val="20"/>
              </w:rPr>
              <w:t xml:space="preserve">Nectar Favorites</w:t>
            </w:r>
          </w:p>
        </w:tc>
        <w:tc>
          <w:tcPr>
            <w:tcW w:type="dxa" w:w="1260"/>
            <w:tcBorders>
              <w:top w:val="single" w:color="1E4020" w:sz="1"/>
              <w:left w:val="single" w:color="1E4020" w:sz="1"/>
              <w:bottom w:val="single" w:color="1E4020" w:sz="1"/>
              <w:right w:val="single" w:color="1E4020" w:sz="1"/>
            </w:tcBorders>
            <w:shd w:fill="1E4020" w:val="clear"/>
            <w:tcMar>
              <w:top w:type="dxa" w:w="80"/>
              <w:left w:type="dxa" w:w="120"/>
              <w:bottom w:type="dxa" w:w="80"/>
              <w:right w:type="dxa" w:w="120"/>
            </w:tcMar>
          </w:tcPr>
          <w:p>
            <w:r>
              <w:rPr>
                <w:rFonts w:ascii="Arial" w:cs="Arial" w:eastAsia="Arial" w:hAnsi="Arial"/>
                <w:b/>
                <w:bCs/>
                <w:color w:val="FFFFFF"/>
                <w:sz w:val="20"/>
                <w:szCs w:val="20"/>
              </w:rPr>
              <w:t xml:space="preserve">Garden Notes</w:t>
            </w:r>
          </w:p>
        </w:tc>
      </w:tr>
      <w:tr>
        <w:tc>
          <w:tcPr>
            <w:tcW w:type="dxa" w:w="20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Monarch
(Danaus plexippus)</w:t>
            </w:r>
          </w:p>
        </w:tc>
        <w:tc>
          <w:tcPr>
            <w:tcW w:type="dxa" w:w="17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Breeds across most of the US east of the Rockies; western population in California; migrates to Mexico (eastern) or California coast (western) for winter</w:t>
            </w:r>
          </w:p>
        </w:tc>
        <w:tc>
          <w:tcPr>
            <w:tcW w:type="dxa" w:w="18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Unmistakable: brilliant orange with black veins and white-spotted black borders; 3.5–4.5 inch wingspan</w:t>
            </w:r>
          </w:p>
        </w:tc>
        <w:tc>
          <w:tcPr>
            <w:tcW w:type="dxa" w:w="24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MILKWEED ONLY (Asclepias spp.) — any native milkweed species appropriate to your region. Toxic cardiac glycosides absorbed from milkweed make monarchs unpalatable to many predators.</w:t>
            </w:r>
          </w:p>
        </w:tc>
        <w:tc>
          <w:tcPr>
            <w:tcW w:type="dxa" w:w="22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Milkweed flowers, coneflower, ironweed, goldenrod, Joe-Pye weed, native asters, lantana, zinnia, native thistles</w:t>
            </w:r>
          </w:p>
        </w:tc>
        <w:tc>
          <w:tcPr>
            <w:tcW w:type="dxa" w:w="126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iconic butterfly garden species. The monarch migration (late summer/fall) is one of the most extraordinary wildlife events in North America. Plant milkweed of regional native species; avoid tropical milkweed (Asclepias curassavica) in the South where it disrupts migration.</w:t>
            </w:r>
          </w:p>
        </w:tc>
      </w:tr>
      <w:tr>
        <w:tc>
          <w:tcPr>
            <w:tcW w:type="dxa" w:w="20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Eastern Tiger Swallowtail
(Papilio glaucus)</w:t>
            </w:r>
          </w:p>
        </w:tc>
        <w:tc>
          <w:tcPr>
            <w:tcW w:type="dxa" w:w="17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Eastern US east of the Rockies; most abundant large swallowtail of the East</w:t>
            </w:r>
          </w:p>
        </w:tc>
        <w:tc>
          <w:tcPr>
            <w:tcW w:type="dxa" w:w="18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Brilliant yellow with black tiger stripes; blue on hindwing females; 3.5–5.5 in. Dark form females are all-black with blue on hindwing.</w:t>
            </w:r>
          </w:p>
        </w:tc>
        <w:tc>
          <w:tcPr>
            <w:tcW w:type="dxa" w:w="24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Wild cherry (Prunus serotina), tulip poplar (Liriodendron tulipifera), sweet bay magnolia (Magnolia virginiana), white ash (Fraxinus americana), cottonwood (Populus), willow (Salix), birch (Betula)</w:t>
            </w:r>
          </w:p>
        </w:tc>
        <w:tc>
          <w:tcPr>
            <w:tcW w:type="dxa" w:w="22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Joe-Pye weed, butterfly bush (non-invasive alternatives preferred), milkweed, phlox, ironweed, wild bergamot, native thistles, lilac</w:t>
            </w:r>
          </w:p>
        </w:tc>
        <w:tc>
          <w:tcPr>
            <w:tcW w:type="dxa" w:w="126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One of the most common and most spectacular garden swallowtails in the East. Plant wild cherry or tulip poplar for host access; one mature native cherry tree provides host plant for multiple generations.</w:t>
            </w:r>
          </w:p>
        </w:tc>
      </w:tr>
      <w:tr>
        <w:tc>
          <w:tcPr>
            <w:tcW w:type="dxa" w:w="20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Western Tiger Swallowtail
(Papilio rutulus)</w:t>
            </w:r>
          </w:p>
        </w:tc>
        <w:tc>
          <w:tcPr>
            <w:tcW w:type="dxa" w:w="17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Western US west of the Rockies; Pacific Coast to the Rockies</w:t>
            </w:r>
          </w:p>
        </w:tc>
        <w:tc>
          <w:tcPr>
            <w:tcW w:type="dxa" w:w="18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Similar to Eastern Tiger Swallowtail; yellow with black stripes; blue on hindwing; white spots along wing margins</w:t>
            </w:r>
          </w:p>
        </w:tc>
        <w:tc>
          <w:tcPr>
            <w:tcW w:type="dxa" w:w="24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Willow (Salix), cottonwood (Populus), alder (Alnus), sycamore (Platanus), wild cherry (Prunus)</w:t>
            </w:r>
          </w:p>
        </w:tc>
        <w:tc>
          <w:tcPr>
            <w:tcW w:type="dxa" w:w="22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Milkweed, Joe-Pye weed, native asters, goldenrod, showy milkweed, penstemon, native thistles</w:t>
            </w:r>
          </w:p>
        </w:tc>
        <w:tc>
          <w:tcPr>
            <w:tcW w:type="dxa" w:w="126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western counterpart to Eastern Tiger; equally spectacular. Plant willows or cottonwoods along streams or in moist areas; extremely common in riparian habitats.</w:t>
            </w:r>
          </w:p>
        </w:tc>
      </w:tr>
      <w:tr>
        <w:tc>
          <w:tcPr>
            <w:tcW w:type="dxa" w:w="20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Black Swallowtail
(Papilio polyxenes)</w:t>
            </w:r>
          </w:p>
        </w:tc>
        <w:tc>
          <w:tcPr>
            <w:tcW w:type="dxa" w:w="17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Throughout the US east of the Rockies; less common in the far west</w:t>
            </w:r>
          </w:p>
        </w:tc>
        <w:tc>
          <w:tcPr>
            <w:tcW w:type="dxa" w:w="18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Black with yellow spots in two rows across wings; blue on hindwing; orange eyespot; 2.5–3.5 in</w:t>
            </w:r>
          </w:p>
        </w:tc>
        <w:tc>
          <w:tcPr>
            <w:tcW w:type="dxa" w:w="24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Carrot family (Apiaceae): parsley, dill, fennel, Queen Anne’s lace, golden Alexander (Zizia aurea), water hemlock (do not cultivate)</w:t>
            </w:r>
          </w:p>
        </w:tc>
        <w:tc>
          <w:tcPr>
            <w:tcW w:type="dxa" w:w="22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Milkweed, native thistles, red clover, phlox, ironweed, Joe-Pye weed, native asters</w:t>
            </w:r>
          </w:p>
        </w:tc>
        <w:tc>
          <w:tcPr>
            <w:tcW w:type="dxa" w:w="126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Plant dill, parsley, or fennel as host plants in the herb garden; also plant golden Alexander (Zizia aurea) as a native host alternative. Caterpillars are beautiful: green with black and yellow bands; do not confuse with garden pests.</w:t>
            </w:r>
          </w:p>
        </w:tc>
      </w:tr>
      <w:tr>
        <w:tc>
          <w:tcPr>
            <w:tcW w:type="dxa" w:w="20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Anise Swallowtail
(Papilio zelicaon)</w:t>
            </w:r>
          </w:p>
        </w:tc>
        <w:tc>
          <w:tcPr>
            <w:tcW w:type="dxa" w:w="17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Western US: Pacific Coast states, Rockies, Southwest</w:t>
            </w:r>
          </w:p>
        </w:tc>
        <w:tc>
          <w:tcPr>
            <w:tcW w:type="dxa" w:w="18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Similar to Black Swallowtail; black with yellow spots; blue hindwing band; yellow median spot band narrower</w:t>
            </w:r>
          </w:p>
        </w:tc>
        <w:tc>
          <w:tcPr>
            <w:tcW w:type="dxa" w:w="24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Carrot family: fennel (introduced and widely available), golden Alexander (Zizia), native carrot-family plants, desert parsley (Lomatium spp. — important native host)</w:t>
            </w:r>
          </w:p>
        </w:tc>
        <w:tc>
          <w:tcPr>
            <w:tcW w:type="dxa" w:w="22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Native thistles, milkweed, native asters, penstemon, clover</w:t>
            </w:r>
          </w:p>
        </w:tc>
        <w:tc>
          <w:tcPr>
            <w:tcW w:type="dxa" w:w="126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western counterpart to Black Swallowtail. Lomatium species (desert parsley) are the most ecologically appropriate native host plants for western gardens; they also provide exceptional habitat for native bees.</w:t>
            </w:r>
          </w:p>
        </w:tc>
      </w:tr>
      <w:tr>
        <w:tc>
          <w:tcPr>
            <w:tcW w:type="dxa" w:w="20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Giant Swallowtail
(Papilio cresphontes)</w:t>
            </w:r>
          </w:p>
        </w:tc>
        <w:tc>
          <w:tcPr>
            <w:tcW w:type="dxa" w:w="17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Southeastern US, Midwest, expanding range northward</w:t>
            </w:r>
          </w:p>
        </w:tc>
        <w:tc>
          <w:tcPr>
            <w:tcW w:type="dxa" w:w="18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Largest butterfly in North America: 4–6 in wingspan; dark brown-black with yellow spots forming X-pattern; yellow underside</w:t>
            </w:r>
          </w:p>
        </w:tc>
        <w:tc>
          <w:tcPr>
            <w:tcW w:type="dxa" w:w="24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Rue family (Rutaceae): wild lime (Zanthoxylum fagara), Hercules’ club (Zanthoxylum clava-herculis), hop tree (Ptelea trifoliata), common rue (Ruta graveolens) as garden host; also prickly ash (Zanthoxylum americanum)</w:t>
            </w:r>
          </w:p>
        </w:tc>
        <w:tc>
          <w:tcPr>
            <w:tcW w:type="dxa" w:w="22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Goldenrod, native thistles, milkweed, ironweed, wild bergamot, lantana</w:t>
            </w:r>
          </w:p>
        </w:tc>
        <w:tc>
          <w:tcPr>
            <w:tcW w:type="dxa" w:w="126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Caterpillar mimics bird droppings (brown and white; truly convincing). Plant hop tree (Ptelea trifoliata) — a beautiful, underused native small tree that serves as host plant.</w:t>
            </w:r>
          </w:p>
        </w:tc>
      </w:tr>
      <w:tr>
        <w:tc>
          <w:tcPr>
            <w:tcW w:type="dxa" w:w="20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Pipevine Swallowtail
(Battus philenor)</w:t>
            </w:r>
          </w:p>
        </w:tc>
        <w:tc>
          <w:tcPr>
            <w:tcW w:type="dxa" w:w="17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Southeastern US through Midwest; expanding range with climate change; also coastal California</w:t>
            </w:r>
          </w:p>
        </w:tc>
        <w:tc>
          <w:tcPr>
            <w:tcW w:type="dxa" w:w="18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Brilliant iridescent blue on hindwing upper side; primarily black; one of the most beautiful American butterflies</w:t>
            </w:r>
          </w:p>
        </w:tc>
        <w:tc>
          <w:tcPr>
            <w:tcW w:type="dxa" w:w="24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PIPEVINE ONLY (Aristolochia spp.): Dutchman’s pipe (A. macrophylla), Virginia snakeroot (A. serpentaria), California pipevine (A. californica). Aristolochic acids make both caterpillar and adult toxic to predators, driving mimicry by several other butterfly species.</w:t>
            </w:r>
          </w:p>
        </w:tc>
        <w:tc>
          <w:tcPr>
            <w:tcW w:type="dxa" w:w="22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Native thistles, ironweed, milkweed, native asters, Joe-Pye weed, phlox</w:t>
            </w:r>
          </w:p>
        </w:tc>
        <w:tc>
          <w:tcPr>
            <w:tcW w:type="dxa" w:w="126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Plant Dutchman’s pipe vine as a fast-growing trellis vine; plant Virginia snakeroot as a woodland host. Female pipevine swallowtails are extremely exacting — they will search intensively for Aristolochia.</w:t>
            </w:r>
          </w:p>
        </w:tc>
      </w:tr>
      <w:tr>
        <w:tc>
          <w:tcPr>
            <w:tcW w:type="dxa" w:w="20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Spicebush Swallowtail
(Papilio troilus)</w:t>
            </w:r>
          </w:p>
        </w:tc>
        <w:tc>
          <w:tcPr>
            <w:tcW w:type="dxa" w:w="17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Eastern US; most common in moist, shaded areas with spicebush understory</w:t>
            </w:r>
          </w:p>
        </w:tc>
        <w:tc>
          <w:tcPr>
            <w:tcW w:type="dxa" w:w="18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Dark with blue on hindwing and row of orange spots; females more blue; distinctive; 3.5–4.5 in</w:t>
            </w:r>
          </w:p>
        </w:tc>
        <w:tc>
          <w:tcPr>
            <w:tcW w:type="dxa" w:w="24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Spicebush (Lindera benzoin) primary; also sassafras (Sassafras albidum), sweetbay magnolia (Magnolia virginiana)</w:t>
            </w:r>
          </w:p>
        </w:tc>
        <w:tc>
          <w:tcPr>
            <w:tcW w:type="dxa" w:w="22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Joe-Pye weed, native thistles, milkweed, ironweed, wild bergamot, phlox</w:t>
            </w:r>
          </w:p>
        </w:tc>
        <w:tc>
          <w:tcPr>
            <w:tcW w:type="dxa" w:w="126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Plant spicebush as a shrub in shaded or part-shaded areas; it is an outstanding native shrub for all-season interest (aromatic leaves, yellow spring flowers, red fall berries). The caterpillar is one of the garden’s most amazing: rolls itself in a leaf with enormous false eyes.</w:t>
            </w:r>
          </w:p>
        </w:tc>
      </w:tr>
    </w:tbl>
    <w:p>
      <w:pPr>
        <w:spacing w:before="0" w:after="120"/>
      </w:pPr>
      <w:r>
        <w:t xml:space="preserve"/>
      </w:r>
    </w:p>
    <w:p>
      <w:pPr>
        <w:pStyle w:val="Heading2"/>
        <w:spacing w:before="240" w:after="120"/>
      </w:pPr>
      <w:r>
        <w:rPr>
          <w:rFonts w:ascii="Arial" w:cs="Arial" w:eastAsia="Arial" w:hAnsi="Arial"/>
          <w:b/>
          <w:bCs/>
          <w:color w:val="1E4020"/>
          <w:sz w:val="28"/>
          <w:szCs w:val="28"/>
        </w:rPr>
        <w:t xml:space="preserve">Group 2: Monarchs &amp; Milkweed Butterflies (Nymphalidae — Danainae)</w:t>
      </w:r>
    </w:p>
    <w:p>
      <w:pPr>
        <w:spacing w:before="60" w:after="80" w:line="285"/>
      </w:pPr>
      <w:r>
        <w:rPr>
          <w:rFonts w:ascii="Arial" w:cs="Arial" w:eastAsia="Arial" w:hAnsi="Arial"/>
          <w:sz w:val="22"/>
          <w:szCs w:val="22"/>
        </w:rPr>
        <w:t xml:space="preserve">The monarch is covered in the swallowtail group above (though technically a milkweed butterfly). The following covers the viceroy and related species.</w:t>
      </w:r>
    </w:p>
    <w:p>
      <w:pPr>
        <w:spacing w:before="0" w:after="6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800"/>
        <w:gridCol w:w="2400"/>
        <w:gridCol w:w="2200"/>
        <w:gridCol w:w="1260"/>
      </w:tblGrid>
      <w:tr>
        <w:trPr>
          <w:tblHeader/>
        </w:trPr>
        <w:tc>
          <w:tcPr>
            <w:tcW w:type="dxa" w:w="2000"/>
            <w:tcBorders>
              <w:top w:val="single" w:color="2A1858" w:sz="1"/>
              <w:left w:val="single" w:color="2A1858" w:sz="1"/>
              <w:bottom w:val="single" w:color="2A1858" w:sz="1"/>
              <w:right w:val="single" w:color="2A1858" w:sz="1"/>
            </w:tcBorders>
            <w:shd w:fill="2A1858" w:val="clear"/>
            <w:tcMar>
              <w:top w:type="dxa" w:w="80"/>
              <w:left w:type="dxa" w:w="120"/>
              <w:bottom w:type="dxa" w:w="80"/>
              <w:right w:type="dxa" w:w="120"/>
            </w:tcMar>
          </w:tcPr>
          <w:p>
            <w:r>
              <w:rPr>
                <w:rFonts w:ascii="Arial" w:cs="Arial" w:eastAsia="Arial" w:hAnsi="Arial"/>
                <w:b/>
                <w:bCs/>
                <w:color w:val="FFFFFF"/>
                <w:sz w:val="20"/>
                <w:szCs w:val="20"/>
              </w:rPr>
              <w:t xml:space="preserve">Species</w:t>
            </w:r>
          </w:p>
        </w:tc>
        <w:tc>
          <w:tcPr>
            <w:tcW w:type="dxa" w:w="1700"/>
            <w:tcBorders>
              <w:top w:val="single" w:color="2A1858" w:sz="1"/>
              <w:left w:val="single" w:color="2A1858" w:sz="1"/>
              <w:bottom w:val="single" w:color="2A1858" w:sz="1"/>
              <w:right w:val="single" w:color="2A1858" w:sz="1"/>
            </w:tcBorders>
            <w:shd w:fill="2A1858"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1800"/>
            <w:tcBorders>
              <w:top w:val="single" w:color="2A1858" w:sz="1"/>
              <w:left w:val="single" w:color="2A1858" w:sz="1"/>
              <w:bottom w:val="single" w:color="2A1858" w:sz="1"/>
              <w:right w:val="single" w:color="2A1858" w:sz="1"/>
            </w:tcBorders>
            <w:shd w:fill="2A1858" w:val="clear"/>
            <w:tcMar>
              <w:top w:type="dxa" w:w="80"/>
              <w:left w:type="dxa" w:w="120"/>
              <w:bottom w:type="dxa" w:w="80"/>
              <w:right w:type="dxa" w:w="120"/>
            </w:tcMar>
          </w:tcPr>
          <w:p>
            <w:r>
              <w:rPr>
                <w:rFonts w:ascii="Arial" w:cs="Arial" w:eastAsia="Arial" w:hAnsi="Arial"/>
                <w:b/>
                <w:bCs/>
                <w:color w:val="FFFFFF"/>
                <w:sz w:val="20"/>
                <w:szCs w:val="20"/>
              </w:rPr>
              <w:t xml:space="preserve">Identification</w:t>
            </w:r>
          </w:p>
        </w:tc>
        <w:tc>
          <w:tcPr>
            <w:tcW w:type="dxa" w:w="2400"/>
            <w:tcBorders>
              <w:top w:val="single" w:color="2A1858" w:sz="1"/>
              <w:left w:val="single" w:color="2A1858" w:sz="1"/>
              <w:bottom w:val="single" w:color="2A1858" w:sz="1"/>
              <w:right w:val="single" w:color="2A1858" w:sz="1"/>
            </w:tcBorders>
            <w:shd w:fill="2A1858" w:val="clear"/>
            <w:tcMar>
              <w:top w:type="dxa" w:w="80"/>
              <w:left w:type="dxa" w:w="120"/>
              <w:bottom w:type="dxa" w:w="80"/>
              <w:right w:type="dxa" w:w="120"/>
            </w:tcMar>
          </w:tcPr>
          <w:p>
            <w:r>
              <w:rPr>
                <w:rFonts w:ascii="Arial" w:cs="Arial" w:eastAsia="Arial" w:hAnsi="Arial"/>
                <w:b/>
                <w:bCs/>
                <w:color w:val="FFFFFF"/>
                <w:sz w:val="20"/>
                <w:szCs w:val="20"/>
              </w:rPr>
              <w:t xml:space="preserve">Host Plants</w:t>
            </w:r>
          </w:p>
        </w:tc>
        <w:tc>
          <w:tcPr>
            <w:tcW w:type="dxa" w:w="2200"/>
            <w:tcBorders>
              <w:top w:val="single" w:color="2A1858" w:sz="1"/>
              <w:left w:val="single" w:color="2A1858" w:sz="1"/>
              <w:bottom w:val="single" w:color="2A1858" w:sz="1"/>
              <w:right w:val="single" w:color="2A1858" w:sz="1"/>
            </w:tcBorders>
            <w:shd w:fill="2A1858" w:val="clear"/>
            <w:tcMar>
              <w:top w:type="dxa" w:w="80"/>
              <w:left w:type="dxa" w:w="120"/>
              <w:bottom w:type="dxa" w:w="80"/>
              <w:right w:type="dxa" w:w="120"/>
            </w:tcMar>
          </w:tcPr>
          <w:p>
            <w:r>
              <w:rPr>
                <w:rFonts w:ascii="Arial" w:cs="Arial" w:eastAsia="Arial" w:hAnsi="Arial"/>
                <w:b/>
                <w:bCs/>
                <w:color w:val="FFFFFF"/>
                <w:sz w:val="20"/>
                <w:szCs w:val="20"/>
              </w:rPr>
              <w:t xml:space="preserve">Nectar Favorites</w:t>
            </w:r>
          </w:p>
        </w:tc>
        <w:tc>
          <w:tcPr>
            <w:tcW w:type="dxa" w:w="1260"/>
            <w:tcBorders>
              <w:top w:val="single" w:color="2A1858" w:sz="1"/>
              <w:left w:val="single" w:color="2A1858" w:sz="1"/>
              <w:bottom w:val="single" w:color="2A1858" w:sz="1"/>
              <w:right w:val="single" w:color="2A1858" w:sz="1"/>
            </w:tcBorders>
            <w:shd w:fill="2A1858" w:val="clear"/>
            <w:tcMar>
              <w:top w:type="dxa" w:w="80"/>
              <w:left w:type="dxa" w:w="120"/>
              <w:bottom w:type="dxa" w:w="80"/>
              <w:right w:type="dxa" w:w="120"/>
            </w:tcMar>
          </w:tcPr>
          <w:p>
            <w:r>
              <w:rPr>
                <w:rFonts w:ascii="Arial" w:cs="Arial" w:eastAsia="Arial" w:hAnsi="Arial"/>
                <w:b/>
                <w:bCs/>
                <w:color w:val="FFFFFF"/>
                <w:sz w:val="20"/>
                <w:szCs w:val="20"/>
              </w:rPr>
              <w:t xml:space="preserve">Garden Notes</w:t>
            </w:r>
          </w:p>
        </w:tc>
      </w:tr>
      <w:tr>
        <w:tc>
          <w:tcPr>
            <w:tcW w:type="dxa" w:w="20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Viceroy
(Limenitis archippus)</w:t>
            </w:r>
          </w:p>
        </w:tc>
        <w:tc>
          <w:tcPr>
            <w:tcW w:type="dxa" w:w="17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Eastern two-thirds of the US</w:t>
            </w:r>
          </w:p>
        </w:tc>
        <w:tc>
          <w:tcPr>
            <w:tcW w:type="dxa" w:w="18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Mimics monarch nearly perfectly; distinguished by the black postmedian line crossing the hindwing (absent in monarch); slightly smaller (2.5–3.5 in)</w:t>
            </w:r>
          </w:p>
        </w:tc>
        <w:tc>
          <w:tcPr>
            <w:tcW w:type="dxa" w:w="24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Willow (Salix) primarily; also cottonwood (Populus), aspen (Populus tremuloides), apple (Malus), wild cherry (Prunus)</w:t>
            </w:r>
          </w:p>
        </w:tc>
        <w:tc>
          <w:tcPr>
            <w:tcW w:type="dxa" w:w="22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Goldenrod, native asters, native thistles, Joe-Pye weed, milkweed</w:t>
            </w:r>
          </w:p>
        </w:tc>
        <w:tc>
          <w:tcPr>
            <w:tcW w:type="dxa" w:w="126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viceroy is not a ‘fake monarch’ — it is itself distasteful to predators and benefits from a mutual mimicry relationship with the monarch. A garden near willows or cottonwoods will attract viceroys.</w:t>
            </w:r>
          </w:p>
        </w:tc>
      </w:tr>
      <w:tr>
        <w:tc>
          <w:tcPr>
            <w:tcW w:type="dxa" w:w="20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Queen
(Danaus gilippus)</w:t>
            </w:r>
          </w:p>
        </w:tc>
        <w:tc>
          <w:tcPr>
            <w:tcW w:type="dxa" w:w="17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Southern US: Florida, Gulf Coast, Southwest, California</w:t>
            </w:r>
          </w:p>
        </w:tc>
        <w:tc>
          <w:tcPr>
            <w:tcW w:type="dxa" w:w="18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Similar to monarch but darker, more mahogany-brown; white spots on forewing; black veins less prominent; 3–3.5 in</w:t>
            </w:r>
          </w:p>
        </w:tc>
        <w:tc>
          <w:tcPr>
            <w:tcW w:type="dxa" w:w="24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Milkweed (Asclepias spp.) exclusively; several species of native milkweed appropriate to the South and Southwest</w:t>
            </w:r>
          </w:p>
        </w:tc>
        <w:tc>
          <w:tcPr>
            <w:tcW w:type="dxa" w:w="22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Milkweed flowers, native asters, goldenrod, native thistles, lantana</w:t>
            </w:r>
          </w:p>
        </w:tc>
        <w:tc>
          <w:tcPr>
            <w:tcW w:type="dxa" w:w="126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The southern counterpart to the monarch; often seen in company with monarchs on milkweed. Tropical milkweed (A. curassavica) is appropriate in Zone 9+ where it is annual; use native species where available.</w:t>
            </w:r>
          </w:p>
        </w:tc>
      </w:tr>
    </w:tbl>
    <w:p>
      <w:pPr>
        <w:spacing w:before="0" w:after="120"/>
      </w:pPr>
      <w:r>
        <w:t xml:space="preserve"/>
      </w:r>
    </w:p>
    <w:p>
      <w:pPr>
        <w:pStyle w:val="Heading2"/>
        <w:spacing w:before="240" w:after="120"/>
      </w:pPr>
      <w:r>
        <w:rPr>
          <w:rFonts w:ascii="Arial" w:cs="Arial" w:eastAsia="Arial" w:hAnsi="Arial"/>
          <w:b/>
          <w:bCs/>
          <w:color w:val="1E4020"/>
          <w:sz w:val="28"/>
          <w:szCs w:val="28"/>
        </w:rPr>
        <w:t xml:space="preserve">Group 3: Brushfoots (Nymphalidae) — The Most Diverse Garden Group</w:t>
      </w:r>
    </w:p>
    <w:p>
      <w:pPr>
        <w:spacing w:before="0" w:after="6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800"/>
        <w:gridCol w:w="2400"/>
        <w:gridCol w:w="2100"/>
        <w:gridCol w:w="1360"/>
      </w:tblGrid>
      <w:tr>
        <w:trPr>
          <w:tblHeader/>
        </w:trPr>
        <w:tc>
          <w:tcPr>
            <w:tcW w:type="dxa" w:w="2000"/>
            <w:tcBorders>
              <w:top w:val="single" w:color="1E4020" w:sz="1"/>
              <w:left w:val="single" w:color="1E4020" w:sz="1"/>
              <w:bottom w:val="single" w:color="1E4020" w:sz="1"/>
              <w:right w:val="single" w:color="1E4020" w:sz="1"/>
            </w:tcBorders>
            <w:shd w:fill="1E4020" w:val="clear"/>
            <w:tcMar>
              <w:top w:type="dxa" w:w="80"/>
              <w:left w:type="dxa" w:w="120"/>
              <w:bottom w:type="dxa" w:w="80"/>
              <w:right w:type="dxa" w:w="120"/>
            </w:tcMar>
          </w:tcPr>
          <w:p>
            <w:r>
              <w:rPr>
                <w:rFonts w:ascii="Arial" w:cs="Arial" w:eastAsia="Arial" w:hAnsi="Arial"/>
                <w:b/>
                <w:bCs/>
                <w:color w:val="FFFFFF"/>
                <w:sz w:val="20"/>
                <w:szCs w:val="20"/>
              </w:rPr>
              <w:t xml:space="preserve">Species</w:t>
            </w:r>
          </w:p>
        </w:tc>
        <w:tc>
          <w:tcPr>
            <w:tcW w:type="dxa" w:w="1700"/>
            <w:tcBorders>
              <w:top w:val="single" w:color="1E4020" w:sz="1"/>
              <w:left w:val="single" w:color="1E4020" w:sz="1"/>
              <w:bottom w:val="single" w:color="1E4020" w:sz="1"/>
              <w:right w:val="single" w:color="1E4020" w:sz="1"/>
            </w:tcBorders>
            <w:shd w:fill="1E4020"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1800"/>
            <w:tcBorders>
              <w:top w:val="single" w:color="1E4020" w:sz="1"/>
              <w:left w:val="single" w:color="1E4020" w:sz="1"/>
              <w:bottom w:val="single" w:color="1E4020" w:sz="1"/>
              <w:right w:val="single" w:color="1E4020" w:sz="1"/>
            </w:tcBorders>
            <w:shd w:fill="1E4020" w:val="clear"/>
            <w:tcMar>
              <w:top w:type="dxa" w:w="80"/>
              <w:left w:type="dxa" w:w="120"/>
              <w:bottom w:type="dxa" w:w="80"/>
              <w:right w:type="dxa" w:w="120"/>
            </w:tcMar>
          </w:tcPr>
          <w:p>
            <w:r>
              <w:rPr>
                <w:rFonts w:ascii="Arial" w:cs="Arial" w:eastAsia="Arial" w:hAnsi="Arial"/>
                <w:b/>
                <w:bCs/>
                <w:color w:val="FFFFFF"/>
                <w:sz w:val="20"/>
                <w:szCs w:val="20"/>
              </w:rPr>
              <w:t xml:space="preserve">Identification</w:t>
            </w:r>
          </w:p>
        </w:tc>
        <w:tc>
          <w:tcPr>
            <w:tcW w:type="dxa" w:w="2400"/>
            <w:tcBorders>
              <w:top w:val="single" w:color="1E4020" w:sz="1"/>
              <w:left w:val="single" w:color="1E4020" w:sz="1"/>
              <w:bottom w:val="single" w:color="1E4020" w:sz="1"/>
              <w:right w:val="single" w:color="1E4020" w:sz="1"/>
            </w:tcBorders>
            <w:shd w:fill="1E4020" w:val="clear"/>
            <w:tcMar>
              <w:top w:type="dxa" w:w="80"/>
              <w:left w:type="dxa" w:w="120"/>
              <w:bottom w:type="dxa" w:w="80"/>
              <w:right w:type="dxa" w:w="120"/>
            </w:tcMar>
          </w:tcPr>
          <w:p>
            <w:r>
              <w:rPr>
                <w:rFonts w:ascii="Arial" w:cs="Arial" w:eastAsia="Arial" w:hAnsi="Arial"/>
                <w:b/>
                <w:bCs/>
                <w:color w:val="FFFFFF"/>
                <w:sz w:val="20"/>
                <w:szCs w:val="20"/>
              </w:rPr>
              <w:t xml:space="preserve">Host Plants</w:t>
            </w:r>
          </w:p>
        </w:tc>
        <w:tc>
          <w:tcPr>
            <w:tcW w:type="dxa" w:w="2100"/>
            <w:tcBorders>
              <w:top w:val="single" w:color="1E4020" w:sz="1"/>
              <w:left w:val="single" w:color="1E4020" w:sz="1"/>
              <w:bottom w:val="single" w:color="1E4020" w:sz="1"/>
              <w:right w:val="single" w:color="1E4020" w:sz="1"/>
            </w:tcBorders>
            <w:shd w:fill="1E4020" w:val="clear"/>
            <w:tcMar>
              <w:top w:type="dxa" w:w="80"/>
              <w:left w:type="dxa" w:w="120"/>
              <w:bottom w:type="dxa" w:w="80"/>
              <w:right w:type="dxa" w:w="120"/>
            </w:tcMar>
          </w:tcPr>
          <w:p>
            <w:r>
              <w:rPr>
                <w:rFonts w:ascii="Arial" w:cs="Arial" w:eastAsia="Arial" w:hAnsi="Arial"/>
                <w:b/>
                <w:bCs/>
                <w:color w:val="FFFFFF"/>
                <w:sz w:val="20"/>
                <w:szCs w:val="20"/>
              </w:rPr>
              <w:t xml:space="preserve">Nectar Favorites</w:t>
            </w:r>
          </w:p>
        </w:tc>
        <w:tc>
          <w:tcPr>
            <w:tcW w:type="dxa" w:w="1360"/>
            <w:tcBorders>
              <w:top w:val="single" w:color="1E4020" w:sz="1"/>
              <w:left w:val="single" w:color="1E4020" w:sz="1"/>
              <w:bottom w:val="single" w:color="1E4020" w:sz="1"/>
              <w:right w:val="single" w:color="1E4020" w:sz="1"/>
            </w:tcBorders>
            <w:shd w:fill="1E4020" w:val="clear"/>
            <w:tcMar>
              <w:top w:type="dxa" w:w="80"/>
              <w:left w:type="dxa" w:w="120"/>
              <w:bottom w:type="dxa" w:w="80"/>
              <w:right w:type="dxa" w:w="120"/>
            </w:tcMar>
          </w:tcPr>
          <w:p>
            <w:r>
              <w:rPr>
                <w:rFonts w:ascii="Arial" w:cs="Arial" w:eastAsia="Arial" w:hAnsi="Arial"/>
                <w:b/>
                <w:bCs/>
                <w:color w:val="FFFFFF"/>
                <w:sz w:val="20"/>
                <w:szCs w:val="20"/>
              </w:rPr>
              <w:t xml:space="preserve">Garden Notes</w:t>
            </w:r>
          </w:p>
        </w:tc>
      </w:tr>
      <w:tr>
        <w:tc>
          <w:tcPr>
            <w:tcW w:type="dxa" w:w="20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Eastern Comma / Question Mark
(Polygonia comma / P. interrogationis)</w:t>
            </w:r>
          </w:p>
        </w:tc>
        <w:tc>
          <w:tcPr>
            <w:tcW w:type="dxa" w:w="17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Eastern US; commas in forests and edges; question marks similar range</w:t>
            </w:r>
          </w:p>
        </w:tc>
        <w:tc>
          <w:tcPr>
            <w:tcW w:type="dxa" w:w="18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Both: orange with dark spots and jagged wing margins; silver comma or question mark mark on hindwing underside; 2–2.5 in. Distinguished by the punctuation mark on underwing.</w:t>
            </w:r>
          </w:p>
        </w:tc>
        <w:tc>
          <w:tcPr>
            <w:tcW w:type="dxa" w:w="24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Nettles (Urtica dioica, U. chamaedryoides), hops (Humulus lupulus), elm (Ulmus), hackberry (Celtis)</w:t>
            </w:r>
          </w:p>
        </w:tc>
        <w:tc>
          <w:tcPr>
            <w:tcW w:type="dxa" w:w="21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Rotting fruit, tree sap, dung preferred; also native asters, goldenrod, milkweed</w:t>
            </w:r>
          </w:p>
        </w:tc>
        <w:tc>
          <w:tcPr>
            <w:tcW w:type="dxa" w:w="136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These species overwinter as adults and are among the first butterflies of spring. They rarely visit flowers, preferring fermented fruit and sap. Plant nettles in a contained area (they spread aggressively) or hops for host plant.</w:t>
            </w:r>
          </w:p>
        </w:tc>
      </w:tr>
      <w:tr>
        <w:tc>
          <w:tcPr>
            <w:tcW w:type="dxa" w:w="20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Painted Lady
(Vanessa cardui)</w:t>
            </w:r>
          </w:p>
        </w:tc>
        <w:tc>
          <w:tcPr>
            <w:tcW w:type="dxa" w:w="17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The most widely distributed butterfly on earth; found across the entire US</w:t>
            </w:r>
          </w:p>
        </w:tc>
        <w:tc>
          <w:tcPr>
            <w:tcW w:type="dxa" w:w="18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Orange with black and white spots on forewing; 2–2.5 in; may be confused with American Lady and West Coast Lady</w:t>
            </w:r>
          </w:p>
        </w:tc>
        <w:tc>
          <w:tcPr>
            <w:tcW w:type="dxa" w:w="24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Thistles (Cirsium) primary native host; also mallows (Malva), hollyhock (Alcea), cudweed (Pseudognaphalium), pearly everlasting (Anaphalis)</w:t>
            </w:r>
          </w:p>
        </w:tc>
        <w:tc>
          <w:tcPr>
            <w:tcW w:type="dxa" w:w="21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Milkweed, native thistles, cosmos, zinnia, asters, goldenrod, marigold</w:t>
            </w:r>
          </w:p>
        </w:tc>
        <w:tc>
          <w:tcPr>
            <w:tcW w:type="dxa" w:w="136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Highly migratory; populations fluctuate enormously from year to year. Plant native thistles (Cirsium species) as host plants — they are magnificent nectar and host plants that are hugely undervalued in garden contexts.</w:t>
            </w:r>
          </w:p>
        </w:tc>
      </w:tr>
      <w:tr>
        <w:tc>
          <w:tcPr>
            <w:tcW w:type="dxa" w:w="20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American Lady
(Vanessa virginiensis)</w:t>
            </w:r>
          </w:p>
        </w:tc>
        <w:tc>
          <w:tcPr>
            <w:tcW w:type="dxa" w:w="17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Throughout the US; more resident in the South; migrates north in spring</w:t>
            </w:r>
          </w:p>
        </w:tc>
        <w:tc>
          <w:tcPr>
            <w:tcW w:type="dxa" w:w="18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Similar to Painted Lady; orange with black/white; two large blue eyespots on hindwing underside (vs. four smaller spots in Painted Lady)</w:t>
            </w:r>
          </w:p>
        </w:tc>
        <w:tc>
          <w:tcPr>
            <w:tcW w:type="dxa" w:w="24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Pearly everlasting (Anaphalis margaritacea), sweet everlasting (Pseudognaphalium obtusifolium), pussytoes (Antennaria)</w:t>
            </w:r>
          </w:p>
        </w:tc>
        <w:tc>
          <w:tcPr>
            <w:tcW w:type="dxa" w:w="21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Native asters, goldenrod, milkweed, marigold, native thistles</w:t>
            </w:r>
          </w:p>
        </w:tc>
        <w:tc>
          <w:tcPr>
            <w:tcW w:type="dxa" w:w="136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Plant pearly everlasting as a native host plant; it is a beautiful silver-white ground cover that requires no attention once established.</w:t>
            </w:r>
          </w:p>
        </w:tc>
      </w:tr>
      <w:tr>
        <w:tc>
          <w:tcPr>
            <w:tcW w:type="dxa" w:w="20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Red Admiral
(Vanessa atalanta)</w:t>
            </w:r>
          </w:p>
        </w:tc>
        <w:tc>
          <w:tcPr>
            <w:tcW w:type="dxa" w:w="17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Throughout the US; overwinters in the South; adults overwinter in mild climates</w:t>
            </w:r>
          </w:p>
        </w:tc>
        <w:tc>
          <w:tcPr>
            <w:tcW w:type="dxa" w:w="18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Dark brown-black with broad orange-red diagonal band across forewing and orange margin on hindwing; 1.75–2.5 in; highly distinctive</w:t>
            </w:r>
          </w:p>
        </w:tc>
        <w:tc>
          <w:tcPr>
            <w:tcW w:type="dxa" w:w="24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Nettles (Urtica spp.) primarily; also false nettle (Boehmeria cylindrica), wood nettle (Laportea canadensis)</w:t>
            </w:r>
          </w:p>
        </w:tc>
        <w:tc>
          <w:tcPr>
            <w:tcW w:type="dxa" w:w="21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Rotting fruit, tree sap preferred; also native asters, goldenrod, milkweed, zinnia</w:t>
            </w:r>
          </w:p>
        </w:tc>
        <w:tc>
          <w:tcPr>
            <w:tcW w:type="dxa" w:w="136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Red admirals are among the most common and most spectacular garden butterflies. Plant native nettles in a moist, somewhat shaded spot. Red admirals will take fermenting fruit from a platform feeder.</w:t>
            </w:r>
          </w:p>
        </w:tc>
      </w:tr>
      <w:tr>
        <w:tc>
          <w:tcPr>
            <w:tcW w:type="dxa" w:w="20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Mourning Cloak
(Nymphalis antiopa)</w:t>
            </w:r>
          </w:p>
        </w:tc>
        <w:tc>
          <w:tcPr>
            <w:tcW w:type="dxa" w:w="17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Throughout the US; one of the longest-lived North American butterflies (overwinters as adult)</w:t>
            </w:r>
          </w:p>
        </w:tc>
        <w:tc>
          <w:tcPr>
            <w:tcW w:type="dxa" w:w="18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Large (3–4 in); dark maroon-brown with yellow border and blue dots inside border; unmistakable</w:t>
            </w:r>
          </w:p>
        </w:tc>
        <w:tc>
          <w:tcPr>
            <w:tcW w:type="dxa" w:w="24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Willows (Salix), cottonwood and aspen (Populus), elm (Ulmus), hackberry (Celtis), birch (Betula)</w:t>
            </w:r>
          </w:p>
        </w:tc>
        <w:tc>
          <w:tcPr>
            <w:tcW w:type="dxa" w:w="21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Tree sap and rotting fruit strongly preferred; rarely visits flowers. Native asters, goldenrod</w:t>
            </w:r>
          </w:p>
        </w:tc>
        <w:tc>
          <w:tcPr>
            <w:tcW w:type="dxa" w:w="136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mourning cloak overwinters as an adult and is among the first butterflies seen each spring, often flying on warm days in late winter. It rarely visits flowers; provide rotting fruit (overripe bananas, melon) as an alternative food source.</w:t>
            </w:r>
          </w:p>
        </w:tc>
      </w:tr>
      <w:tr>
        <w:tc>
          <w:tcPr>
            <w:tcW w:type="dxa" w:w="20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American Snout
(Libytheana carinenta)</w:t>
            </w:r>
          </w:p>
        </w:tc>
        <w:tc>
          <w:tcPr>
            <w:tcW w:type="dxa" w:w="17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Southern US and Great Plains; periodically mass migrations northward</w:t>
            </w:r>
          </w:p>
        </w:tc>
        <w:tc>
          <w:tcPr>
            <w:tcW w:type="dxa" w:w="18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Brown with orange patches and white spots; elongated mouthparts (palps) give distinctive ‘snout’ appearance; 1.5–2 in</w:t>
            </w:r>
          </w:p>
        </w:tc>
        <w:tc>
          <w:tcPr>
            <w:tcW w:type="dxa" w:w="24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Hackberry (Celtis spp.) exclusively</w:t>
            </w:r>
          </w:p>
        </w:tc>
        <w:tc>
          <w:tcPr>
            <w:tcW w:type="dxa" w:w="21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Native asters, goldenrod, native thistles, milkweed, mountain mint</w:t>
            </w:r>
          </w:p>
        </w:tc>
        <w:tc>
          <w:tcPr>
            <w:tcW w:type="dxa" w:w="136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Plant hackberry trees for sustained American snout populations; these native trees are also host plants for several other butterfly species including emperors and hackberry butterfly.</w:t>
            </w:r>
          </w:p>
        </w:tc>
      </w:tr>
      <w:tr>
        <w:tc>
          <w:tcPr>
            <w:tcW w:type="dxa" w:w="20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Question Mark (detail)</w:t>
            </w:r>
          </w:p>
        </w:tc>
        <w:tc>
          <w:tcPr>
            <w:tcW w:type="dxa" w:w="17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Eastern US</w:t>
            </w:r>
          </w:p>
        </w:tc>
        <w:tc>
          <w:tcPr>
            <w:tcW w:type="dxa" w:w="18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Distinguished from comma by larger size and the ‘?’ mark on hindwing underside vs. comma’s ‘,’; more likely to visit flowers than comma</w:t>
            </w:r>
          </w:p>
        </w:tc>
        <w:tc>
          <w:tcPr>
            <w:tcW w:type="dxa" w:w="24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Elm (Ulmus), hackberry (Celtis), nettles (Urtica), hops (Humulus lupulus)</w:t>
            </w:r>
          </w:p>
        </w:tc>
        <w:tc>
          <w:tcPr>
            <w:tcW w:type="dxa" w:w="21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Native asters, milkweed, goldenrod</w:t>
            </w:r>
          </w:p>
        </w:tc>
        <w:tc>
          <w:tcPr>
            <w:tcW w:type="dxa" w:w="136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Both comma and question mark overwinter as adults; the chrysalis is extraordinarily beautiful (gold and brown jewel-like structure).</w:t>
            </w:r>
          </w:p>
        </w:tc>
      </w:tr>
      <w:tr>
        <w:tc>
          <w:tcPr>
            <w:tcW w:type="dxa" w:w="20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Great Spangled Fritillary
(Speyeria cybele)</w:t>
            </w:r>
          </w:p>
        </w:tc>
        <w:tc>
          <w:tcPr>
            <w:tcW w:type="dxa" w:w="17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Northern and eastern US; found in open meadows and forest edges</w:t>
            </w:r>
          </w:p>
        </w:tc>
        <w:tc>
          <w:tcPr>
            <w:tcW w:type="dxa" w:w="18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Large orange with black markings; silver spots on hindwing underside; 2.5–3.5 in</w:t>
            </w:r>
          </w:p>
        </w:tc>
        <w:tc>
          <w:tcPr>
            <w:tcW w:type="dxa" w:w="24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Violets (Viola spp.) exclusively; all native violet species are host plants</w:t>
            </w:r>
          </w:p>
        </w:tc>
        <w:tc>
          <w:tcPr>
            <w:tcW w:type="dxa" w:w="21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Native thistles (most important nectar plant), milkweed, goldenrod, Joe-Pye weed, bergamot</w:t>
            </w:r>
          </w:p>
        </w:tc>
        <w:tc>
          <w:tcPr>
            <w:tcW w:type="dxa" w:w="136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VIOLETS are the key to fritillaries. Plant a lawn’s edge or shaded bed with native violets; female fritillaries lay eggs near (but not always on) violets in late summer, and the hatchling caterpillars overwinter and find the violets in spring.</w:t>
            </w:r>
          </w:p>
        </w:tc>
      </w:tr>
      <w:tr>
        <w:tc>
          <w:tcPr>
            <w:tcW w:type="dxa" w:w="20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Gulf Fritillary
(Agraulis vanillae)</w:t>
            </w:r>
          </w:p>
        </w:tc>
        <w:tc>
          <w:tcPr>
            <w:tcW w:type="dxa" w:w="17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Southeast, Gulf Coast, expanding northward; a tropical species in the US</w:t>
            </w:r>
          </w:p>
        </w:tc>
        <w:tc>
          <w:tcPr>
            <w:tcW w:type="dxa" w:w="18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Brilliant orange above; silver spots on hindwing underside extremely dramatic; 2.5–3 in</w:t>
            </w:r>
          </w:p>
        </w:tc>
        <w:tc>
          <w:tcPr>
            <w:tcW w:type="dxa" w:w="24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Native passionflower vines (Passiflora incarnata, P. lutea) exclusively</w:t>
            </w:r>
          </w:p>
        </w:tc>
        <w:tc>
          <w:tcPr>
            <w:tcW w:type="dxa" w:w="21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Native thistles, lantana, milkweed, zinnias, pentas</w:t>
            </w:r>
          </w:p>
        </w:tc>
        <w:tc>
          <w:tcPr>
            <w:tcW w:type="dxa" w:w="136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Passionflower (Passiflora incarnata — maypop) is the key native host; it grows as a perennial vine in Zones 5–10 and has extraordinary purple flowers. Gulf fritillaries will find it reliably in the South and Southwest.</w:t>
            </w:r>
          </w:p>
        </w:tc>
      </w:tr>
      <w:tr>
        <w:tc>
          <w:tcPr>
            <w:tcW w:type="dxa" w:w="20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Variegated Fritillary
(Euptoieta claudia)</w:t>
            </w:r>
          </w:p>
        </w:tc>
        <w:tc>
          <w:tcPr>
            <w:tcW w:type="dxa" w:w="17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Southern US breeding; migrates northward; found throughout the US in summer</w:t>
            </w:r>
          </w:p>
        </w:tc>
        <w:tc>
          <w:tcPr>
            <w:tcW w:type="dxa" w:w="18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Orange with complex black pattern; no silver spots (distinguishes from spangledfrits); 1.75–2.5 in</w:t>
            </w:r>
          </w:p>
        </w:tc>
        <w:tc>
          <w:tcPr>
            <w:tcW w:type="dxa" w:w="24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Violets (Viola), passionflower (Passiflora), stonecrop (Hylotelephium), may apples (Podophyllum)</w:t>
            </w:r>
          </w:p>
        </w:tc>
        <w:tc>
          <w:tcPr>
            <w:tcW w:type="dxa" w:w="21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Native thistles, milkweed, native asters, clovers, butterfly weed</w:t>
            </w:r>
          </w:p>
        </w:tc>
        <w:tc>
          <w:tcPr>
            <w:tcW w:type="dxa" w:w="136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Plant violets and passionflower to support both variegated and gulf fritillaries in southern gardens.</w:t>
            </w:r>
          </w:p>
        </w:tc>
      </w:tr>
    </w:tbl>
    <w:p>
      <w:pPr>
        <w:spacing w:before="0" w:after="120"/>
      </w:pPr>
      <w:r>
        <w:t xml:space="preserve"/>
      </w:r>
    </w:p>
    <w:p>
      <w:pPr>
        <w:pStyle w:val="Heading2"/>
        <w:spacing w:before="240" w:after="120"/>
      </w:pPr>
      <w:r>
        <w:rPr>
          <w:rFonts w:ascii="Arial" w:cs="Arial" w:eastAsia="Arial" w:hAnsi="Arial"/>
          <w:b/>
          <w:bCs/>
          <w:color w:val="1E4020"/>
          <w:sz w:val="28"/>
          <w:szCs w:val="28"/>
        </w:rPr>
        <w:t xml:space="preserve">Group 4: Whites &amp; Sulphurs (Pieridae) — The Common Garden Visitors</w:t>
      </w:r>
    </w:p>
    <w:p>
      <w:pPr>
        <w:spacing w:before="0" w:after="6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800"/>
        <w:gridCol w:w="2400"/>
        <w:gridCol w:w="2100"/>
        <w:gridCol w:w="1360"/>
      </w:tblGrid>
      <w:tr>
        <w:trPr>
          <w:tblHeader/>
        </w:trPr>
        <w:tc>
          <w:tcPr>
            <w:tcW w:type="dxa" w:w="2000"/>
            <w:tcBorders>
              <w:top w:val="single" w:color="2A1858" w:sz="1"/>
              <w:left w:val="single" w:color="2A1858" w:sz="1"/>
              <w:bottom w:val="single" w:color="2A1858" w:sz="1"/>
              <w:right w:val="single" w:color="2A1858" w:sz="1"/>
            </w:tcBorders>
            <w:shd w:fill="2A1858" w:val="clear"/>
            <w:tcMar>
              <w:top w:type="dxa" w:w="80"/>
              <w:left w:type="dxa" w:w="120"/>
              <w:bottom w:type="dxa" w:w="80"/>
              <w:right w:type="dxa" w:w="120"/>
            </w:tcMar>
          </w:tcPr>
          <w:p>
            <w:r>
              <w:rPr>
                <w:rFonts w:ascii="Arial" w:cs="Arial" w:eastAsia="Arial" w:hAnsi="Arial"/>
                <w:b/>
                <w:bCs/>
                <w:color w:val="FFFFFF"/>
                <w:sz w:val="20"/>
                <w:szCs w:val="20"/>
              </w:rPr>
              <w:t xml:space="preserve">Species</w:t>
            </w:r>
          </w:p>
        </w:tc>
        <w:tc>
          <w:tcPr>
            <w:tcW w:type="dxa" w:w="1700"/>
            <w:tcBorders>
              <w:top w:val="single" w:color="2A1858" w:sz="1"/>
              <w:left w:val="single" w:color="2A1858" w:sz="1"/>
              <w:bottom w:val="single" w:color="2A1858" w:sz="1"/>
              <w:right w:val="single" w:color="2A1858" w:sz="1"/>
            </w:tcBorders>
            <w:shd w:fill="2A1858"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1800"/>
            <w:tcBorders>
              <w:top w:val="single" w:color="2A1858" w:sz="1"/>
              <w:left w:val="single" w:color="2A1858" w:sz="1"/>
              <w:bottom w:val="single" w:color="2A1858" w:sz="1"/>
              <w:right w:val="single" w:color="2A1858" w:sz="1"/>
            </w:tcBorders>
            <w:shd w:fill="2A1858" w:val="clear"/>
            <w:tcMar>
              <w:top w:type="dxa" w:w="80"/>
              <w:left w:type="dxa" w:w="120"/>
              <w:bottom w:type="dxa" w:w="80"/>
              <w:right w:type="dxa" w:w="120"/>
            </w:tcMar>
          </w:tcPr>
          <w:p>
            <w:r>
              <w:rPr>
                <w:rFonts w:ascii="Arial" w:cs="Arial" w:eastAsia="Arial" w:hAnsi="Arial"/>
                <w:b/>
                <w:bCs/>
                <w:color w:val="FFFFFF"/>
                <w:sz w:val="20"/>
                <w:szCs w:val="20"/>
              </w:rPr>
              <w:t xml:space="preserve">Identification</w:t>
            </w:r>
          </w:p>
        </w:tc>
        <w:tc>
          <w:tcPr>
            <w:tcW w:type="dxa" w:w="2400"/>
            <w:tcBorders>
              <w:top w:val="single" w:color="2A1858" w:sz="1"/>
              <w:left w:val="single" w:color="2A1858" w:sz="1"/>
              <w:bottom w:val="single" w:color="2A1858" w:sz="1"/>
              <w:right w:val="single" w:color="2A1858" w:sz="1"/>
            </w:tcBorders>
            <w:shd w:fill="2A1858" w:val="clear"/>
            <w:tcMar>
              <w:top w:type="dxa" w:w="80"/>
              <w:left w:type="dxa" w:w="120"/>
              <w:bottom w:type="dxa" w:w="80"/>
              <w:right w:type="dxa" w:w="120"/>
            </w:tcMar>
          </w:tcPr>
          <w:p>
            <w:r>
              <w:rPr>
                <w:rFonts w:ascii="Arial" w:cs="Arial" w:eastAsia="Arial" w:hAnsi="Arial"/>
                <w:b/>
                <w:bCs/>
                <w:color w:val="FFFFFF"/>
                <w:sz w:val="20"/>
                <w:szCs w:val="20"/>
              </w:rPr>
              <w:t xml:space="preserve">Host Plants</w:t>
            </w:r>
          </w:p>
        </w:tc>
        <w:tc>
          <w:tcPr>
            <w:tcW w:type="dxa" w:w="2100"/>
            <w:tcBorders>
              <w:top w:val="single" w:color="2A1858" w:sz="1"/>
              <w:left w:val="single" w:color="2A1858" w:sz="1"/>
              <w:bottom w:val="single" w:color="2A1858" w:sz="1"/>
              <w:right w:val="single" w:color="2A1858" w:sz="1"/>
            </w:tcBorders>
            <w:shd w:fill="2A1858" w:val="clear"/>
            <w:tcMar>
              <w:top w:type="dxa" w:w="80"/>
              <w:left w:type="dxa" w:w="120"/>
              <w:bottom w:type="dxa" w:w="80"/>
              <w:right w:type="dxa" w:w="120"/>
            </w:tcMar>
          </w:tcPr>
          <w:p>
            <w:r>
              <w:rPr>
                <w:rFonts w:ascii="Arial" w:cs="Arial" w:eastAsia="Arial" w:hAnsi="Arial"/>
                <w:b/>
                <w:bCs/>
                <w:color w:val="FFFFFF"/>
                <w:sz w:val="20"/>
                <w:szCs w:val="20"/>
              </w:rPr>
              <w:t xml:space="preserve">Nectar Favorites</w:t>
            </w:r>
          </w:p>
        </w:tc>
        <w:tc>
          <w:tcPr>
            <w:tcW w:type="dxa" w:w="1360"/>
            <w:tcBorders>
              <w:top w:val="single" w:color="2A1858" w:sz="1"/>
              <w:left w:val="single" w:color="2A1858" w:sz="1"/>
              <w:bottom w:val="single" w:color="2A1858" w:sz="1"/>
              <w:right w:val="single" w:color="2A1858" w:sz="1"/>
            </w:tcBorders>
            <w:shd w:fill="2A1858" w:val="clear"/>
            <w:tcMar>
              <w:top w:type="dxa" w:w="80"/>
              <w:left w:type="dxa" w:w="120"/>
              <w:bottom w:type="dxa" w:w="80"/>
              <w:right w:type="dxa" w:w="120"/>
            </w:tcMar>
          </w:tcPr>
          <w:p>
            <w:r>
              <w:rPr>
                <w:rFonts w:ascii="Arial" w:cs="Arial" w:eastAsia="Arial" w:hAnsi="Arial"/>
                <w:b/>
                <w:bCs/>
                <w:color w:val="FFFFFF"/>
                <w:sz w:val="20"/>
                <w:szCs w:val="20"/>
              </w:rPr>
              <w:t xml:space="preserve">Garden Notes</w:t>
            </w:r>
          </w:p>
        </w:tc>
      </w:tr>
      <w:tr>
        <w:tc>
          <w:tcPr>
            <w:tcW w:type="dxa" w:w="20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Cabbage White
(Pieris rapae)</w:t>
            </w:r>
          </w:p>
        </w:tc>
        <w:tc>
          <w:tcPr>
            <w:tcW w:type="dxa" w:w="17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Throughout North America (introduced from Europe)</w:t>
            </w:r>
          </w:p>
        </w:tc>
        <w:tc>
          <w:tcPr>
            <w:tcW w:type="dxa" w:w="18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White with 1–2 black spots on forewing; females have 2 spots; 1.5–2 in; extremely common</w:t>
            </w:r>
          </w:p>
        </w:tc>
        <w:tc>
          <w:tcPr>
            <w:tcW w:type="dxa" w:w="24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Brassica family: cabbage, broccoli, kale, nasturtium, alyssum (some hosts); many mustard-family plants</w:t>
            </w:r>
          </w:p>
        </w:tc>
        <w:tc>
          <w:tcPr>
            <w:tcW w:type="dxa" w:w="21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Many flowers; dandelions, clovers, asters; very generalist</w:t>
            </w:r>
          </w:p>
        </w:tc>
        <w:tc>
          <w:tcPr>
            <w:tcW w:type="dxa" w:w="136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most abundant butterfly in most American gardens; introduced from Europe and now one of the most common insects on the continent. Its caterpillars are garden pests on brassicas — the one case where butterfly host plants and garden interests conflict directly.</w:t>
            </w:r>
          </w:p>
        </w:tc>
      </w:tr>
      <w:tr>
        <w:tc>
          <w:tcPr>
            <w:tcW w:type="dxa" w:w="20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Clouded Sulphur / Orange Sulphur
(Colias philodice / C. eurytheme)</w:t>
            </w:r>
          </w:p>
        </w:tc>
        <w:tc>
          <w:tcPr>
            <w:tcW w:type="dxa" w:w="17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Throughout North America; most common sulphurs</w:t>
            </w:r>
          </w:p>
        </w:tc>
        <w:tc>
          <w:tcPr>
            <w:tcW w:type="dxa" w:w="18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Yellow (clouded) or yellow-orange (orange sulphur) with black border; distinctive pink-fringed hindwing margins; 1.5–2 in</w:t>
            </w:r>
          </w:p>
        </w:tc>
        <w:tc>
          <w:tcPr>
            <w:tcW w:type="dxa" w:w="24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Clover (Trifolium), alfalfa (Medicago), vetches (Vicia), wild senna (Senna)</w:t>
            </w:r>
          </w:p>
        </w:tc>
        <w:tc>
          <w:tcPr>
            <w:tcW w:type="dxa" w:w="21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Milkweed, clovers, goldenrod, asters, zinnia, alfalfa flowers</w:t>
            </w:r>
          </w:p>
        </w:tc>
        <w:tc>
          <w:tcPr>
            <w:tcW w:type="dxa" w:w="136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Allow clover in the lawn or plant white clover as a ground cover — it serves as host for sulphurs and is itself an excellent nectar plant for these butterflies.</w:t>
            </w:r>
          </w:p>
        </w:tc>
      </w:tr>
      <w:tr>
        <w:tc>
          <w:tcPr>
            <w:tcW w:type="dxa" w:w="20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Checkered White
(Pontia protodice)</w:t>
            </w:r>
          </w:p>
        </w:tc>
        <w:tc>
          <w:tcPr>
            <w:tcW w:type="dxa" w:w="17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Western US primarily; less common in the East</w:t>
            </w:r>
          </w:p>
        </w:tc>
        <w:tc>
          <w:tcPr>
            <w:tcW w:type="dxa" w:w="18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White with complex gray-brown checkered pattern; 1.25–1.75 in</w:t>
            </w:r>
          </w:p>
        </w:tc>
        <w:tc>
          <w:tcPr>
            <w:tcW w:type="dxa" w:w="24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Brassica family and other mustard-family plants; wild mustards, pepper-grasses (Lepidium)</w:t>
            </w:r>
          </w:p>
        </w:tc>
        <w:tc>
          <w:tcPr>
            <w:tcW w:type="dxa" w:w="21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Many flowers; native asters, phlox, native thistles</w:t>
            </w:r>
          </w:p>
        </w:tc>
        <w:tc>
          <w:tcPr>
            <w:tcW w:type="dxa" w:w="136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Common in disturbed areas and desert edges in the West; brassica family plants are the host throughout its range.</w:t>
            </w:r>
          </w:p>
        </w:tc>
      </w:tr>
      <w:tr>
        <w:tc>
          <w:tcPr>
            <w:tcW w:type="dxa" w:w="20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Southern Dogface
(Zerene cesonia)</w:t>
            </w:r>
          </w:p>
        </w:tc>
        <w:tc>
          <w:tcPr>
            <w:tcW w:type="dxa" w:w="17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Southern US, especially Southeast and Southwest; migrates northward in summer</w:t>
            </w:r>
          </w:p>
        </w:tc>
        <w:tc>
          <w:tcPr>
            <w:tcW w:type="dxa" w:w="18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Distinctive: yellow with dark-bordered forewing with ‘dog face’ pattern visible from above; 2–2.5 in</w:t>
            </w:r>
          </w:p>
        </w:tc>
        <w:tc>
          <w:tcPr>
            <w:tcW w:type="dxa" w:w="24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Prairie clovers (Dalea), false indigo (Amorpha), lead plant (Amorpha canescens)</w:t>
            </w:r>
          </w:p>
        </w:tc>
        <w:tc>
          <w:tcPr>
            <w:tcW w:type="dxa" w:w="21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Native asters, goldenrod, milkweed, native thistles, clovers</w:t>
            </w:r>
          </w:p>
        </w:tc>
        <w:tc>
          <w:tcPr>
            <w:tcW w:type="dxa" w:w="136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Plant prairie clovers (Dalea purpurea, D. candida) for dogface host plants; these are beautiful native prairie plants with dense flower spikes that also attract bumble bees.</w:t>
            </w:r>
          </w:p>
        </w:tc>
      </w:tr>
    </w:tbl>
    <w:p>
      <w:pPr>
        <w:spacing w:before="0" w:after="120"/>
      </w:pPr>
      <w:r>
        <w:t xml:space="preserve"/>
      </w:r>
    </w:p>
    <w:p>
      <w:pPr>
        <w:pStyle w:val="Heading2"/>
        <w:spacing w:before="240" w:after="120"/>
      </w:pPr>
      <w:r>
        <w:rPr>
          <w:rFonts w:ascii="Arial" w:cs="Arial" w:eastAsia="Arial" w:hAnsi="Arial"/>
          <w:b/>
          <w:bCs/>
          <w:color w:val="1E4020"/>
          <w:sz w:val="28"/>
          <w:szCs w:val="28"/>
        </w:rPr>
        <w:t xml:space="preserve">Group 5: Blues, Coppers &amp; Hairstreaks (Lycaenidae) — The Garden’s Gems</w:t>
      </w:r>
    </w:p>
    <w:p>
      <w:pPr>
        <w:spacing w:before="60" w:after="100" w:line="285"/>
      </w:pPr>
      <w:r>
        <w:rPr>
          <w:rFonts w:ascii="Arial" w:cs="Arial" w:eastAsia="Arial" w:hAnsi="Arial"/>
          <w:sz w:val="22"/>
          <w:szCs w:val="22"/>
        </w:rPr>
        <w:t xml:space="preserve">The Lycaenidae are the jewels of the butterfly world — tiny (often under 1.5 inches), brilliantly colored, and often overlooked by gardeners focused on larger species. They are among the most species-diverse butterfly family and include many specialists with narrow host plant requirements.</w:t>
      </w:r>
    </w:p>
    <w:p>
      <w:pPr>
        <w:spacing w:before="0" w:after="6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800"/>
        <w:gridCol w:w="2400"/>
        <w:gridCol w:w="2100"/>
        <w:gridCol w:w="1360"/>
      </w:tblGrid>
      <w:tr>
        <w:trPr>
          <w:tblHeader/>
        </w:trPr>
        <w:tc>
          <w:tcPr>
            <w:tcW w:type="dxa" w:w="2000"/>
            <w:tcBorders>
              <w:top w:val="single" w:color="2A1858" w:sz="1"/>
              <w:left w:val="single" w:color="2A1858" w:sz="1"/>
              <w:bottom w:val="single" w:color="2A1858" w:sz="1"/>
              <w:right w:val="single" w:color="2A1858" w:sz="1"/>
            </w:tcBorders>
            <w:shd w:fill="2A1858" w:val="clear"/>
            <w:tcMar>
              <w:top w:type="dxa" w:w="80"/>
              <w:left w:type="dxa" w:w="120"/>
              <w:bottom w:type="dxa" w:w="80"/>
              <w:right w:type="dxa" w:w="120"/>
            </w:tcMar>
          </w:tcPr>
          <w:p>
            <w:r>
              <w:rPr>
                <w:rFonts w:ascii="Arial" w:cs="Arial" w:eastAsia="Arial" w:hAnsi="Arial"/>
                <w:b/>
                <w:bCs/>
                <w:color w:val="FFFFFF"/>
                <w:sz w:val="20"/>
                <w:szCs w:val="20"/>
              </w:rPr>
              <w:t xml:space="preserve">Species</w:t>
            </w:r>
          </w:p>
        </w:tc>
        <w:tc>
          <w:tcPr>
            <w:tcW w:type="dxa" w:w="1700"/>
            <w:tcBorders>
              <w:top w:val="single" w:color="2A1858" w:sz="1"/>
              <w:left w:val="single" w:color="2A1858" w:sz="1"/>
              <w:bottom w:val="single" w:color="2A1858" w:sz="1"/>
              <w:right w:val="single" w:color="2A1858" w:sz="1"/>
            </w:tcBorders>
            <w:shd w:fill="2A1858"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1800"/>
            <w:tcBorders>
              <w:top w:val="single" w:color="2A1858" w:sz="1"/>
              <w:left w:val="single" w:color="2A1858" w:sz="1"/>
              <w:bottom w:val="single" w:color="2A1858" w:sz="1"/>
              <w:right w:val="single" w:color="2A1858" w:sz="1"/>
            </w:tcBorders>
            <w:shd w:fill="2A1858" w:val="clear"/>
            <w:tcMar>
              <w:top w:type="dxa" w:w="80"/>
              <w:left w:type="dxa" w:w="120"/>
              <w:bottom w:type="dxa" w:w="80"/>
              <w:right w:type="dxa" w:w="120"/>
            </w:tcMar>
          </w:tcPr>
          <w:p>
            <w:r>
              <w:rPr>
                <w:rFonts w:ascii="Arial" w:cs="Arial" w:eastAsia="Arial" w:hAnsi="Arial"/>
                <w:b/>
                <w:bCs/>
                <w:color w:val="FFFFFF"/>
                <w:sz w:val="20"/>
                <w:szCs w:val="20"/>
              </w:rPr>
              <w:t xml:space="preserve">Identification</w:t>
            </w:r>
          </w:p>
        </w:tc>
        <w:tc>
          <w:tcPr>
            <w:tcW w:type="dxa" w:w="2400"/>
            <w:tcBorders>
              <w:top w:val="single" w:color="2A1858" w:sz="1"/>
              <w:left w:val="single" w:color="2A1858" w:sz="1"/>
              <w:bottom w:val="single" w:color="2A1858" w:sz="1"/>
              <w:right w:val="single" w:color="2A1858" w:sz="1"/>
            </w:tcBorders>
            <w:shd w:fill="2A1858" w:val="clear"/>
            <w:tcMar>
              <w:top w:type="dxa" w:w="80"/>
              <w:left w:type="dxa" w:w="120"/>
              <w:bottom w:type="dxa" w:w="80"/>
              <w:right w:type="dxa" w:w="120"/>
            </w:tcMar>
          </w:tcPr>
          <w:p>
            <w:r>
              <w:rPr>
                <w:rFonts w:ascii="Arial" w:cs="Arial" w:eastAsia="Arial" w:hAnsi="Arial"/>
                <w:b/>
                <w:bCs/>
                <w:color w:val="FFFFFF"/>
                <w:sz w:val="20"/>
                <w:szCs w:val="20"/>
              </w:rPr>
              <w:t xml:space="preserve">Host Plants</w:t>
            </w:r>
          </w:p>
        </w:tc>
        <w:tc>
          <w:tcPr>
            <w:tcW w:type="dxa" w:w="2100"/>
            <w:tcBorders>
              <w:top w:val="single" w:color="2A1858" w:sz="1"/>
              <w:left w:val="single" w:color="2A1858" w:sz="1"/>
              <w:bottom w:val="single" w:color="2A1858" w:sz="1"/>
              <w:right w:val="single" w:color="2A1858" w:sz="1"/>
            </w:tcBorders>
            <w:shd w:fill="2A1858" w:val="clear"/>
            <w:tcMar>
              <w:top w:type="dxa" w:w="80"/>
              <w:left w:type="dxa" w:w="120"/>
              <w:bottom w:type="dxa" w:w="80"/>
              <w:right w:type="dxa" w:w="120"/>
            </w:tcMar>
          </w:tcPr>
          <w:p>
            <w:r>
              <w:rPr>
                <w:rFonts w:ascii="Arial" w:cs="Arial" w:eastAsia="Arial" w:hAnsi="Arial"/>
                <w:b/>
                <w:bCs/>
                <w:color w:val="FFFFFF"/>
                <w:sz w:val="20"/>
                <w:szCs w:val="20"/>
              </w:rPr>
              <w:t xml:space="preserve">Nectar Favorites</w:t>
            </w:r>
          </w:p>
        </w:tc>
        <w:tc>
          <w:tcPr>
            <w:tcW w:type="dxa" w:w="1360"/>
            <w:tcBorders>
              <w:top w:val="single" w:color="2A1858" w:sz="1"/>
              <w:left w:val="single" w:color="2A1858" w:sz="1"/>
              <w:bottom w:val="single" w:color="2A1858" w:sz="1"/>
              <w:right w:val="single" w:color="2A1858" w:sz="1"/>
            </w:tcBorders>
            <w:shd w:fill="2A1858" w:val="clear"/>
            <w:tcMar>
              <w:top w:type="dxa" w:w="80"/>
              <w:left w:type="dxa" w:w="120"/>
              <w:bottom w:type="dxa" w:w="80"/>
              <w:right w:type="dxa" w:w="120"/>
            </w:tcMar>
          </w:tcPr>
          <w:p>
            <w:r>
              <w:rPr>
                <w:rFonts w:ascii="Arial" w:cs="Arial" w:eastAsia="Arial" w:hAnsi="Arial"/>
                <w:b/>
                <w:bCs/>
                <w:color w:val="FFFFFF"/>
                <w:sz w:val="20"/>
                <w:szCs w:val="20"/>
              </w:rPr>
              <w:t xml:space="preserve">Garden Notes</w:t>
            </w:r>
          </w:p>
        </w:tc>
      </w:tr>
      <w:tr>
        <w:tc>
          <w:tcPr>
            <w:tcW w:type="dxa" w:w="20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Gray Hairstreak
(Strymon melinus)</w:t>
            </w:r>
          </w:p>
        </w:tc>
        <w:tc>
          <w:tcPr>
            <w:tcW w:type="dxa" w:w="17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Throughout the US; the most common hairstreak</w:t>
            </w:r>
          </w:p>
        </w:tc>
        <w:tc>
          <w:tcPr>
            <w:tcW w:type="dxa" w:w="18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Gray with orange spot near short tail on hindwing; fine white and black lines on underwing; &lt;1.5 in</w:t>
            </w:r>
          </w:p>
        </w:tc>
        <w:tc>
          <w:tcPr>
            <w:tcW w:type="dxa" w:w="24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broad host range: mallows (Malva), beans (Phaseolus), clovers (Trifolium), many others</w:t>
            </w:r>
          </w:p>
        </w:tc>
        <w:tc>
          <w:tcPr>
            <w:tcW w:type="dxa" w:w="21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Milkweed, goldenrod, mint, asters, mountain mint; very generalist</w:t>
            </w:r>
          </w:p>
        </w:tc>
        <w:tc>
          <w:tcPr>
            <w:tcW w:type="dxa" w:w="136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most commonly encountered hairstreak; plant mallow or clover for host plants. The small orange spots near the tail create a false head that confuses predators.</w:t>
            </w:r>
          </w:p>
        </w:tc>
      </w:tr>
      <w:tr>
        <w:tc>
          <w:tcPr>
            <w:tcW w:type="dxa" w:w="20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Eastern Tailed-Blue
(Cupido comyntas)</w:t>
            </w:r>
          </w:p>
        </w:tc>
        <w:tc>
          <w:tcPr>
            <w:tcW w:type="dxa" w:w="17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Eastern two-thirds of the US</w:t>
            </w:r>
          </w:p>
        </w:tc>
        <w:tc>
          <w:tcPr>
            <w:tcW w:type="dxa" w:w="18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Tiny (3/4–1 in); male brilliant blue above; female brown with blue near body; small tails on hindwing</w:t>
            </w:r>
          </w:p>
        </w:tc>
        <w:tc>
          <w:tcPr>
            <w:tcW w:type="dxa" w:w="24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Vetches (Vicia), clovers (Trifolium), wild pea (Lathyrus), tick trefoil (Desmodium), native legumes</w:t>
            </w:r>
          </w:p>
        </w:tc>
        <w:tc>
          <w:tcPr>
            <w:tcW w:type="dxa" w:w="21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White clover, native asters, goldenrod, cinquefoil; small flowers generalist</w:t>
            </w:r>
          </w:p>
        </w:tc>
        <w:tc>
          <w:tcPr>
            <w:tcW w:type="dxa" w:w="136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Plant white or red clover in lawn edges; also plant native legumes like tick trefoil (Desmodium) for an exceptional host plant that is beautiful and highly wildlife-valuable.</w:t>
            </w:r>
          </w:p>
        </w:tc>
      </w:tr>
      <w:tr>
        <w:tc>
          <w:tcPr>
            <w:tcW w:type="dxa" w:w="20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Spring Azure
(Celastrina ladon)</w:t>
            </w:r>
          </w:p>
        </w:tc>
        <w:tc>
          <w:tcPr>
            <w:tcW w:type="dxa" w:w="17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Throughout the US; one of the first spring butterflies</w:t>
            </w:r>
          </w:p>
        </w:tc>
        <w:tc>
          <w:tcPr>
            <w:tcW w:type="dxa" w:w="18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Tiny (1–1.5 in); male brilliant sky blue above; female with black border; underwing pale with small spots</w:t>
            </w:r>
          </w:p>
        </w:tc>
        <w:tc>
          <w:tcPr>
            <w:tcW w:type="dxa" w:w="24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Dogwood (Cornus), wild cherry (Prunus), blueberry (Vaccinium), meadowsweet (Spiraea)</w:t>
            </w:r>
          </w:p>
        </w:tc>
        <w:tc>
          <w:tcPr>
            <w:tcW w:type="dxa" w:w="21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Dandelion (early spring important), wild strawberry, blueberry flowers, native asters</w:t>
            </w:r>
          </w:p>
        </w:tc>
        <w:tc>
          <w:tcPr>
            <w:tcW w:type="dxa" w:w="136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of the first butterflies of spring; plant dogwood or native cherry for host plants. The brilliant blue is one of early spring’s most beautiful garden sights.</w:t>
            </w:r>
          </w:p>
        </w:tc>
      </w:tr>
      <w:tr>
        <w:tc>
          <w:tcPr>
            <w:tcW w:type="dxa" w:w="20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Banded Hairstreak
(Satyrium calanus)</w:t>
            </w:r>
          </w:p>
        </w:tc>
        <w:tc>
          <w:tcPr>
            <w:tcW w:type="dxa" w:w="17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Eastern US in oak and hickory woodland edges</w:t>
            </w:r>
          </w:p>
        </w:tc>
        <w:tc>
          <w:tcPr>
            <w:tcW w:type="dxa" w:w="18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Brown with white-edged bands on underwing; small orange spots near tails; &lt;1.5 in</w:t>
            </w:r>
          </w:p>
        </w:tc>
        <w:tc>
          <w:tcPr>
            <w:tcW w:type="dxa" w:w="24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Oaks (Quercus), hickory (Carya), walnut (Juglans)</w:t>
            </w:r>
          </w:p>
        </w:tc>
        <w:tc>
          <w:tcPr>
            <w:tcW w:type="dxa" w:w="21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Milkweed, native thistles, sumac (Rhus), dogbane (Apocynum)</w:t>
            </w:r>
          </w:p>
        </w:tc>
        <w:tc>
          <w:tcPr>
            <w:tcW w:type="dxa" w:w="136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Plant native oaks — which support over 500 species of caterpillars including many hairstreaks — and provide the structural backbone for a complete garden ecosystem.</w:t>
            </w:r>
          </w:p>
        </w:tc>
      </w:tr>
      <w:tr>
        <w:tc>
          <w:tcPr>
            <w:tcW w:type="dxa" w:w="20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American Copper
(Lycaena phlaeas)</w:t>
            </w:r>
          </w:p>
        </w:tc>
        <w:tc>
          <w:tcPr>
            <w:tcW w:type="dxa" w:w="17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Northern US and Canada; also in mountain populations in the South</w:t>
            </w:r>
          </w:p>
        </w:tc>
        <w:tc>
          <w:tcPr>
            <w:tcW w:type="dxa" w:w="18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Brilliant orange-red forewing with black spots and gray hindwing border; iridescent; &lt;1.25 in</w:t>
            </w:r>
          </w:p>
        </w:tc>
        <w:tc>
          <w:tcPr>
            <w:tcW w:type="dxa" w:w="24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Sheep sorrel (Rumex acetosella), curly dock (Rumex crispus)</w:t>
            </w:r>
          </w:p>
        </w:tc>
        <w:tc>
          <w:tcPr>
            <w:tcW w:type="dxa" w:w="21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Native asters, goldenrod, native thistles, yarrow, daisy fleabane</w:t>
            </w:r>
          </w:p>
        </w:tc>
        <w:tc>
          <w:tcPr>
            <w:tcW w:type="dxa" w:w="136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Allow sheep sorrel (Rumex acetosella) in meadow areas as a host plant; it is a native lawn alternative in the North that supports American coppers.</w:t>
            </w:r>
          </w:p>
        </w:tc>
      </w:tr>
      <w:tr>
        <w:tc>
          <w:tcPr>
            <w:tcW w:type="dxa" w:w="20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Silvery Blue
(Glaucopsyche lygdamus)</w:t>
            </w:r>
          </w:p>
        </w:tc>
        <w:tc>
          <w:tcPr>
            <w:tcW w:type="dxa" w:w="17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Across the US; most common in the West</w:t>
            </w:r>
          </w:p>
        </w:tc>
        <w:tc>
          <w:tcPr>
            <w:tcW w:type="dxa" w:w="18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Male brilliant silver-blue above; female brownish; white-ringed black spots on underwing; &lt;1.25 in</w:t>
            </w:r>
          </w:p>
        </w:tc>
        <w:tc>
          <w:tcPr>
            <w:tcW w:type="dxa" w:w="24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Native vetches (Vicia), lupines (Lupinus), wild pea (Lathyrus), milk vetch (Astragalus)</w:t>
            </w:r>
          </w:p>
        </w:tc>
        <w:tc>
          <w:tcPr>
            <w:tcW w:type="dxa" w:w="21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Native vetches and legume flowers, native asters, goldenrod</w:t>
            </w:r>
          </w:p>
        </w:tc>
        <w:tc>
          <w:tcPr>
            <w:tcW w:type="dxa" w:w="136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Plant native lupines for silvery blues in both eastern and western gardens; they are also extraordinarily beautiful spring-blooming plants.</w:t>
            </w:r>
          </w:p>
        </w:tc>
      </w:tr>
    </w:tbl>
    <w:p>
      <w:pPr>
        <w:spacing w:before="0" w:after="120"/>
      </w:pPr>
      <w:r>
        <w:t xml:space="preserve"/>
      </w:r>
    </w:p>
    <w:p>
      <w:pPr>
        <w:pStyle w:val="Heading2"/>
        <w:spacing w:before="240" w:after="120"/>
      </w:pPr>
      <w:r>
        <w:rPr>
          <w:rFonts w:ascii="Arial" w:cs="Arial" w:eastAsia="Arial" w:hAnsi="Arial"/>
          <w:b/>
          <w:bCs/>
          <w:color w:val="1E4020"/>
          <w:sz w:val="28"/>
          <w:szCs w:val="28"/>
        </w:rPr>
        <w:t xml:space="preserve">Group 6: Skippers (Hesperiidae) — The Overlooked Butterflies</w:t>
      </w:r>
    </w:p>
    <w:p>
      <w:pPr>
        <w:spacing w:before="60" w:after="100" w:line="285"/>
      </w:pPr>
      <w:r>
        <w:rPr>
          <w:rFonts w:ascii="Arial" w:cs="Arial" w:eastAsia="Arial" w:hAnsi="Arial"/>
          <w:sz w:val="22"/>
          <w:szCs w:val="22"/>
        </w:rPr>
        <w:t xml:space="preserve">Skippers are often mistaken for moths and overlooked by gardeners, but they are true butterflies and often excellent pollinators. They hold their wings in a characteristic airplane position (forewings up, hindwings flat) and dart with rapid, skipping flight. Many are significant garden butterflies that visit nectar plants avidly.</w:t>
      </w:r>
    </w:p>
    <w:p>
      <w:pPr>
        <w:spacing w:before="0" w:after="6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800"/>
        <w:gridCol w:w="2400"/>
        <w:gridCol w:w="2100"/>
        <w:gridCol w:w="1360"/>
      </w:tblGrid>
      <w:tr>
        <w:trPr>
          <w:tblHeader/>
        </w:trPr>
        <w:tc>
          <w:tcPr>
            <w:tcW w:type="dxa" w:w="2000"/>
            <w:tcBorders>
              <w:top w:val="single" w:color="1E4020" w:sz="1"/>
              <w:left w:val="single" w:color="1E4020" w:sz="1"/>
              <w:bottom w:val="single" w:color="1E4020" w:sz="1"/>
              <w:right w:val="single" w:color="1E4020" w:sz="1"/>
            </w:tcBorders>
            <w:shd w:fill="1E4020" w:val="clear"/>
            <w:tcMar>
              <w:top w:type="dxa" w:w="80"/>
              <w:left w:type="dxa" w:w="120"/>
              <w:bottom w:type="dxa" w:w="80"/>
              <w:right w:type="dxa" w:w="120"/>
            </w:tcMar>
          </w:tcPr>
          <w:p>
            <w:r>
              <w:rPr>
                <w:rFonts w:ascii="Arial" w:cs="Arial" w:eastAsia="Arial" w:hAnsi="Arial"/>
                <w:b/>
                <w:bCs/>
                <w:color w:val="FFFFFF"/>
                <w:sz w:val="20"/>
                <w:szCs w:val="20"/>
              </w:rPr>
              <w:t xml:space="preserve">Species</w:t>
            </w:r>
          </w:p>
        </w:tc>
        <w:tc>
          <w:tcPr>
            <w:tcW w:type="dxa" w:w="1700"/>
            <w:tcBorders>
              <w:top w:val="single" w:color="1E4020" w:sz="1"/>
              <w:left w:val="single" w:color="1E4020" w:sz="1"/>
              <w:bottom w:val="single" w:color="1E4020" w:sz="1"/>
              <w:right w:val="single" w:color="1E4020" w:sz="1"/>
            </w:tcBorders>
            <w:shd w:fill="1E4020"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1800"/>
            <w:tcBorders>
              <w:top w:val="single" w:color="1E4020" w:sz="1"/>
              <w:left w:val="single" w:color="1E4020" w:sz="1"/>
              <w:bottom w:val="single" w:color="1E4020" w:sz="1"/>
              <w:right w:val="single" w:color="1E4020" w:sz="1"/>
            </w:tcBorders>
            <w:shd w:fill="1E4020" w:val="clear"/>
            <w:tcMar>
              <w:top w:type="dxa" w:w="80"/>
              <w:left w:type="dxa" w:w="120"/>
              <w:bottom w:type="dxa" w:w="80"/>
              <w:right w:type="dxa" w:w="120"/>
            </w:tcMar>
          </w:tcPr>
          <w:p>
            <w:r>
              <w:rPr>
                <w:rFonts w:ascii="Arial" w:cs="Arial" w:eastAsia="Arial" w:hAnsi="Arial"/>
                <w:b/>
                <w:bCs/>
                <w:color w:val="FFFFFF"/>
                <w:sz w:val="20"/>
                <w:szCs w:val="20"/>
              </w:rPr>
              <w:t xml:space="preserve">Identification</w:t>
            </w:r>
          </w:p>
        </w:tc>
        <w:tc>
          <w:tcPr>
            <w:tcW w:type="dxa" w:w="2400"/>
            <w:tcBorders>
              <w:top w:val="single" w:color="1E4020" w:sz="1"/>
              <w:left w:val="single" w:color="1E4020" w:sz="1"/>
              <w:bottom w:val="single" w:color="1E4020" w:sz="1"/>
              <w:right w:val="single" w:color="1E4020" w:sz="1"/>
            </w:tcBorders>
            <w:shd w:fill="1E4020" w:val="clear"/>
            <w:tcMar>
              <w:top w:type="dxa" w:w="80"/>
              <w:left w:type="dxa" w:w="120"/>
              <w:bottom w:type="dxa" w:w="80"/>
              <w:right w:type="dxa" w:w="120"/>
            </w:tcMar>
          </w:tcPr>
          <w:p>
            <w:r>
              <w:rPr>
                <w:rFonts w:ascii="Arial" w:cs="Arial" w:eastAsia="Arial" w:hAnsi="Arial"/>
                <w:b/>
                <w:bCs/>
                <w:color w:val="FFFFFF"/>
                <w:sz w:val="20"/>
                <w:szCs w:val="20"/>
              </w:rPr>
              <w:t xml:space="preserve">Host Plants</w:t>
            </w:r>
          </w:p>
        </w:tc>
        <w:tc>
          <w:tcPr>
            <w:tcW w:type="dxa" w:w="2100"/>
            <w:tcBorders>
              <w:top w:val="single" w:color="1E4020" w:sz="1"/>
              <w:left w:val="single" w:color="1E4020" w:sz="1"/>
              <w:bottom w:val="single" w:color="1E4020" w:sz="1"/>
              <w:right w:val="single" w:color="1E4020" w:sz="1"/>
            </w:tcBorders>
            <w:shd w:fill="1E4020" w:val="clear"/>
            <w:tcMar>
              <w:top w:type="dxa" w:w="80"/>
              <w:left w:type="dxa" w:w="120"/>
              <w:bottom w:type="dxa" w:w="80"/>
              <w:right w:type="dxa" w:w="120"/>
            </w:tcMar>
          </w:tcPr>
          <w:p>
            <w:r>
              <w:rPr>
                <w:rFonts w:ascii="Arial" w:cs="Arial" w:eastAsia="Arial" w:hAnsi="Arial"/>
                <w:b/>
                <w:bCs/>
                <w:color w:val="FFFFFF"/>
                <w:sz w:val="20"/>
                <w:szCs w:val="20"/>
              </w:rPr>
              <w:t xml:space="preserve">Nectar Favorites</w:t>
            </w:r>
          </w:p>
        </w:tc>
        <w:tc>
          <w:tcPr>
            <w:tcW w:type="dxa" w:w="1360"/>
            <w:tcBorders>
              <w:top w:val="single" w:color="1E4020" w:sz="1"/>
              <w:left w:val="single" w:color="1E4020" w:sz="1"/>
              <w:bottom w:val="single" w:color="1E4020" w:sz="1"/>
              <w:right w:val="single" w:color="1E4020" w:sz="1"/>
            </w:tcBorders>
            <w:shd w:fill="1E4020" w:val="clear"/>
            <w:tcMar>
              <w:top w:type="dxa" w:w="80"/>
              <w:left w:type="dxa" w:w="120"/>
              <w:bottom w:type="dxa" w:w="80"/>
              <w:right w:type="dxa" w:w="120"/>
            </w:tcMar>
          </w:tcPr>
          <w:p>
            <w:r>
              <w:rPr>
                <w:rFonts w:ascii="Arial" w:cs="Arial" w:eastAsia="Arial" w:hAnsi="Arial"/>
                <w:b/>
                <w:bCs/>
                <w:color w:val="FFFFFF"/>
                <w:sz w:val="20"/>
                <w:szCs w:val="20"/>
              </w:rPr>
              <w:t xml:space="preserve">Garden Notes</w:t>
            </w:r>
          </w:p>
        </w:tc>
      </w:tr>
      <w:tr>
        <w:tc>
          <w:tcPr>
            <w:tcW w:type="dxa" w:w="20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Silver-Spotted Skipper
(Epargyreus clarus)</w:t>
            </w:r>
          </w:p>
        </w:tc>
        <w:tc>
          <w:tcPr>
            <w:tcW w:type="dxa" w:w="17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Throughout the US; the most common and easily recognized skipper</w:t>
            </w:r>
          </w:p>
        </w:tc>
        <w:tc>
          <w:tcPr>
            <w:tcW w:type="dxa" w:w="18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Large skipper (1.75–2.5 in); dark brown with yellow-gold patch on forewing; distinctive silver-white patch on hindwing underside</w:t>
            </w:r>
          </w:p>
        </w:tc>
        <w:tc>
          <w:tcPr>
            <w:tcW w:type="dxa" w:w="24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Black locust (Robinia pseudoacacia), honey locust (Gleditsia triacanthos), wild indigo (Baptisia), tick trefoil (Desmodium), wisteria (Wisteria)</w:t>
            </w:r>
          </w:p>
        </w:tc>
        <w:tc>
          <w:tcPr>
            <w:tcW w:type="dxa" w:w="21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Native thistles, milkweed, ironweed, bergamot, native asters, mountain mint</w:t>
            </w:r>
          </w:p>
        </w:tc>
        <w:tc>
          <w:tcPr>
            <w:tcW w:type="dxa" w:w="136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Plant tick trefoil (Desmodium) for a beautiful native host plant. The silver-spotted skipper is large enough to be noticed and recognized, making it an excellent gateway to skipper appreciation.</w:t>
            </w:r>
          </w:p>
        </w:tc>
      </w:tr>
      <w:tr>
        <w:tc>
          <w:tcPr>
            <w:tcW w:type="dxa" w:w="20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Fiery Skipper
(Hylephila phyleus)</w:t>
            </w:r>
          </w:p>
        </w:tc>
        <w:tc>
          <w:tcPr>
            <w:tcW w:type="dxa" w:w="17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Southern US; migrates northward; common in lawns and gardens</w:t>
            </w:r>
          </w:p>
        </w:tc>
        <w:tc>
          <w:tcPr>
            <w:tcW w:type="dxa" w:w="18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Small (1–1.25 in); orange-gold with irregular dark markings; pointed forewing</w:t>
            </w:r>
          </w:p>
        </w:tc>
        <w:tc>
          <w:tcPr>
            <w:tcW w:type="dxa" w:w="24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Grasses: Bermudagrass (Cynodon), St. Augustine grass, crabgrass, tall fescue</w:t>
            </w:r>
          </w:p>
        </w:tc>
        <w:tc>
          <w:tcPr>
            <w:tcW w:type="dxa" w:w="21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Many flowers; native asters, lantana, zinnia, Mexican heather, milkweed</w:t>
            </w:r>
          </w:p>
        </w:tc>
        <w:tc>
          <w:tcPr>
            <w:tcW w:type="dxa" w:w="136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Common in southern lawns where the host plant grasses are abundant. A regular garden visitor for nectar despite its humble larval host.</w:t>
            </w:r>
          </w:p>
        </w:tc>
      </w:tr>
      <w:tr>
        <w:tc>
          <w:tcPr>
            <w:tcW w:type="dxa" w:w="20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Sachem
(Atalopedes campestris)</w:t>
            </w:r>
          </w:p>
        </w:tc>
        <w:tc>
          <w:tcPr>
            <w:tcW w:type="dxa" w:w="17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Southeastern and central US; migrates northward in summer</w:t>
            </w:r>
          </w:p>
        </w:tc>
        <w:tc>
          <w:tcPr>
            <w:tcW w:type="dxa" w:w="18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 skipper; male with distinctive large dark stigma on tawny-orange forewing; female complex brown-tan-orange; 1–1.5 in</w:t>
            </w:r>
          </w:p>
        </w:tc>
        <w:tc>
          <w:tcPr>
            <w:tcW w:type="dxa" w:w="24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Grasses: various native and non-native grasses including crabgrass and Bermudagrass</w:t>
            </w:r>
          </w:p>
        </w:tc>
        <w:tc>
          <w:tcPr>
            <w:tcW w:type="dxa" w:w="21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Many flowers; native asters, goldenrod, milkweed, lantana, zinnia</w:t>
            </w:r>
          </w:p>
        </w:tc>
        <w:tc>
          <w:tcPr>
            <w:tcW w:type="dxa" w:w="136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common in lawn and garden settings; one of the most regularly encountered skippers in the South and Midwest.</w:t>
            </w:r>
          </w:p>
        </w:tc>
      </w:tr>
      <w:tr>
        <w:tc>
          <w:tcPr>
            <w:tcW w:type="dxa" w:w="20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Zabulon Skipper
(Lon zabulon)</w:t>
            </w:r>
          </w:p>
        </w:tc>
        <w:tc>
          <w:tcPr>
            <w:tcW w:type="dxa" w:w="17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Eastern US</w:t>
            </w:r>
          </w:p>
        </w:tc>
        <w:tc>
          <w:tcPr>
            <w:tcW w:type="dxa" w:w="18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Male: bright golden-orange with brown border above; female complex; 1–1.5 in</w:t>
            </w:r>
          </w:p>
        </w:tc>
        <w:tc>
          <w:tcPr>
            <w:tcW w:type="dxa" w:w="24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Various grasses: purple love grass, woodland brome</w:t>
            </w:r>
          </w:p>
        </w:tc>
        <w:tc>
          <w:tcPr>
            <w:tcW w:type="dxa" w:w="21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Mountain mint, native asters, milkweed, goldenrod</w:t>
            </w:r>
          </w:p>
        </w:tc>
        <w:tc>
          <w:tcPr>
            <w:tcW w:type="dxa" w:w="136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Plant native grasses in naturalistic areas of the garden to support multiple skipper species; native grass plantings are among the most ecologically productive garden additions.</w:t>
            </w:r>
          </w:p>
        </w:tc>
      </w:tr>
    </w:tbl>
    <w:p>
      <w:pPr>
        <w:spacing w:before="0" w:after="120"/>
      </w:pPr>
      <w:r>
        <w:t xml:space="preserve"/>
      </w:r>
    </w:p>
    <w:p>
      <w:pPr>
        <w:pBdr>
          <w:bottom w:val="single" w:color="2A1858" w:sz="6" w:space="1"/>
        </w:pBdr>
        <w:spacing w:before="160" w:after="160"/>
      </w:pPr>
      <w:r>
        <w:t xml:space="preserve"/>
      </w:r>
    </w:p>
    <w:p>
      <w:r>
        <w:br w:type="page"/>
      </w:r>
    </w:p>
    <w:p>
      <w:pPr>
        <w:pStyle w:val="Heading1"/>
        <w:spacing w:before="360" w:after="180"/>
      </w:pPr>
      <w:r>
        <w:rPr>
          <w:rFonts w:ascii="Arial" w:cs="Arial" w:eastAsia="Arial" w:hAnsi="Arial"/>
          <w:b/>
          <w:bCs/>
          <w:color w:val="2A1858"/>
          <w:sz w:val="36"/>
          <w:szCs w:val="36"/>
        </w:rPr>
        <w:t xml:space="preserve">Section 2: Host Plants — The Foundation of a True Butterfly Habitat</w:t>
      </w:r>
    </w:p>
    <w:p>
      <w:pPr>
        <w:spacing w:before="120" w:after="160" w:line="285"/>
      </w:pPr>
      <w:r>
        <w:rPr>
          <w:rFonts w:ascii="Arial" w:cs="Arial" w:eastAsia="Arial" w:hAnsi="Arial"/>
          <w:sz w:val="22"/>
          <w:szCs w:val="22"/>
        </w:rPr>
        <w:t xml:space="preserve">Host plants are the plants on which female butterflies lay eggs and caterpillars feed. Without host plants, butterflies visit but cannot complete their life cycle in or near your garden. The following host plant guide is organized by plant type and covers the most important and most widely available host plants for American butterfly gardens.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4008" w:sz="6"/>
              <w:left w:val="single" w:color="6A4008" w:sz="6"/>
              <w:bottom w:val="single" w:color="6A4008" w:sz="6"/>
              <w:right w:val="single" w:color="6A4008" w:sz="6"/>
            </w:tcBorders>
            <w:shd w:fill="FDF5E0" w:val="clear"/>
            <w:tcMar>
              <w:top w:type="dxa" w:w="120"/>
              <w:left w:type="dxa" w:w="160"/>
              <w:bottom w:type="dxa" w:w="80"/>
              <w:right w:type="dxa" w:w="160"/>
            </w:tcMar>
          </w:tcPr>
          <w:p>
            <w:pPr>
              <w:spacing w:before="0" w:after="0"/>
            </w:pPr>
            <w:r>
              <w:rPr>
                <w:rFonts w:ascii="Arial" w:cs="Arial" w:eastAsia="Arial" w:hAnsi="Arial"/>
                <w:b/>
                <w:bCs/>
                <w:color w:val="6A4008"/>
                <w:sz w:val="24"/>
                <w:szCs w:val="24"/>
              </w:rPr>
              <w:t xml:space="preserve">🦋 The Caterpillar Is the Point</w:t>
            </w:r>
          </w:p>
        </w:tc>
      </w:tr>
      <w:tr>
        <w:tc>
          <w:tcPr>
            <w:tcBorders>
              <w:top w:val="single" w:color="6A4008" w:sz="6"/>
              <w:left w:val="single" w:color="6A4008" w:sz="6"/>
              <w:bottom w:val="single" w:color="6A4008" w:sz="6"/>
              <w:right w:val="single" w:color="6A4008" w:sz="6"/>
            </w:tcBorders>
            <w:shd w:fill="FDF5E0"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The most common mistake in butterfly gardening is seeing caterpillars on host plants as a problem. A caterpillar eating your host plant is not damage — it is success. It means a female butterfly found your garden acceptable for reproduction, laid her eggs there, and those eggs successfully hatched. That caterpillar will become a butterfly.</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A host plant that has been partially consumed by caterpillars is a host plant that is working. Most plants recover fully from caterpillar feeding. If caterpillars consume the entire host plant, that’s a sign to plant more of it — not to treat or remove the caterpillars.</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Never apply Bt (Bacillus thuringiensis) to or near host plants in a butterfly garden. Bt kurstaki kills caterpillars indiscriminately — both pest species and butterfly larvae. It is incompatible with butterfly gardening.</w:t>
            </w:r>
          </w:p>
        </w:tc>
      </w:tr>
    </w:tbl>
    <w:p>
      <w:pPr>
        <w:spacing w:before="0" w:after="120"/>
      </w:pPr>
      <w:r>
        <w:t xml:space="preserve"/>
      </w:r>
    </w:p>
    <w:p>
      <w:pPr>
        <w:pStyle w:val="Heading2"/>
        <w:spacing w:before="240" w:after="120"/>
      </w:pPr>
      <w:r>
        <w:rPr>
          <w:rFonts w:ascii="Arial" w:cs="Arial" w:eastAsia="Arial" w:hAnsi="Arial"/>
          <w:b/>
          <w:bCs/>
          <w:color w:val="1E4020"/>
          <w:sz w:val="28"/>
          <w:szCs w:val="28"/>
        </w:rPr>
        <w:t xml:space="preserve">Host Plants by Plant Type</w:t>
      </w:r>
    </w:p>
    <w:p>
      <w:pPr>
        <w:spacing w:before="0" w:after="6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800"/>
        <w:gridCol w:w="1600"/>
        <w:gridCol w:w="2000"/>
        <w:gridCol w:w="360"/>
      </w:tblGrid>
      <w:tr>
        <w:trPr>
          <w:tblHeader/>
        </w:trPr>
        <w:tc>
          <w:tcPr>
            <w:tcW w:type="dxa" w:w="2400"/>
            <w:tcBorders>
              <w:top w:val="single" w:color="1E4020" w:sz="1"/>
              <w:left w:val="single" w:color="1E4020" w:sz="1"/>
              <w:bottom w:val="single" w:color="1E4020" w:sz="1"/>
              <w:right w:val="single" w:color="1E4020" w:sz="1"/>
            </w:tcBorders>
            <w:shd w:fill="1E4020" w:val="clear"/>
            <w:tcMar>
              <w:top w:type="dxa" w:w="80"/>
              <w:left w:type="dxa" w:w="120"/>
              <w:bottom w:type="dxa" w:w="80"/>
              <w:right w:type="dxa" w:w="120"/>
            </w:tcMar>
          </w:tcPr>
          <w:p>
            <w:r>
              <w:rPr>
                <w:rFonts w:ascii="Arial" w:cs="Arial" w:eastAsia="Arial" w:hAnsi="Arial"/>
                <w:b/>
                <w:bCs/>
                <w:color w:val="FFFFFF"/>
                <w:sz w:val="20"/>
                <w:szCs w:val="20"/>
              </w:rPr>
              <w:t xml:space="preserve">Host Plant</w:t>
            </w:r>
          </w:p>
        </w:tc>
        <w:tc>
          <w:tcPr>
            <w:tcW w:type="dxa" w:w="2400"/>
            <w:tcBorders>
              <w:top w:val="single" w:color="1E4020" w:sz="1"/>
              <w:left w:val="single" w:color="1E4020" w:sz="1"/>
              <w:bottom w:val="single" w:color="1E4020" w:sz="1"/>
              <w:right w:val="single" w:color="1E4020" w:sz="1"/>
            </w:tcBorders>
            <w:shd w:fill="1E4020" w:val="clear"/>
            <w:tcMar>
              <w:top w:type="dxa" w:w="80"/>
              <w:left w:type="dxa" w:w="120"/>
              <w:bottom w:type="dxa" w:w="80"/>
              <w:right w:type="dxa" w:w="120"/>
            </w:tcMar>
          </w:tcPr>
          <w:p>
            <w:r>
              <w:rPr>
                <w:rFonts w:ascii="Arial" w:cs="Arial" w:eastAsia="Arial" w:hAnsi="Arial"/>
                <w:b/>
                <w:bCs/>
                <w:color w:val="FFFFFF"/>
                <w:sz w:val="20"/>
                <w:szCs w:val="20"/>
              </w:rPr>
              <w:t xml:space="preserve">Butterflies Supported</w:t>
            </w:r>
          </w:p>
        </w:tc>
        <w:tc>
          <w:tcPr>
            <w:tcW w:type="dxa" w:w="800"/>
            <w:tcBorders>
              <w:top w:val="single" w:color="1E4020" w:sz="1"/>
              <w:left w:val="single" w:color="1E4020" w:sz="1"/>
              <w:bottom w:val="single" w:color="1E4020" w:sz="1"/>
              <w:right w:val="single" w:color="1E4020" w:sz="1"/>
            </w:tcBorders>
            <w:shd w:fill="1E4020"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1600"/>
            <w:tcBorders>
              <w:top w:val="single" w:color="1E4020" w:sz="1"/>
              <w:left w:val="single" w:color="1E4020" w:sz="1"/>
              <w:bottom w:val="single" w:color="1E4020" w:sz="1"/>
              <w:right w:val="single" w:color="1E4020" w:sz="1"/>
            </w:tcBorders>
            <w:shd w:fill="1E4020" w:val="clear"/>
            <w:tcMar>
              <w:top w:type="dxa" w:w="80"/>
              <w:left w:type="dxa" w:w="120"/>
              <w:bottom w:type="dxa" w:w="80"/>
              <w:right w:type="dxa" w:w="120"/>
            </w:tcMar>
          </w:tcPr>
          <w:p>
            <w:r>
              <w:rPr>
                <w:rFonts w:ascii="Arial" w:cs="Arial" w:eastAsia="Arial" w:hAnsi="Arial"/>
                <w:b/>
                <w:bCs/>
                <w:color w:val="FFFFFF"/>
                <w:sz w:val="20"/>
                <w:szCs w:val="20"/>
              </w:rPr>
              <w:t xml:space="preserve">Size / Form</w:t>
            </w:r>
          </w:p>
        </w:tc>
        <w:tc>
          <w:tcPr>
            <w:tcW w:type="dxa" w:w="2000"/>
            <w:tcBorders>
              <w:top w:val="single" w:color="1E4020" w:sz="1"/>
              <w:left w:val="single" w:color="1E4020" w:sz="1"/>
              <w:bottom w:val="single" w:color="1E4020" w:sz="1"/>
              <w:right w:val="single" w:color="1E4020" w:sz="1"/>
            </w:tcBorders>
            <w:shd w:fill="1E4020" w:val="clear"/>
            <w:tcMar>
              <w:top w:type="dxa" w:w="80"/>
              <w:left w:type="dxa" w:w="120"/>
              <w:bottom w:type="dxa" w:w="80"/>
              <w:right w:type="dxa" w:w="120"/>
            </w:tcMar>
          </w:tcPr>
          <w:p>
            <w:r>
              <w:rPr>
                <w:rFonts w:ascii="Arial" w:cs="Arial" w:eastAsia="Arial" w:hAnsi="Arial"/>
                <w:b/>
                <w:bCs/>
                <w:color w:val="FFFFFF"/>
                <w:sz w:val="20"/>
                <w:szCs w:val="20"/>
              </w:rPr>
              <w:t xml:space="preserve">Garden Use</w:t>
            </w:r>
          </w:p>
        </w:tc>
        <w:tc>
          <w:tcPr>
            <w:tcW w:type="dxa" w:w="360"/>
            <w:tcBorders>
              <w:top w:val="single" w:color="1E4020" w:sz="1"/>
              <w:left w:val="single" w:color="1E4020" w:sz="1"/>
              <w:bottom w:val="single" w:color="1E4020" w:sz="1"/>
              <w:right w:val="single" w:color="1E4020" w:sz="1"/>
            </w:tcBorders>
            <w:shd w:fill="1E402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Milkweed — Butterfly Weed
(Asclepias tuberosa)</w:t>
            </w:r>
          </w:p>
        </w:tc>
        <w:tc>
          <w:tcPr>
            <w:tcW w:type="dxa" w:w="24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Monarch, Queen, gray hairstreak</w:t>
            </w:r>
          </w:p>
        </w:tc>
        <w:tc>
          <w:tcPr>
            <w:tcW w:type="dxa" w:w="8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3–10</w:t>
            </w:r>
          </w:p>
        </w:tc>
        <w:tc>
          <w:tcPr>
            <w:tcW w:type="dxa" w:w="16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18–24 in; drought-tolerant perennial</w:t>
            </w:r>
          </w:p>
        </w:tc>
        <w:tc>
          <w:tcPr>
            <w:tcW w:type="dxa" w:w="20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sun; rock gardens; dry borders; excellent ornamental</w:t>
            </w:r>
          </w:p>
        </w:tc>
        <w:tc>
          <w:tcPr>
            <w:tcW w:type="dxa" w:w="36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most commonly available native milkweed; brilliant orange flowers; requires excellent drainage; does NOT spread aggressively. One of the best dual-purpose ornamental/host plants.</w:t>
            </w:r>
          </w:p>
        </w:tc>
      </w:tr>
      <w:tr>
        <w:tc>
          <w:tcPr>
            <w:tcW w:type="dxa" w:w="24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Milkweed — Common Milkweed
(Asclepias syriaca)</w:t>
            </w:r>
          </w:p>
        </w:tc>
        <w:tc>
          <w:tcPr>
            <w:tcW w:type="dxa" w:w="24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Monarch, Queen, gray hairstreak</w:t>
            </w:r>
          </w:p>
        </w:tc>
        <w:tc>
          <w:tcPr>
            <w:tcW w:type="dxa" w:w="8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16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3–5 ft; spreads by rhizome</w:t>
            </w:r>
          </w:p>
        </w:tc>
        <w:tc>
          <w:tcPr>
            <w:tcW w:type="dxa" w:w="20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Naturalizing areas, meadows, large spaces; not for small formal beds</w:t>
            </w:r>
          </w:p>
        </w:tc>
        <w:tc>
          <w:tcPr>
            <w:tcW w:type="dxa" w:w="36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The monarch’s most important host across most of the East and Midwest. Spreads aggressively by rhizome — plant in contained areas or where spread is welcome. Fragrant pink-purple flower clusters.</w:t>
            </w:r>
          </w:p>
        </w:tc>
      </w:tr>
      <w:tr>
        <w:tc>
          <w:tcPr>
            <w:tcW w:type="dxa" w:w="24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Milkweed — Swamp Milkweed
(Asclepias incarnata)</w:t>
            </w:r>
          </w:p>
        </w:tc>
        <w:tc>
          <w:tcPr>
            <w:tcW w:type="dxa" w:w="24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Monarch, Queen</w:t>
            </w:r>
          </w:p>
        </w:tc>
        <w:tc>
          <w:tcPr>
            <w:tcW w:type="dxa" w:w="8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16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 ft; moist soils</w:t>
            </w:r>
          </w:p>
        </w:tc>
        <w:tc>
          <w:tcPr>
            <w:tcW w:type="dxa" w:w="20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Rain gardens, pond edges, moist borders</w:t>
            </w:r>
          </w:p>
        </w:tc>
        <w:tc>
          <w:tcPr>
            <w:tcW w:type="dxa" w:w="36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Beautiful pink flower clusters; excellent monarch host that does not spread aggressively. Tolerates wet conditions where butterfly weed would fail.</w:t>
            </w:r>
          </w:p>
        </w:tc>
      </w:tr>
      <w:tr>
        <w:tc>
          <w:tcPr>
            <w:tcW w:type="dxa" w:w="24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Milkweed — Showy Milkweed
(Asclepias speciosa)</w:t>
            </w:r>
          </w:p>
        </w:tc>
        <w:tc>
          <w:tcPr>
            <w:tcW w:type="dxa" w:w="24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Monarch, Queen; the primary western milkweed</w:t>
            </w:r>
          </w:p>
        </w:tc>
        <w:tc>
          <w:tcPr>
            <w:tcW w:type="dxa" w:w="8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3–9</w:t>
            </w:r>
          </w:p>
        </w:tc>
        <w:tc>
          <w:tcPr>
            <w:tcW w:type="dxa" w:w="16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2–4 ft; somewhat spreading</w:t>
            </w:r>
          </w:p>
        </w:tc>
        <w:tc>
          <w:tcPr>
            <w:tcW w:type="dxa" w:w="20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Western gardens; full sun; dry to moderate moisture</w:t>
            </w:r>
          </w:p>
        </w:tc>
        <w:tc>
          <w:tcPr>
            <w:tcW w:type="dxa" w:w="36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The most important monarch milkweed for western gardens west of the Rockies. Large, showy pink flowers. Plant in groups for visual impact.</w:t>
            </w:r>
          </w:p>
        </w:tc>
      </w:tr>
      <w:tr>
        <w:tc>
          <w:tcPr>
            <w:tcW w:type="dxa" w:w="24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Passionflower (Maypop)
(Passiflora incarnata)</w:t>
            </w:r>
          </w:p>
        </w:tc>
        <w:tc>
          <w:tcPr>
            <w:tcW w:type="dxa" w:w="24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Gulf fritillary, zebra longwing, variegated fritillary, Julia heliconian</w:t>
            </w:r>
          </w:p>
        </w:tc>
        <w:tc>
          <w:tcPr>
            <w:tcW w:type="dxa" w:w="8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5–10</w:t>
            </w:r>
          </w:p>
        </w:tc>
        <w:tc>
          <w:tcPr>
            <w:tcW w:type="dxa" w:w="16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Perennial vine to 15–30 ft</w:t>
            </w:r>
          </w:p>
        </w:tc>
        <w:tc>
          <w:tcPr>
            <w:tcW w:type="dxa" w:w="20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Trellis, fence, arbor; spreads by underground runners</w:t>
            </w:r>
          </w:p>
        </w:tc>
        <w:tc>
          <w:tcPr>
            <w:tcW w:type="dxa" w:w="36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Extraordinarily beautiful purple flowers; edible orange fruit; one of the most important host plants for fritillary butterflies in the South and East. In Zones 5–7, dies to the ground and regrows vigorously. Allow to spread in appropriate areas.</w:t>
            </w:r>
          </w:p>
        </w:tc>
      </w:tr>
      <w:tr>
        <w:tc>
          <w:tcPr>
            <w:tcW w:type="dxa" w:w="24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Spicebush
(Lindera benzoin)</w:t>
            </w:r>
          </w:p>
        </w:tc>
        <w:tc>
          <w:tcPr>
            <w:tcW w:type="dxa" w:w="24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Spicebush swallowtail (primary); also palamedes swallowtail</w:t>
            </w:r>
          </w:p>
        </w:tc>
        <w:tc>
          <w:tcPr>
            <w:tcW w:type="dxa" w:w="8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4–9</w:t>
            </w:r>
          </w:p>
        </w:tc>
        <w:tc>
          <w:tcPr>
            <w:tcW w:type="dxa" w:w="16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5–12 ft shrub</w:t>
            </w:r>
          </w:p>
        </w:tc>
        <w:tc>
          <w:tcPr>
            <w:tcW w:type="dxa" w:w="20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Shade garden, woodland edge, shrub border</w:t>
            </w:r>
          </w:p>
        </w:tc>
        <w:tc>
          <w:tcPr>
            <w:tcW w:type="dxa" w:w="36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Outstanding four-season native shrub: aromatic yellow spring flowers; handsome summer foliage; brilliant red fall berries eaten by birds; good fall color. The definitive host plant for spicebush swallowtail.</w:t>
            </w:r>
          </w:p>
        </w:tc>
      </w:tr>
      <w:tr>
        <w:tc>
          <w:tcPr>
            <w:tcW w:type="dxa" w:w="24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Wild Senna
(Senna hebecarpa / S. marilandica)</w:t>
            </w:r>
          </w:p>
        </w:tc>
        <w:tc>
          <w:tcPr>
            <w:tcW w:type="dxa" w:w="24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Cloudless sulphur, orange sulphur, sleepy orange</w:t>
            </w:r>
          </w:p>
        </w:tc>
        <w:tc>
          <w:tcPr>
            <w:tcW w:type="dxa" w:w="8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w:t>
            </w:r>
          </w:p>
        </w:tc>
        <w:tc>
          <w:tcPr>
            <w:tcW w:type="dxa" w:w="16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4–6 ft perennial</w:t>
            </w:r>
          </w:p>
        </w:tc>
        <w:tc>
          <w:tcPr>
            <w:tcW w:type="dxa" w:w="20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Back of border; meadow; naturalizing areas</w:t>
            </w:r>
          </w:p>
        </w:tc>
        <w:tc>
          <w:tcPr>
            <w:tcW w:type="dxa" w:w="36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Native species with yellow summer flowers; important host for cloudless sulphur which lays eggs on the fresh growing tips. The caterpillar’s back arches in a distinctive pose.</w:t>
            </w:r>
          </w:p>
        </w:tc>
      </w:tr>
      <w:tr>
        <w:tc>
          <w:tcPr>
            <w:tcW w:type="dxa" w:w="24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Golden Alexander
(Zizia aurea)</w:t>
            </w:r>
          </w:p>
        </w:tc>
        <w:tc>
          <w:tcPr>
            <w:tcW w:type="dxa" w:w="24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Black swallowtail, anise swallowtail, Ozark swallowtail</w:t>
            </w:r>
          </w:p>
        </w:tc>
        <w:tc>
          <w:tcPr>
            <w:tcW w:type="dxa" w:w="8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16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18–24 in; moist to average soils</w:t>
            </w:r>
          </w:p>
        </w:tc>
        <w:tc>
          <w:tcPr>
            <w:tcW w:type="dxa" w:w="20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Rain gardens, moist borders; excellent companion for native grasses</w:t>
            </w:r>
          </w:p>
        </w:tc>
        <w:tc>
          <w:tcPr>
            <w:tcW w:type="dxa" w:w="36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Native carrot-family plant with early yellow flowers; essential early-season host for black swallowtail. One of the most beautiful and most ecologically valuable spring-blooming natives.</w:t>
            </w:r>
          </w:p>
        </w:tc>
      </w:tr>
      <w:tr>
        <w:tc>
          <w:tcPr>
            <w:tcW w:type="dxa" w:w="24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Wild Violet
(Viola sororia and other native Viola spp.)</w:t>
            </w:r>
          </w:p>
        </w:tc>
        <w:tc>
          <w:tcPr>
            <w:tcW w:type="dxa" w:w="24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Great spangled fritillary, variegated fritillary, all Speyeria fritillaries</w:t>
            </w:r>
          </w:p>
        </w:tc>
        <w:tc>
          <w:tcPr>
            <w:tcW w:type="dxa" w:w="8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3–9 (varies by species)</w:t>
            </w:r>
          </w:p>
        </w:tc>
        <w:tc>
          <w:tcPr>
            <w:tcW w:type="dxa" w:w="16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 in ground cover; spreads by seed</w:t>
            </w:r>
          </w:p>
        </w:tc>
        <w:tc>
          <w:tcPr>
            <w:tcW w:type="dxa" w:w="20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Lawn substitute; shaded borders; woodland garden</w:t>
            </w:r>
          </w:p>
        </w:tc>
        <w:tc>
          <w:tcPr>
            <w:tcW w:type="dxa" w:w="36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Native violets are essential for all fritillary species. Female great spangled fritillaries lay eggs near (but not always on) violet plants in late summer; hatchlings overwinter and emerge to feed on violets in spring. Allow violets in the lawn.</w:t>
            </w:r>
          </w:p>
        </w:tc>
      </w:tr>
      <w:tr>
        <w:tc>
          <w:tcPr>
            <w:tcW w:type="dxa" w:w="24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Dutchman’s Pipe
(Aristolochia macrophylla)</w:t>
            </w:r>
          </w:p>
        </w:tc>
        <w:tc>
          <w:tcPr>
            <w:tcW w:type="dxa" w:w="24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Pipevine swallowtail (exclusively)</w:t>
            </w:r>
          </w:p>
        </w:tc>
        <w:tc>
          <w:tcPr>
            <w:tcW w:type="dxa" w:w="8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4–8</w:t>
            </w:r>
          </w:p>
        </w:tc>
        <w:tc>
          <w:tcPr>
            <w:tcW w:type="dxa" w:w="16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Large deciduous vine to 30 ft</w:t>
            </w:r>
          </w:p>
        </w:tc>
        <w:tc>
          <w:tcPr>
            <w:tcW w:type="dxa" w:w="20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Porch, trellis, arbor, fence; fast-growing shade vine</w:t>
            </w:r>
          </w:p>
        </w:tc>
        <w:tc>
          <w:tcPr>
            <w:tcW w:type="dxa" w:w="36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Plant this if you want pipevine swallowtails; without Aristolochia, they cannot breed. Fast-growing; large, tropical-looking leaves; small pipe-shaped flowers. The caterpillars are spectacular: black with red tubercles.</w:t>
            </w:r>
          </w:p>
        </w:tc>
      </w:tr>
      <w:tr>
        <w:tc>
          <w:tcPr>
            <w:tcW w:type="dxa" w:w="24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Native Oaks
(Quercus spp.)</w:t>
            </w:r>
          </w:p>
        </w:tc>
        <w:tc>
          <w:tcPr>
            <w:tcW w:type="dxa" w:w="24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Banded hairstreak, white M hairstreak, Juvenal’s duskywing, and over 500 other species of moths and butterflies combined</w:t>
            </w:r>
          </w:p>
        </w:tc>
        <w:tc>
          <w:tcPr>
            <w:tcW w:type="dxa" w:w="8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3–10 (varies widely by species)</w:t>
            </w:r>
          </w:p>
        </w:tc>
        <w:tc>
          <w:tcPr>
            <w:tcW w:type="dxa" w:w="16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Large trees; shrub oaks also available</w:t>
            </w:r>
          </w:p>
        </w:tc>
        <w:tc>
          <w:tcPr>
            <w:tcW w:type="dxa" w:w="20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Structural tree; landscape anchor; unmatched ecological value</w:t>
            </w:r>
          </w:p>
        </w:tc>
        <w:tc>
          <w:tcPr>
            <w:tcW w:type="dxa" w:w="36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Native oaks support more wildlife species than any other tree genus in North America. Even a single oak provides host habitat for multiple hairstreak species. Shrub oaks (Q. ilicifolia, Q. prinoides) work in smaller spaces.</w:t>
            </w:r>
          </w:p>
        </w:tc>
      </w:tr>
      <w:tr>
        <w:tc>
          <w:tcPr>
            <w:tcW w:type="dxa" w:w="24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Native Willows
(Salix spp.)</w:t>
            </w:r>
          </w:p>
        </w:tc>
        <w:tc>
          <w:tcPr>
            <w:tcW w:type="dxa" w:w="24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Viceroy, mourning cloak, red-spotted purple, western tiger swallowtail, and many others</w:t>
            </w:r>
          </w:p>
        </w:tc>
        <w:tc>
          <w:tcPr>
            <w:tcW w:type="dxa" w:w="8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2–8 (varies)</w:t>
            </w:r>
          </w:p>
        </w:tc>
        <w:tc>
          <w:tcPr>
            <w:tcW w:type="dxa" w:w="16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Shrub to large tree</w:t>
            </w:r>
          </w:p>
        </w:tc>
        <w:tc>
          <w:tcPr>
            <w:tcW w:type="dxa" w:w="20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Moist areas, streamside, rain gardens; also as shrub in moist border</w:t>
            </w:r>
          </w:p>
        </w:tc>
        <w:tc>
          <w:tcPr>
            <w:tcW w:type="dxa" w:w="36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Plant native willows in moist areas where they can grow without supplemental irrigation. Pussy willow (S. discolor) is an excellent native shrub-form option. Supports more than 450 caterpillar species.</w:t>
            </w:r>
          </w:p>
        </w:tc>
      </w:tr>
      <w:tr>
        <w:tc>
          <w:tcPr>
            <w:tcW w:type="dxa" w:w="24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Wild Cherry &amp; Chokecherry
(Prunus serotina, P. virginiana)</w:t>
            </w:r>
          </w:p>
        </w:tc>
        <w:tc>
          <w:tcPr>
            <w:tcW w:type="dxa" w:w="24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Eastern and western tiger swallowtail, spring azure, coral hairstreak, and others</w:t>
            </w:r>
          </w:p>
        </w:tc>
        <w:tc>
          <w:tcPr>
            <w:tcW w:type="dxa" w:w="8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2–8 (P. virginiana); 3–9 (P. serotina)</w:t>
            </w:r>
          </w:p>
        </w:tc>
        <w:tc>
          <w:tcPr>
            <w:tcW w:type="dxa" w:w="16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Large shrub to tree</w:t>
            </w:r>
          </w:p>
        </w:tc>
        <w:tc>
          <w:tcPr>
            <w:tcW w:type="dxa" w:w="20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Native tree for bird and butterfly habitat; wildlife value unparalleled</w:t>
            </w:r>
          </w:p>
        </w:tc>
        <w:tc>
          <w:tcPr>
            <w:tcW w:type="dxa" w:w="36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Black cherry (Prunus serotina) is the primary host for eastern tiger swallowtail caterpillars. Chokecherry (P. virginiana) is extremely cold-hardy and supports the same butterfly species.</w:t>
            </w:r>
          </w:p>
        </w:tc>
      </w:tr>
      <w:tr>
        <w:tc>
          <w:tcPr>
            <w:tcW w:type="dxa" w:w="24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Prairie Clovers
(Dalea purpurea, D. candida)</w:t>
            </w:r>
          </w:p>
        </w:tc>
        <w:tc>
          <w:tcPr>
            <w:tcW w:type="dxa" w:w="24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Southern dogface butterfly, reakirt’s blue, gray hairstreak</w:t>
            </w:r>
          </w:p>
        </w:tc>
        <w:tc>
          <w:tcPr>
            <w:tcW w:type="dxa" w:w="8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16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1–2 ft; drought-tolerant perennial</w:t>
            </w:r>
          </w:p>
        </w:tc>
        <w:tc>
          <w:tcPr>
            <w:tcW w:type="dxa" w:w="20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Prairie-style borders; xeric gardens; meadow</w:t>
            </w:r>
          </w:p>
        </w:tc>
        <w:tc>
          <w:tcPr>
            <w:tcW w:type="dxa" w:w="36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Outstanding native prairie plants with beautiful dense flower spikes; excellent nectar and host plants for multiple butterfly species. Among the most wildlife-valuable small perennials for Midwestern gardens.</w:t>
            </w:r>
          </w:p>
        </w:tc>
      </w:tr>
      <w:tr>
        <w:tc>
          <w:tcPr>
            <w:tcW w:type="dxa" w:w="24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Hackberry
(Celtis occidentalis)</w:t>
            </w:r>
          </w:p>
        </w:tc>
        <w:tc>
          <w:tcPr>
            <w:tcW w:type="dxa" w:w="24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American snout, hackberry emperor, tawny emperor, question mark, mourning cloak, eastern comma</w:t>
            </w:r>
          </w:p>
        </w:tc>
        <w:tc>
          <w:tcPr>
            <w:tcW w:type="dxa" w:w="8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2–9</w:t>
            </w:r>
          </w:p>
        </w:tc>
        <w:tc>
          <w:tcPr>
            <w:tcW w:type="dxa" w:w="16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25–60 ft native tree</w:t>
            </w:r>
          </w:p>
        </w:tc>
        <w:tc>
          <w:tcPr>
            <w:tcW w:type="dxa" w:w="20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Shade tree; naturalizing; woodland garden</w:t>
            </w:r>
          </w:p>
        </w:tc>
        <w:tc>
          <w:tcPr>
            <w:tcW w:type="dxa" w:w="36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of the most butterfly-productive native trees; supports an entire suite of specialist butterfly species that depend on it. Hackberry also produces small dark berries that birds eat avidly. An outstanding landscape tree.</w:t>
            </w:r>
          </w:p>
        </w:tc>
      </w:tr>
      <w:tr>
        <w:tc>
          <w:tcPr>
            <w:tcW w:type="dxa" w:w="24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Native Aster-Leaf Plants — Pearly Everlasting
(Anaphalis margaritacea)</w:t>
            </w:r>
          </w:p>
        </w:tc>
        <w:tc>
          <w:tcPr>
            <w:tcW w:type="dxa" w:w="24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American lady (primary host)</w:t>
            </w:r>
          </w:p>
        </w:tc>
        <w:tc>
          <w:tcPr>
            <w:tcW w:type="dxa" w:w="8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16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12–18 in; spreads by rhizome</w:t>
            </w:r>
          </w:p>
        </w:tc>
        <w:tc>
          <w:tcPr>
            <w:tcW w:type="dxa" w:w="20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Silvery-white accent; rock gardens; meadow edges</w:t>
            </w:r>
          </w:p>
        </w:tc>
        <w:tc>
          <w:tcPr>
            <w:tcW w:type="dxa" w:w="36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Plant pearly everlasting for American ladies; it is also beautiful as a silver accent plant. The American lady female lays eggs on the woolly leaves and the caterpillar lives in a silk-bound leaf tent.</w:t>
            </w:r>
          </w:p>
        </w:tc>
      </w:tr>
    </w:tbl>
    <w:p>
      <w:pPr>
        <w:spacing w:before="0" w:after="120"/>
      </w:pPr>
      <w:r>
        <w:t xml:space="preserve"/>
      </w:r>
    </w:p>
    <w:p>
      <w:pPr>
        <w:pBdr>
          <w:bottom w:val="single" w:color="2A1858" w:sz="6" w:space="1"/>
        </w:pBdr>
        <w:spacing w:before="160" w:after="160"/>
      </w:pPr>
      <w:r>
        <w:t xml:space="preserve"/>
      </w:r>
    </w:p>
    <w:p>
      <w:r>
        <w:br w:type="page"/>
      </w:r>
    </w:p>
    <w:p>
      <w:pPr>
        <w:pStyle w:val="Heading1"/>
        <w:spacing w:before="360" w:after="180"/>
      </w:pPr>
      <w:r>
        <w:rPr>
          <w:rFonts w:ascii="Arial" w:cs="Arial" w:eastAsia="Arial" w:hAnsi="Arial"/>
          <w:b/>
          <w:bCs/>
          <w:color w:val="2A1858"/>
          <w:sz w:val="36"/>
          <w:szCs w:val="36"/>
        </w:rPr>
        <w:t xml:space="preserve">Section 3: Nectar Plants — Attracting and Feeding Adult Butterflies</w:t>
      </w:r>
    </w:p>
    <w:p>
      <w:pPr>
        <w:spacing w:before="120" w:after="160" w:line="285"/>
      </w:pPr>
      <w:r>
        <w:rPr>
          <w:rFonts w:ascii="Arial" w:cs="Arial" w:eastAsia="Arial" w:hAnsi="Arial"/>
          <w:sz w:val="22"/>
          <w:szCs w:val="22"/>
        </w:rPr>
        <w:t xml:space="preserve">Adult butterflies require nectar throughout the season. Unlike host plants which support specific species, nectar plants attract a broad range of visiting adult butterflies. The most productive nectar gardens provide continuous bloom from early spring through fall, offer flowers in open, accessible forms that allow butterflies to land and probe, and include a mix of species to support the full diversity of visiting butterfly sizes and proboscis lengths.</w:t>
      </w:r>
    </w:p>
    <w:p>
      <w:pPr>
        <w:pStyle w:val="Heading2"/>
        <w:spacing w:before="240" w:after="120"/>
      </w:pPr>
      <w:r>
        <w:rPr>
          <w:rFonts w:ascii="Arial" w:cs="Arial" w:eastAsia="Arial" w:hAnsi="Arial"/>
          <w:b/>
          <w:bCs/>
          <w:color w:val="1E4020"/>
          <w:sz w:val="28"/>
          <w:szCs w:val="28"/>
        </w:rPr>
        <w:t xml:space="preserve">Characteristics of the Best Butterfly Nectar Plants</w:t>
      </w:r>
    </w:p>
    <w:p>
      <w:pPr>
        <w:pStyle w:val="ListParagraph"/>
        <w:numPr>
          <w:ilvl w:val="0"/>
          <w:numId w:val="2"/>
        </w:numPr>
        <w:spacing w:before="60" w:after="60"/>
      </w:pPr>
      <w:r>
        <w:rPr>
          <w:rFonts w:ascii="Arial" w:cs="Arial" w:eastAsia="Arial" w:hAnsi="Arial"/>
          <w:b/>
          <w:bCs/>
          <w:sz w:val="22"/>
          <w:szCs w:val="22"/>
        </w:rPr>
        <w:t xml:space="preserve">Open, landing-platform flower forms:</w:t>
      </w:r>
      <w:r>
        <w:rPr>
          <w:rFonts w:ascii="Arial" w:cs="Arial" w:eastAsia="Arial" w:hAnsi="Arial"/>
          <w:sz w:val="22"/>
          <w:szCs w:val="22"/>
        </w:rPr>
        <w:t xml:space="preserve"> Butterflies need to land on or near the flower to probe for nectar. Flat-topped clusters (milkweed, mountain mint, goldenrod, asters, Joe-Pye weed), broad landing surfaces (native thistles, zinnias, coneflowers), and clusters of small tubular flowers (ironweed, blazing star, native verbenas) provide this structure. Deeply tubular flowers, double flowers, and flowers with very short or inaccessible nectar are less effective.</w:t>
      </w:r>
    </w:p>
    <w:p>
      <w:pPr>
        <w:pStyle w:val="ListParagraph"/>
        <w:numPr>
          <w:ilvl w:val="0"/>
          <w:numId w:val="2"/>
        </w:numPr>
        <w:spacing w:before="60" w:after="60"/>
      </w:pPr>
      <w:r>
        <w:rPr>
          <w:rFonts w:ascii="Arial" w:cs="Arial" w:eastAsia="Arial" w:hAnsi="Arial"/>
          <w:b/>
          <w:bCs/>
          <w:sz w:val="22"/>
          <w:szCs w:val="22"/>
        </w:rPr>
        <w:t xml:space="preserve">Purple, violet, and pink flowers are most attractive:</w:t>
      </w:r>
      <w:r>
        <w:rPr>
          <w:rFonts w:ascii="Arial" w:cs="Arial" w:eastAsia="Arial" w:hAnsi="Arial"/>
          <w:sz w:val="22"/>
          <w:szCs w:val="22"/>
        </w:rPr>
        <w:t xml:space="preserve"> Research confirms that butterflies are preferentially attracted to flowers in the purple-violet-pink spectrum. Orange, yellow, and red flowers also attract butterflies, but purple and lavender-toned flowers reliably draw the most species. This is partially a result of butterfly color vision, which extends into the ultraviolet spectrum.</w:t>
      </w:r>
    </w:p>
    <w:p>
      <w:pPr>
        <w:pStyle w:val="ListParagraph"/>
        <w:numPr>
          <w:ilvl w:val="0"/>
          <w:numId w:val="2"/>
        </w:numPr>
        <w:spacing w:before="60" w:after="60"/>
      </w:pPr>
      <w:r>
        <w:rPr>
          <w:rFonts w:ascii="Arial" w:cs="Arial" w:eastAsia="Arial" w:hAnsi="Arial"/>
          <w:b/>
          <w:bCs/>
          <w:sz w:val="22"/>
          <w:szCs w:val="22"/>
        </w:rPr>
        <w:t xml:space="preserve">Flat or gently curved flower clusters:</w:t>
      </w:r>
      <w:r>
        <w:rPr>
          <w:rFonts w:ascii="Arial" w:cs="Arial" w:eastAsia="Arial" w:hAnsi="Arial"/>
          <w:sz w:val="22"/>
          <w:szCs w:val="22"/>
        </w:rPr>
        <w:t xml:space="preserve"> Swallowtails and other large butterflies need room to land their wingspan (3 to 5 inches). Flat-topped flower clusters in ironweed, goldenrod, mountain mint, and Joe-Pye weed provide landing space for large species while also being accessible to small blues and hairstreaks.</w:t>
      </w:r>
    </w:p>
    <w:p>
      <w:pPr>
        <w:pStyle w:val="ListParagraph"/>
        <w:numPr>
          <w:ilvl w:val="0"/>
          <w:numId w:val="2"/>
        </w:numPr>
        <w:spacing w:before="60" w:after="60"/>
      </w:pPr>
      <w:r>
        <w:rPr>
          <w:rFonts w:ascii="Arial" w:cs="Arial" w:eastAsia="Arial" w:hAnsi="Arial"/>
          <w:b/>
          <w:bCs/>
          <w:sz w:val="22"/>
          <w:szCs w:val="22"/>
        </w:rPr>
        <w:t xml:space="preserve">Continuous bloom from spring through fall:</w:t>
      </w:r>
      <w:r>
        <w:rPr>
          <w:rFonts w:ascii="Arial" w:cs="Arial" w:eastAsia="Arial" w:hAnsi="Arial"/>
          <w:sz w:val="22"/>
          <w:szCs w:val="22"/>
        </w:rPr>
        <w:t xml:space="preserve"> A nectar garden that peaks in summer but offers nothing in early spring (when migrants first arrive) or fall (when monarchs and other species need to fuel for migration) provides limited value. Plan for sequential bloom across all three seasons.</w:t>
      </w:r>
    </w:p>
    <w:p>
      <w:pPr>
        <w:spacing w:before="0" w:after="120"/>
      </w:pPr>
      <w:r>
        <w:t xml:space="preserve"/>
      </w:r>
    </w:p>
    <w:p>
      <w:pPr>
        <w:pStyle w:val="Heading2"/>
        <w:spacing w:before="240" w:after="120"/>
      </w:pPr>
      <w:r>
        <w:rPr>
          <w:rFonts w:ascii="Arial" w:cs="Arial" w:eastAsia="Arial" w:hAnsi="Arial"/>
          <w:b/>
          <w:bCs/>
          <w:color w:val="1E4020"/>
          <w:sz w:val="28"/>
          <w:szCs w:val="28"/>
        </w:rPr>
        <w:t xml:space="preserve">The Top Nectar Plants: Organized by Season</w:t>
      </w:r>
    </w:p>
    <w:p>
      <w:pPr>
        <w:pStyle w:val="Heading3"/>
        <w:spacing w:before="180" w:after="80"/>
      </w:pPr>
      <w:r>
        <w:rPr>
          <w:rFonts w:ascii="Arial" w:cs="Arial" w:eastAsia="Arial" w:hAnsi="Arial"/>
          <w:b/>
          <w:bCs/>
          <w:color w:val="6A4008"/>
          <w:sz w:val="24"/>
          <w:szCs w:val="24"/>
        </w:rPr>
        <w:t xml:space="preserve">Spring Nectar Sources (March – May in most regions)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2900"/>
        <w:gridCol w:w="2260"/>
      </w:tblGrid>
      <w:tr>
        <w:trPr>
          <w:tblHeader/>
        </w:trPr>
        <w:tc>
          <w:tcPr>
            <w:tcW w:type="dxa" w:w="2400"/>
            <w:tcBorders>
              <w:top w:val="single" w:color="2A1858" w:sz="1"/>
              <w:left w:val="single" w:color="2A1858" w:sz="1"/>
              <w:bottom w:val="single" w:color="2A1858" w:sz="1"/>
              <w:right w:val="single" w:color="2A1858" w:sz="1"/>
            </w:tcBorders>
            <w:shd w:fill="2A1858" w:val="clear"/>
            <w:tcMar>
              <w:top w:type="dxa" w:w="80"/>
              <w:left w:type="dxa" w:w="120"/>
              <w:bottom w:type="dxa" w:w="80"/>
              <w:right w:type="dxa" w:w="120"/>
            </w:tcMar>
          </w:tcPr>
          <w:p>
            <w:r>
              <w:rPr>
                <w:rFonts w:ascii="Arial" w:cs="Arial" w:eastAsia="Arial" w:hAnsi="Arial"/>
                <w:b/>
                <w:bCs/>
                <w:color w:val="FFFFFF"/>
                <w:sz w:val="20"/>
                <w:szCs w:val="20"/>
              </w:rPr>
              <w:t xml:space="preserve">Plant</w:t>
            </w:r>
          </w:p>
        </w:tc>
        <w:tc>
          <w:tcPr>
            <w:tcW w:type="dxa" w:w="900"/>
            <w:tcBorders>
              <w:top w:val="single" w:color="2A1858" w:sz="1"/>
              <w:left w:val="single" w:color="2A1858" w:sz="1"/>
              <w:bottom w:val="single" w:color="2A1858" w:sz="1"/>
              <w:right w:val="single" w:color="2A1858" w:sz="1"/>
            </w:tcBorders>
            <w:shd w:fill="2A1858" w:val="clear"/>
            <w:tcMar>
              <w:top w:type="dxa" w:w="80"/>
              <w:left w:type="dxa" w:w="120"/>
              <w:bottom w:type="dxa" w:w="80"/>
              <w:right w:type="dxa" w:w="120"/>
            </w:tcMar>
          </w:tcPr>
          <w:p>
            <w:r>
              <w:rPr>
                <w:rFonts w:ascii="Arial" w:cs="Arial" w:eastAsia="Arial" w:hAnsi="Arial"/>
                <w:b/>
                <w:bCs/>
                <w:color w:val="FFFFFF"/>
                <w:sz w:val="20"/>
                <w:szCs w:val="20"/>
              </w:rPr>
              <w:t xml:space="preserve">Height</w:t>
            </w:r>
          </w:p>
        </w:tc>
        <w:tc>
          <w:tcPr>
            <w:tcW w:type="dxa" w:w="900"/>
            <w:tcBorders>
              <w:top w:val="single" w:color="2A1858" w:sz="1"/>
              <w:left w:val="single" w:color="2A1858" w:sz="1"/>
              <w:bottom w:val="single" w:color="2A1858" w:sz="1"/>
              <w:right w:val="single" w:color="2A1858" w:sz="1"/>
            </w:tcBorders>
            <w:shd w:fill="2A1858"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2900"/>
            <w:tcBorders>
              <w:top w:val="single" w:color="2A1858" w:sz="1"/>
              <w:left w:val="single" w:color="2A1858" w:sz="1"/>
              <w:bottom w:val="single" w:color="2A1858" w:sz="1"/>
              <w:right w:val="single" w:color="2A1858" w:sz="1"/>
            </w:tcBorders>
            <w:shd w:fill="2A1858" w:val="clear"/>
            <w:tcMar>
              <w:top w:type="dxa" w:w="80"/>
              <w:left w:type="dxa" w:w="120"/>
              <w:bottom w:type="dxa" w:w="80"/>
              <w:right w:type="dxa" w:w="120"/>
            </w:tcMar>
          </w:tcPr>
          <w:p>
            <w:r>
              <w:rPr>
                <w:rFonts w:ascii="Arial" w:cs="Arial" w:eastAsia="Arial" w:hAnsi="Arial"/>
                <w:b/>
                <w:bCs/>
                <w:color w:val="FFFFFF"/>
                <w:sz w:val="20"/>
                <w:szCs w:val="20"/>
              </w:rPr>
              <w:t xml:space="preserve">Primary Species Attracted</w:t>
            </w:r>
          </w:p>
        </w:tc>
        <w:tc>
          <w:tcPr>
            <w:tcW w:type="dxa" w:w="2260"/>
            <w:tcBorders>
              <w:top w:val="single" w:color="2A1858" w:sz="1"/>
              <w:left w:val="single" w:color="2A1858" w:sz="1"/>
              <w:bottom w:val="single" w:color="2A1858" w:sz="1"/>
              <w:right w:val="single" w:color="2A1858" w:sz="1"/>
            </w:tcBorders>
            <w:shd w:fill="2A185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Native violets (Viola spp.)</w:t>
            </w:r>
          </w:p>
        </w:tc>
        <w:tc>
          <w:tcPr>
            <w:tcW w:type="dxa" w:w="9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 in</w:t>
            </w:r>
          </w:p>
        </w:tc>
        <w:tc>
          <w:tcPr>
            <w:tcW w:type="dxa" w:w="9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3–9</w:t>
            </w:r>
          </w:p>
        </w:tc>
        <w:tc>
          <w:tcPr>
            <w:tcW w:type="dxa" w:w="29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Spring azure, fritillaries, small blues</w:t>
            </w:r>
          </w:p>
        </w:tc>
        <w:tc>
          <w:tcPr>
            <w:tcW w:type="dxa" w:w="226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Early and abundant; allow in lawn edges</w:t>
            </w:r>
          </w:p>
        </w:tc>
      </w:tr>
      <w:tr>
        <w:tc>
          <w:tcPr>
            <w:tcW w:type="dxa" w:w="24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Golden Alexander (Zizia aurea)</w:t>
            </w:r>
          </w:p>
        </w:tc>
        <w:tc>
          <w:tcPr>
            <w:tcW w:type="dxa" w:w="9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18–24 in</w:t>
            </w:r>
          </w:p>
        </w:tc>
        <w:tc>
          <w:tcPr>
            <w:tcW w:type="dxa" w:w="9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29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Black swallowtail (also host), spring azure, sulphurs</w:t>
            </w:r>
          </w:p>
        </w:tc>
        <w:tc>
          <w:tcPr>
            <w:tcW w:type="dxa" w:w="226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One of the best early-season butterfly plants; dual host/nectar</w:t>
            </w:r>
          </w:p>
        </w:tc>
      </w:tr>
      <w:tr>
        <w:tc>
          <w:tcPr>
            <w:tcW w:type="dxa" w:w="24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Wild strawberry (Fragaria virginiana)</w:t>
            </w:r>
          </w:p>
        </w:tc>
        <w:tc>
          <w:tcPr>
            <w:tcW w:type="dxa" w:w="9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6–12 in</w:t>
            </w:r>
          </w:p>
        </w:tc>
        <w:tc>
          <w:tcPr>
            <w:tcW w:type="dxa" w:w="9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29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Many small species; spring azure, hairstreaks</w:t>
            </w:r>
          </w:p>
        </w:tc>
        <w:tc>
          <w:tcPr>
            <w:tcW w:type="dxa" w:w="226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Native ground cover; early bloom</w:t>
            </w:r>
          </w:p>
        </w:tc>
      </w:tr>
      <w:tr>
        <w:tc>
          <w:tcPr>
            <w:tcW w:type="dxa" w:w="24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Redbud (Cercis canadensis)</w:t>
            </w:r>
          </w:p>
        </w:tc>
        <w:tc>
          <w:tcPr>
            <w:tcW w:type="dxa" w:w="9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15–25 ft tree</w:t>
            </w:r>
          </w:p>
        </w:tc>
        <w:tc>
          <w:tcPr>
            <w:tcW w:type="dxa" w:w="9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4–9</w:t>
            </w:r>
          </w:p>
        </w:tc>
        <w:tc>
          <w:tcPr>
            <w:tcW w:type="dxa" w:w="29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Eastern tiger swallowtail, spring azure, hairstreaks, hummingbirds</w:t>
            </w:r>
          </w:p>
        </w:tc>
        <w:tc>
          <w:tcPr>
            <w:tcW w:type="dxa" w:w="226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One of the most butterfly-visited trees in early spring</w:t>
            </w:r>
          </w:p>
        </w:tc>
      </w:tr>
      <w:tr>
        <w:tc>
          <w:tcPr>
            <w:tcW w:type="dxa" w:w="24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Lilac (Syringa vulgaris)</w:t>
            </w:r>
          </w:p>
        </w:tc>
        <w:tc>
          <w:tcPr>
            <w:tcW w:type="dxa" w:w="9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6–12 ft shrub</w:t>
            </w:r>
          </w:p>
        </w:tc>
        <w:tc>
          <w:tcPr>
            <w:tcW w:type="dxa" w:w="9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2–7</w:t>
            </w:r>
          </w:p>
        </w:tc>
        <w:tc>
          <w:tcPr>
            <w:tcW w:type="dxa" w:w="29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Eastern tiger swallowtail, swallowtails generally, skippers</w:t>
            </w:r>
          </w:p>
        </w:tc>
        <w:tc>
          <w:tcPr>
            <w:tcW w:type="dxa" w:w="226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Excellent early-spring nectar source when swallowtails are first emerging</w:t>
            </w:r>
          </w:p>
        </w:tc>
      </w:tr>
      <w:tr>
        <w:tc>
          <w:tcPr>
            <w:tcW w:type="dxa" w:w="24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Pussy willow (Salix discolor)</w:t>
            </w:r>
          </w:p>
        </w:tc>
        <w:tc>
          <w:tcPr>
            <w:tcW w:type="dxa" w:w="9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8–15 ft shrub</w:t>
            </w:r>
          </w:p>
        </w:tc>
        <w:tc>
          <w:tcPr>
            <w:tcW w:type="dxa" w:w="9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2–7</w:t>
            </w:r>
          </w:p>
        </w:tc>
        <w:tc>
          <w:tcPr>
            <w:tcW w:type="dxa" w:w="29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Mourning cloak, eastern comma, spring azure, mining bees</w:t>
            </w:r>
          </w:p>
        </w:tc>
        <w:tc>
          <w:tcPr>
            <w:tcW w:type="dxa" w:w="226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Early catkins provide nectar; also a host plant for several butterfly species</w:t>
            </w:r>
          </w:p>
        </w:tc>
      </w:tr>
    </w:tbl>
    <w:p>
      <w:pPr>
        <w:spacing w:before="0" w:after="120"/>
      </w:pPr>
      <w:r>
        <w:t xml:space="preserve"/>
      </w:r>
    </w:p>
    <w:p>
      <w:pPr>
        <w:pStyle w:val="Heading3"/>
        <w:spacing w:before="180" w:after="80"/>
      </w:pPr>
      <w:r>
        <w:rPr>
          <w:rFonts w:ascii="Arial" w:cs="Arial" w:eastAsia="Arial" w:hAnsi="Arial"/>
          <w:b/>
          <w:bCs/>
          <w:color w:val="6A4008"/>
          <w:sz w:val="24"/>
          <w:szCs w:val="24"/>
        </w:rPr>
        <w:t xml:space="preserve">Summer Nectar Sources (June – August)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2900"/>
        <w:gridCol w:w="2260"/>
      </w:tblGrid>
      <w:tr>
        <w:trPr>
          <w:tblHeader/>
        </w:trPr>
        <w:tc>
          <w:tcPr>
            <w:tcW w:type="dxa" w:w="2400"/>
            <w:tcBorders>
              <w:top w:val="single" w:color="1E4020" w:sz="1"/>
              <w:left w:val="single" w:color="1E4020" w:sz="1"/>
              <w:bottom w:val="single" w:color="1E4020" w:sz="1"/>
              <w:right w:val="single" w:color="1E4020" w:sz="1"/>
            </w:tcBorders>
            <w:shd w:fill="1E4020" w:val="clear"/>
            <w:tcMar>
              <w:top w:type="dxa" w:w="80"/>
              <w:left w:type="dxa" w:w="120"/>
              <w:bottom w:type="dxa" w:w="80"/>
              <w:right w:type="dxa" w:w="120"/>
            </w:tcMar>
          </w:tcPr>
          <w:p>
            <w:r>
              <w:rPr>
                <w:rFonts w:ascii="Arial" w:cs="Arial" w:eastAsia="Arial" w:hAnsi="Arial"/>
                <w:b/>
                <w:bCs/>
                <w:color w:val="FFFFFF"/>
                <w:sz w:val="20"/>
                <w:szCs w:val="20"/>
              </w:rPr>
              <w:t xml:space="preserve">Plant</w:t>
            </w:r>
          </w:p>
        </w:tc>
        <w:tc>
          <w:tcPr>
            <w:tcW w:type="dxa" w:w="900"/>
            <w:tcBorders>
              <w:top w:val="single" w:color="1E4020" w:sz="1"/>
              <w:left w:val="single" w:color="1E4020" w:sz="1"/>
              <w:bottom w:val="single" w:color="1E4020" w:sz="1"/>
              <w:right w:val="single" w:color="1E4020" w:sz="1"/>
            </w:tcBorders>
            <w:shd w:fill="1E4020" w:val="clear"/>
            <w:tcMar>
              <w:top w:type="dxa" w:w="80"/>
              <w:left w:type="dxa" w:w="120"/>
              <w:bottom w:type="dxa" w:w="80"/>
              <w:right w:type="dxa" w:w="120"/>
            </w:tcMar>
          </w:tcPr>
          <w:p>
            <w:r>
              <w:rPr>
                <w:rFonts w:ascii="Arial" w:cs="Arial" w:eastAsia="Arial" w:hAnsi="Arial"/>
                <w:b/>
                <w:bCs/>
                <w:color w:val="FFFFFF"/>
                <w:sz w:val="20"/>
                <w:szCs w:val="20"/>
              </w:rPr>
              <w:t xml:space="preserve">Height</w:t>
            </w:r>
          </w:p>
        </w:tc>
        <w:tc>
          <w:tcPr>
            <w:tcW w:type="dxa" w:w="900"/>
            <w:tcBorders>
              <w:top w:val="single" w:color="1E4020" w:sz="1"/>
              <w:left w:val="single" w:color="1E4020" w:sz="1"/>
              <w:bottom w:val="single" w:color="1E4020" w:sz="1"/>
              <w:right w:val="single" w:color="1E4020" w:sz="1"/>
            </w:tcBorders>
            <w:shd w:fill="1E4020"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2900"/>
            <w:tcBorders>
              <w:top w:val="single" w:color="1E4020" w:sz="1"/>
              <w:left w:val="single" w:color="1E4020" w:sz="1"/>
              <w:bottom w:val="single" w:color="1E4020" w:sz="1"/>
              <w:right w:val="single" w:color="1E4020" w:sz="1"/>
            </w:tcBorders>
            <w:shd w:fill="1E4020" w:val="clear"/>
            <w:tcMar>
              <w:top w:type="dxa" w:w="80"/>
              <w:left w:type="dxa" w:w="120"/>
              <w:bottom w:type="dxa" w:w="80"/>
              <w:right w:type="dxa" w:w="120"/>
            </w:tcMar>
          </w:tcPr>
          <w:p>
            <w:r>
              <w:rPr>
                <w:rFonts w:ascii="Arial" w:cs="Arial" w:eastAsia="Arial" w:hAnsi="Arial"/>
                <w:b/>
                <w:bCs/>
                <w:color w:val="FFFFFF"/>
                <w:sz w:val="20"/>
                <w:szCs w:val="20"/>
              </w:rPr>
              <w:t xml:space="preserve">Primary Species Attracted</w:t>
            </w:r>
          </w:p>
        </w:tc>
        <w:tc>
          <w:tcPr>
            <w:tcW w:type="dxa" w:w="2260"/>
            <w:tcBorders>
              <w:top w:val="single" w:color="1E4020" w:sz="1"/>
              <w:left w:val="single" w:color="1E4020" w:sz="1"/>
              <w:bottom w:val="single" w:color="1E4020" w:sz="1"/>
              <w:right w:val="single" w:color="1E4020" w:sz="1"/>
            </w:tcBorders>
            <w:shd w:fill="1E402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Common Milkweed (Asclepias syriaca)</w:t>
            </w:r>
          </w:p>
        </w:tc>
        <w:tc>
          <w:tcPr>
            <w:tcW w:type="dxa" w:w="9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 ft</w:t>
            </w:r>
          </w:p>
        </w:tc>
        <w:tc>
          <w:tcPr>
            <w:tcW w:type="dxa" w:w="9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29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Monarch, swallowtails, fritillaries, hairstreaks, skippers — the most butterfly-visited plant in most eastern gardens</w:t>
            </w:r>
          </w:p>
        </w:tc>
        <w:tc>
          <w:tcPr>
            <w:tcW w:type="dxa" w:w="226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Host AND nectar; the single most important plant for monarchs and dozens of other species</w:t>
            </w:r>
          </w:p>
        </w:tc>
      </w:tr>
      <w:tr>
        <w:tc>
          <w:tcPr>
            <w:tcW w:type="dxa" w:w="24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Butterfly Weed (Asclepias tuberosa)</w:t>
            </w:r>
          </w:p>
        </w:tc>
        <w:tc>
          <w:tcPr>
            <w:tcW w:type="dxa" w:w="9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18–24 in</w:t>
            </w:r>
          </w:p>
        </w:tc>
        <w:tc>
          <w:tcPr>
            <w:tcW w:type="dxa" w:w="9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3–10</w:t>
            </w:r>
          </w:p>
        </w:tc>
        <w:tc>
          <w:tcPr>
            <w:tcW w:type="dxa" w:w="29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Monarch, many swallowtails, fritillaries, hairstreaks, skippers</w:t>
            </w:r>
          </w:p>
        </w:tc>
        <w:tc>
          <w:tcPr>
            <w:tcW w:type="dxa" w:w="226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Host AND nectar; drought-tolerant; brilliant orange flowers; outstanding ornamental</w:t>
            </w:r>
          </w:p>
        </w:tc>
      </w:tr>
      <w:tr>
        <w:tc>
          <w:tcPr>
            <w:tcW w:type="dxa" w:w="24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Ironweed (Vernonia spp.)</w:t>
            </w:r>
          </w:p>
        </w:tc>
        <w:tc>
          <w:tcPr>
            <w:tcW w:type="dxa" w:w="9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4–6 ft</w:t>
            </w:r>
          </w:p>
        </w:tc>
        <w:tc>
          <w:tcPr>
            <w:tcW w:type="dxa" w:w="9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4–9</w:t>
            </w:r>
          </w:p>
        </w:tc>
        <w:tc>
          <w:tcPr>
            <w:tcW w:type="dxa" w:w="29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Monarchs, swallowtails, fritillaries — one of the most productive butterfly nectar plants</w:t>
            </w:r>
          </w:p>
        </w:tc>
        <w:tc>
          <w:tcPr>
            <w:tcW w:type="dxa" w:w="226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Native; intense purple flowers; outstanding for large butterflies with its broad landing clusters</w:t>
            </w:r>
          </w:p>
        </w:tc>
      </w:tr>
      <w:tr>
        <w:tc>
          <w:tcPr>
            <w:tcW w:type="dxa" w:w="24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Wild Bergamot (Monarda fistulosa)</w:t>
            </w:r>
          </w:p>
        </w:tc>
        <w:tc>
          <w:tcPr>
            <w:tcW w:type="dxa" w:w="9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2–3 ft</w:t>
            </w:r>
          </w:p>
        </w:tc>
        <w:tc>
          <w:tcPr>
            <w:tcW w:type="dxa" w:w="9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3–9</w:t>
            </w:r>
          </w:p>
        </w:tc>
        <w:tc>
          <w:tcPr>
            <w:tcW w:type="dxa" w:w="29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Eastern tiger swallowtail, giant swallowtail, fritillaries, skippers</w:t>
            </w:r>
          </w:p>
        </w:tc>
        <w:tc>
          <w:tcPr>
            <w:tcW w:type="dxa" w:w="226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Native; lavender-pink; long bloom; mildew-resistant varieties available</w:t>
            </w:r>
          </w:p>
        </w:tc>
      </w:tr>
      <w:tr>
        <w:tc>
          <w:tcPr>
            <w:tcW w:type="dxa" w:w="24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Purple Coneflower (Echinacea purpurea)</w:t>
            </w:r>
          </w:p>
        </w:tc>
        <w:tc>
          <w:tcPr>
            <w:tcW w:type="dxa" w:w="9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 ft</w:t>
            </w:r>
          </w:p>
        </w:tc>
        <w:tc>
          <w:tcPr>
            <w:tcW w:type="dxa" w:w="9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3–9</w:t>
            </w:r>
          </w:p>
        </w:tc>
        <w:tc>
          <w:tcPr>
            <w:tcW w:type="dxa" w:w="29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Many species; monarchs, fritillaries, swallowtails, skippers, sulphurs</w:t>
            </w:r>
          </w:p>
        </w:tc>
        <w:tc>
          <w:tcPr>
            <w:tcW w:type="dxa" w:w="226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Native; excellent mid-summer nectar; long bloom; seed heads feed birds in winter</w:t>
            </w:r>
          </w:p>
        </w:tc>
      </w:tr>
      <w:tr>
        <w:tc>
          <w:tcPr>
            <w:tcW w:type="dxa" w:w="24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Native Thistles (Cirsium spp.)</w:t>
            </w:r>
          </w:p>
        </w:tc>
        <w:tc>
          <w:tcPr>
            <w:tcW w:type="dxa" w:w="9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2–5 ft</w:t>
            </w:r>
          </w:p>
        </w:tc>
        <w:tc>
          <w:tcPr>
            <w:tcW w:type="dxa" w:w="9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3‑9</w:t>
            </w:r>
          </w:p>
        </w:tc>
        <w:tc>
          <w:tcPr>
            <w:tcW w:type="dxa" w:w="29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Painted lady (host), monarchs, swallowtails, fritillaries, skippers; the most butterfly-productive native plant per square foot in many studies</w:t>
            </w:r>
          </w:p>
        </w:tc>
        <w:tc>
          <w:tcPr>
            <w:tcW w:type="dxa" w:w="226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CRITICAL and undervalued. Native thistles are among the very best butterfly plants in North America; they are not invasive (native species are ecologically important; only non-native Canada thistle is problematic).</w:t>
            </w:r>
          </w:p>
        </w:tc>
      </w:tr>
      <w:tr>
        <w:tc>
          <w:tcPr>
            <w:tcW w:type="dxa" w:w="24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Mountain Mint (Pycnanthemum spp.)</w:t>
            </w:r>
          </w:p>
        </w:tc>
        <w:tc>
          <w:tcPr>
            <w:tcW w:type="dxa" w:w="9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 ft</w:t>
            </w:r>
          </w:p>
        </w:tc>
        <w:tc>
          <w:tcPr>
            <w:tcW w:type="dxa" w:w="9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w:t>
            </w:r>
          </w:p>
        </w:tc>
        <w:tc>
          <w:tcPr>
            <w:tcW w:type="dxa" w:w="29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Many butterfly species plus an extraordinary diversity of native bees and wasps</w:t>
            </w:r>
          </w:p>
        </w:tc>
        <w:tc>
          <w:tcPr>
            <w:tcW w:type="dxa" w:w="226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Native; outstanding insect magnet; blooms for 6–8 weeks in midsummer; extremely fragrant</w:t>
            </w:r>
          </w:p>
        </w:tc>
      </w:tr>
      <w:tr>
        <w:tc>
          <w:tcPr>
            <w:tcW w:type="dxa" w:w="24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Joe-Pye Weed (Eutrochium spp.)</w:t>
            </w:r>
          </w:p>
        </w:tc>
        <w:tc>
          <w:tcPr>
            <w:tcW w:type="dxa" w:w="9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4–7 ft</w:t>
            </w:r>
          </w:p>
        </w:tc>
        <w:tc>
          <w:tcPr>
            <w:tcW w:type="dxa" w:w="9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29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Monarchs, swallowtails, fritillaries, skippers — one of the highest butterfly traffic plants in late summer</w:t>
            </w:r>
          </w:p>
        </w:tc>
        <w:tc>
          <w:tcPr>
            <w:tcW w:type="dxa" w:w="226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Native; massive flat-topped clusters; critical late summer fuel for migrating monarchs</w:t>
            </w:r>
          </w:p>
        </w:tc>
      </w:tr>
      <w:tr>
        <w:tc>
          <w:tcPr>
            <w:tcW w:type="dxa" w:w="24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Native Phlox (Phlox paniculata, P. maculata)</w:t>
            </w:r>
          </w:p>
        </w:tc>
        <w:tc>
          <w:tcPr>
            <w:tcW w:type="dxa" w:w="9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 ft</w:t>
            </w:r>
          </w:p>
        </w:tc>
        <w:tc>
          <w:tcPr>
            <w:tcW w:type="dxa" w:w="9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29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Swallowtails, hummingbirds; both phlox species have long nectar tubes ideal for long-tongued visitors</w:t>
            </w:r>
          </w:p>
        </w:tc>
        <w:tc>
          <w:tcPr>
            <w:tcW w:type="dxa" w:w="226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Plant fragrant phlox; the fragrance attracts butterflies at some distance; night-scented phlox also attracts moths</w:t>
            </w:r>
          </w:p>
        </w:tc>
      </w:tr>
      <w:tr>
        <w:tc>
          <w:tcPr>
            <w:tcW w:type="dxa" w:w="24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Blazing Star / Liatris (Liatris spp.)</w:t>
            </w:r>
          </w:p>
        </w:tc>
        <w:tc>
          <w:tcPr>
            <w:tcW w:type="dxa" w:w="9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2–4 ft</w:t>
            </w:r>
          </w:p>
        </w:tc>
        <w:tc>
          <w:tcPr>
            <w:tcW w:type="dxa" w:w="9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3‐9</w:t>
            </w:r>
          </w:p>
        </w:tc>
        <w:tc>
          <w:tcPr>
            <w:tcW w:type="dxa" w:w="29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Monarchs, swallowtails, fritillaries, skippers, bumble bees</w:t>
            </w:r>
          </w:p>
        </w:tc>
        <w:tc>
          <w:tcPr>
            <w:tcW w:type="dxa" w:w="226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Native; outstanding late-summer butterfly magnet; rich purple spikes that bloom from the top down; perfect companion to goldenrod</w:t>
            </w:r>
          </w:p>
        </w:tc>
      </w:tr>
    </w:tbl>
    <w:p>
      <w:pPr>
        <w:spacing w:before="0" w:after="120"/>
      </w:pPr>
      <w:r>
        <w:t xml:space="preserve"/>
      </w:r>
    </w:p>
    <w:p>
      <w:pPr>
        <w:pStyle w:val="Heading3"/>
        <w:spacing w:before="180" w:after="80"/>
      </w:pPr>
      <w:r>
        <w:rPr>
          <w:rFonts w:ascii="Arial" w:cs="Arial" w:eastAsia="Arial" w:hAnsi="Arial"/>
          <w:b/>
          <w:bCs/>
          <w:color w:val="6A4008"/>
          <w:sz w:val="24"/>
          <w:szCs w:val="24"/>
        </w:rPr>
        <w:t xml:space="preserve">Fall Nectar Sources (September – Frost) — Critical for Migration</w:t>
      </w:r>
    </w:p>
    <w:p>
      <w:pPr>
        <w:spacing w:before="60" w:after="80" w:line="285"/>
      </w:pPr>
      <w:r>
        <w:rPr>
          <w:rFonts w:ascii="Arial" w:cs="Arial" w:eastAsia="Arial" w:hAnsi="Arial"/>
          <w:sz w:val="22"/>
          <w:szCs w:val="22"/>
        </w:rPr>
        <w:t xml:space="preserve">Fall nectar sources are the most important and most neglected component of the butterfly garden. The monarch migration — and the migration of many other butterfly species — depends on fall flowers to fuel long-distance flights. A garden with excellent summer bloom but little fall bloom fails butterflies at their moment of greatest need.</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2900"/>
        <w:gridCol w:w="2260"/>
      </w:tblGrid>
      <w:tr>
        <w:trPr>
          <w:tblHeader/>
        </w:trPr>
        <w:tc>
          <w:tcPr>
            <w:tcW w:type="dxa" w:w="2400"/>
            <w:tcBorders>
              <w:top w:val="single" w:color="6A4008" w:sz="1"/>
              <w:left w:val="single" w:color="6A4008" w:sz="1"/>
              <w:bottom w:val="single" w:color="6A4008" w:sz="1"/>
              <w:right w:val="single" w:color="6A4008" w:sz="1"/>
            </w:tcBorders>
            <w:shd w:fill="6A4008" w:val="clear"/>
            <w:tcMar>
              <w:top w:type="dxa" w:w="80"/>
              <w:left w:type="dxa" w:w="120"/>
              <w:bottom w:type="dxa" w:w="80"/>
              <w:right w:type="dxa" w:w="120"/>
            </w:tcMar>
          </w:tcPr>
          <w:p>
            <w:r>
              <w:rPr>
                <w:rFonts w:ascii="Arial" w:cs="Arial" w:eastAsia="Arial" w:hAnsi="Arial"/>
                <w:b/>
                <w:bCs/>
                <w:color w:val="FFFFFF"/>
                <w:sz w:val="20"/>
                <w:szCs w:val="20"/>
              </w:rPr>
              <w:t xml:space="preserve">Plant</w:t>
            </w:r>
          </w:p>
        </w:tc>
        <w:tc>
          <w:tcPr>
            <w:tcW w:type="dxa" w:w="900"/>
            <w:tcBorders>
              <w:top w:val="single" w:color="6A4008" w:sz="1"/>
              <w:left w:val="single" w:color="6A4008" w:sz="1"/>
              <w:bottom w:val="single" w:color="6A4008" w:sz="1"/>
              <w:right w:val="single" w:color="6A4008" w:sz="1"/>
            </w:tcBorders>
            <w:shd w:fill="6A4008" w:val="clear"/>
            <w:tcMar>
              <w:top w:type="dxa" w:w="80"/>
              <w:left w:type="dxa" w:w="120"/>
              <w:bottom w:type="dxa" w:w="80"/>
              <w:right w:type="dxa" w:w="120"/>
            </w:tcMar>
          </w:tcPr>
          <w:p>
            <w:r>
              <w:rPr>
                <w:rFonts w:ascii="Arial" w:cs="Arial" w:eastAsia="Arial" w:hAnsi="Arial"/>
                <w:b/>
                <w:bCs/>
                <w:color w:val="FFFFFF"/>
                <w:sz w:val="20"/>
                <w:szCs w:val="20"/>
              </w:rPr>
              <w:t xml:space="preserve">Height</w:t>
            </w:r>
          </w:p>
        </w:tc>
        <w:tc>
          <w:tcPr>
            <w:tcW w:type="dxa" w:w="900"/>
            <w:tcBorders>
              <w:top w:val="single" w:color="6A4008" w:sz="1"/>
              <w:left w:val="single" w:color="6A4008" w:sz="1"/>
              <w:bottom w:val="single" w:color="6A4008" w:sz="1"/>
              <w:right w:val="single" w:color="6A4008" w:sz="1"/>
            </w:tcBorders>
            <w:shd w:fill="6A4008"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2900"/>
            <w:tcBorders>
              <w:top w:val="single" w:color="6A4008" w:sz="1"/>
              <w:left w:val="single" w:color="6A4008" w:sz="1"/>
              <w:bottom w:val="single" w:color="6A4008" w:sz="1"/>
              <w:right w:val="single" w:color="6A4008" w:sz="1"/>
            </w:tcBorders>
            <w:shd w:fill="6A4008" w:val="clear"/>
            <w:tcMar>
              <w:top w:type="dxa" w:w="80"/>
              <w:left w:type="dxa" w:w="120"/>
              <w:bottom w:type="dxa" w:w="80"/>
              <w:right w:type="dxa" w:w="120"/>
            </w:tcMar>
          </w:tcPr>
          <w:p>
            <w:r>
              <w:rPr>
                <w:rFonts w:ascii="Arial" w:cs="Arial" w:eastAsia="Arial" w:hAnsi="Arial"/>
                <w:b/>
                <w:bCs/>
                <w:color w:val="FFFFFF"/>
                <w:sz w:val="20"/>
                <w:szCs w:val="20"/>
              </w:rPr>
              <w:t xml:space="preserve">Primary Species Attracted</w:t>
            </w:r>
          </w:p>
        </w:tc>
        <w:tc>
          <w:tcPr>
            <w:tcW w:type="dxa" w:w="2260"/>
            <w:tcBorders>
              <w:top w:val="single" w:color="6A4008" w:sz="1"/>
              <w:left w:val="single" w:color="6A4008" w:sz="1"/>
              <w:bottom w:val="single" w:color="6A4008" w:sz="1"/>
              <w:right w:val="single" w:color="6A4008" w:sz="1"/>
            </w:tcBorders>
            <w:shd w:fill="6A400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Goldenrod (Solidago spp. — multiple species)</w:t>
            </w:r>
          </w:p>
        </w:tc>
        <w:tc>
          <w:tcPr>
            <w:tcW w:type="dxa" w:w="9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 ft</w:t>
            </w:r>
          </w:p>
        </w:tc>
        <w:tc>
          <w:tcPr>
            <w:tcW w:type="dxa" w:w="9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2–9 (varies)</w:t>
            </w:r>
          </w:p>
        </w:tc>
        <w:tc>
          <w:tcPr>
            <w:tcW w:type="dxa" w:w="29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Monarchs, painted ladies, red admirals, swallowtails, small sulphurs, skippers, hairstreaks — one of the most butterfly-productive fall plants in North America</w:t>
            </w:r>
          </w:p>
        </w:tc>
        <w:tc>
          <w:tcPr>
            <w:tcW w:type="dxa" w:w="226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CRITICAL for fall migration. Multiple species provide staggered bloom from August through October. Plant 3 to 5 species for maximum bloom coverage. Do not confuse with ragweed (not insect-pollinated).</w:t>
            </w:r>
          </w:p>
        </w:tc>
      </w:tr>
      <w:tr>
        <w:tc>
          <w:tcPr>
            <w:tcW w:type="dxa" w:w="24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Native Asters (Symphyotrichum spp.)</w:t>
            </w:r>
          </w:p>
        </w:tc>
        <w:tc>
          <w:tcPr>
            <w:tcW w:type="dxa" w:w="9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1–4 ft (varies)</w:t>
            </w:r>
          </w:p>
        </w:tc>
        <w:tc>
          <w:tcPr>
            <w:tcW w:type="dxa" w:w="9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2–9 (varies)</w:t>
            </w:r>
          </w:p>
        </w:tc>
        <w:tc>
          <w:tcPr>
            <w:tcW w:type="dxa" w:w="29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Monarchs, painted ladies, skippers, sulphurs, hairstreaks, crescents — essential fall nectar for all migratory butterfly species</w:t>
            </w:r>
          </w:p>
        </w:tc>
        <w:tc>
          <w:tcPr>
            <w:tcW w:type="dxa" w:w="226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CRITICAL for fall migration; companion planting with goldenrod creates one of the most productive fall butterfly habitats possible. Many native aster species bloom from September through first frost.</w:t>
            </w:r>
          </w:p>
        </w:tc>
      </w:tr>
      <w:tr>
        <w:tc>
          <w:tcPr>
            <w:tcW w:type="dxa" w:w="24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Ironweed (Vernonia spp.)</w:t>
            </w:r>
          </w:p>
        </w:tc>
        <w:tc>
          <w:tcPr>
            <w:tcW w:type="dxa" w:w="9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4–6 ft</w:t>
            </w:r>
          </w:p>
        </w:tc>
        <w:tc>
          <w:tcPr>
            <w:tcW w:type="dxa" w:w="9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4‑9</w:t>
            </w:r>
          </w:p>
        </w:tc>
        <w:tc>
          <w:tcPr>
            <w:tcW w:type="dxa" w:w="29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Monarchs, swallowtails, skippers, all large fritillaries</w:t>
            </w:r>
          </w:p>
        </w:tc>
        <w:tc>
          <w:tcPr>
            <w:tcW w:type="dxa" w:w="226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Extends into fall bloom; one of the most productive fall butterfly nectar plants; intense purple contrasts beautifully with goldenrod gold</w:t>
            </w:r>
          </w:p>
        </w:tc>
      </w:tr>
      <w:tr>
        <w:tc>
          <w:tcPr>
            <w:tcW w:type="dxa" w:w="24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New England Aster
(Symphyotrichum novae-angliae)</w:t>
            </w:r>
          </w:p>
        </w:tc>
        <w:tc>
          <w:tcPr>
            <w:tcW w:type="dxa" w:w="9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3–5 ft</w:t>
            </w:r>
          </w:p>
        </w:tc>
        <w:tc>
          <w:tcPr>
            <w:tcW w:type="dxa" w:w="9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4–8</w:t>
            </w:r>
          </w:p>
        </w:tc>
        <w:tc>
          <w:tcPr>
            <w:tcW w:type="dxa" w:w="29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All migratory butterfly species; one of the most-visited fall asters</w:t>
            </w:r>
          </w:p>
        </w:tc>
        <w:tc>
          <w:tcPr>
            <w:tcW w:type="dxa" w:w="226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Large purple flowers; outstanding ornamental as well as exceptional wildlife plant; many cultivated varieties available in purple, pink, and white</w:t>
            </w:r>
          </w:p>
        </w:tc>
      </w:tr>
      <w:tr>
        <w:tc>
          <w:tcPr>
            <w:tcW w:type="dxa" w:w="24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Sedum / Stonecrop
(Hylotelephium spectabile / ‘Autumn Joy’)</w:t>
            </w:r>
          </w:p>
        </w:tc>
        <w:tc>
          <w:tcPr>
            <w:tcW w:type="dxa" w:w="9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18–24 in</w:t>
            </w:r>
          </w:p>
        </w:tc>
        <w:tc>
          <w:tcPr>
            <w:tcW w:type="dxa" w:w="9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3‑9</w:t>
            </w:r>
          </w:p>
        </w:tc>
        <w:tc>
          <w:tcPr>
            <w:tcW w:type="dxa" w:w="29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Monarchs, painted ladies, sulphurs, cabbage whites, skippers</w:t>
            </w:r>
          </w:p>
        </w:tc>
        <w:tc>
          <w:tcPr>
            <w:tcW w:type="dxa" w:w="226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Excellent late-season bloom; very long-lasting fall flower clusters; extremely easy and drought-tolerant</w:t>
            </w:r>
          </w:p>
        </w:tc>
      </w:tr>
      <w:tr>
        <w:tc>
          <w:tcPr>
            <w:tcW w:type="dxa" w:w="24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Mistflower
(Conoclinium coelestinum)</w:t>
            </w:r>
          </w:p>
        </w:tc>
        <w:tc>
          <w:tcPr>
            <w:tcW w:type="dxa" w:w="9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18–24 in</w:t>
            </w:r>
          </w:p>
        </w:tc>
        <w:tc>
          <w:tcPr>
            <w:tcW w:type="dxa" w:w="9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5‑10</w:t>
            </w:r>
          </w:p>
        </w:tc>
        <w:tc>
          <w:tcPr>
            <w:tcW w:type="dxa" w:w="29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Monarchs and many fall butterfly species; especially attractive to hairstreaks, skippers, and small butterflies</w:t>
            </w:r>
          </w:p>
        </w:tc>
        <w:tc>
          <w:tcPr>
            <w:tcW w:type="dxa" w:w="226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Native fall ageratum; spreads gently to form colonies; absolutely covered with small fall butterflies in October</w:t>
            </w:r>
          </w:p>
        </w:tc>
      </w:tr>
    </w:tbl>
    <w:p>
      <w:pPr>
        <w:spacing w:before="0" w:after="120"/>
      </w:pPr>
      <w:r>
        <w:t xml:space="preserve"/>
      </w:r>
    </w:p>
    <w:p>
      <w:pPr>
        <w:pBdr>
          <w:bottom w:val="single" w:color="2A1858" w:sz="6" w:space="1"/>
        </w:pBdr>
        <w:spacing w:before="160" w:after="160"/>
      </w:pPr>
      <w:r>
        <w:t xml:space="preserve"/>
      </w:r>
    </w:p>
    <w:p>
      <w:r>
        <w:br w:type="page"/>
      </w:r>
    </w:p>
    <w:p>
      <w:pPr>
        <w:pStyle w:val="Heading1"/>
        <w:spacing w:before="360" w:after="180"/>
      </w:pPr>
      <w:r>
        <w:rPr>
          <w:rFonts w:ascii="Arial" w:cs="Arial" w:eastAsia="Arial" w:hAnsi="Arial"/>
          <w:b/>
          <w:bCs/>
          <w:color w:val="2A1858"/>
          <w:sz w:val="36"/>
          <w:szCs w:val="36"/>
        </w:rPr>
        <w:t xml:space="preserve">Section 4: Garden Design for Butterflies</w:t>
      </w:r>
    </w:p>
    <w:p>
      <w:pPr>
        <w:spacing w:before="120" w:after="160" w:line="285"/>
      </w:pPr>
      <w:r>
        <w:rPr>
          <w:rFonts w:ascii="Arial" w:cs="Arial" w:eastAsia="Arial" w:hAnsi="Arial"/>
          <w:sz w:val="22"/>
          <w:szCs w:val="22"/>
        </w:rPr>
        <w:t xml:space="preserve">A butterfly garden is a specific type of habitat design, and the design principles are different from those of a purely ornamental garden. The needs of the butterflies — sun exposure, wind shelter, sequential bloom, host plant access, water, basking sites — shape the design as directly as aesthetic considerations. The most beautiful butterfly gardens are also designed with these biological requirements as the organizing principle.</w:t>
      </w:r>
    </w:p>
    <w:p>
      <w:pPr>
        <w:pStyle w:val="Heading2"/>
        <w:spacing w:before="240" w:after="120"/>
      </w:pPr>
      <w:r>
        <w:rPr>
          <w:rFonts w:ascii="Arial" w:cs="Arial" w:eastAsia="Arial" w:hAnsi="Arial"/>
          <w:b/>
          <w:bCs/>
          <w:color w:val="1E4020"/>
          <w:sz w:val="28"/>
          <w:szCs w:val="28"/>
        </w:rPr>
        <w:t xml:space="preserve">The Essential Design Elements</w:t>
      </w:r>
    </w:p>
    <w:p>
      <w:pPr>
        <w:pStyle w:val="ListParagraph"/>
        <w:numPr>
          <w:ilvl w:val="0"/>
          <w:numId w:val="2"/>
        </w:numPr>
        <w:spacing w:before="60" w:after="60"/>
      </w:pPr>
      <w:r>
        <w:rPr>
          <w:rFonts w:ascii="Arial" w:cs="Arial" w:eastAsia="Arial" w:hAnsi="Arial"/>
          <w:b/>
          <w:bCs/>
          <w:sz w:val="22"/>
          <w:szCs w:val="22"/>
        </w:rPr>
        <w:t xml:space="preserve">Full sun:</w:t>
      </w:r>
      <w:r>
        <w:rPr>
          <w:rFonts w:ascii="Arial" w:cs="Arial" w:eastAsia="Arial" w:hAnsi="Arial"/>
          <w:sz w:val="22"/>
          <w:szCs w:val="22"/>
        </w:rPr>
        <w:t xml:space="preserve"> Butterflies are cold-blooded and require warmth from sunlight to fly actively. A butterfly garden needs 6 or more hours of direct sun daily. Shaded gardens attract few butterflies regardless of how many host plants they contain. The exception is woodland butterflies (spicebush swallowtail, question mark, comma, wood nymphs) that are adapted to dappled light, but even these species bask in sunny openings.</w:t>
      </w:r>
    </w:p>
    <w:p>
      <w:pPr>
        <w:pStyle w:val="ListParagraph"/>
        <w:numPr>
          <w:ilvl w:val="0"/>
          <w:numId w:val="2"/>
        </w:numPr>
        <w:spacing w:before="60" w:after="60"/>
      </w:pPr>
      <w:r>
        <w:rPr>
          <w:rFonts w:ascii="Arial" w:cs="Arial" w:eastAsia="Arial" w:hAnsi="Arial"/>
          <w:b/>
          <w:bCs/>
          <w:sz w:val="22"/>
          <w:szCs w:val="22"/>
        </w:rPr>
        <w:t xml:space="preserve">Wind shelter:</w:t>
      </w:r>
      <w:r>
        <w:rPr>
          <w:rFonts w:ascii="Arial" w:cs="Arial" w:eastAsia="Arial" w:hAnsi="Arial"/>
          <w:sz w:val="22"/>
          <w:szCs w:val="22"/>
        </w:rPr>
        <w:t xml:space="preserve"> Butterflies have difficulty flying in sustained winds above about 15 mph. A hedge, structure, or dense planting on the windward side of the garden creates a sheltered microclimate where butterflies can feed and mate more comfortably. This shelter also moderates temperature, extending the effective butterfly season.</w:t>
      </w:r>
    </w:p>
    <w:p>
      <w:pPr>
        <w:pStyle w:val="ListParagraph"/>
        <w:numPr>
          <w:ilvl w:val="0"/>
          <w:numId w:val="2"/>
        </w:numPr>
        <w:spacing w:before="60" w:after="60"/>
      </w:pPr>
      <w:r>
        <w:rPr>
          <w:rFonts w:ascii="Arial" w:cs="Arial" w:eastAsia="Arial" w:hAnsi="Arial"/>
          <w:b/>
          <w:bCs/>
          <w:sz w:val="22"/>
          <w:szCs w:val="22"/>
        </w:rPr>
        <w:t xml:space="preserve">Mass plantings over individual specimens:</w:t>
      </w:r>
      <w:r>
        <w:rPr>
          <w:rFonts w:ascii="Arial" w:cs="Arial" w:eastAsia="Arial" w:hAnsi="Arial"/>
          <w:sz w:val="22"/>
          <w:szCs w:val="22"/>
        </w:rPr>
        <w:t xml:space="preserve"> A single butterfly weed plant is easier to miss in flight than a mass of 7 or 11 plants. Butterflies detect nectar sources partly by visual area and color mass; massed plantings of a single species are more visible and more attractive from a distance than individual plants scattered through a border. This is particularly important for the monarchs navigating by visual landmarks during migration.</w:t>
      </w:r>
    </w:p>
    <w:p>
      <w:pPr>
        <w:pStyle w:val="ListParagraph"/>
        <w:numPr>
          <w:ilvl w:val="0"/>
          <w:numId w:val="2"/>
        </w:numPr>
        <w:spacing w:before="60" w:after="60"/>
      </w:pPr>
      <w:r>
        <w:rPr>
          <w:rFonts w:ascii="Arial" w:cs="Arial" w:eastAsia="Arial" w:hAnsi="Arial"/>
          <w:b/>
          <w:bCs/>
          <w:sz w:val="22"/>
          <w:szCs w:val="22"/>
        </w:rPr>
        <w:t xml:space="preserve">Structural diversity:</w:t>
      </w:r>
      <w:r>
        <w:rPr>
          <w:rFonts w:ascii="Arial" w:cs="Arial" w:eastAsia="Arial" w:hAnsi="Arial"/>
          <w:sz w:val="22"/>
          <w:szCs w:val="22"/>
        </w:rPr>
        <w:t xml:space="preserve"> Butterflies use different elements of the garden at different stages of their life cycle. Tall shrubs and trees for roosting and shelter; mid-height perennials for nectar and mating; ground level for host plants; bare soil for mineral-gathering. A garden with vertical diversity — ground layer through tree canopy — supports more butterfly species and more complete life cycles than a single-tier garden.</w:t>
      </w:r>
    </w:p>
    <w:p>
      <w:pPr>
        <w:pStyle w:val="ListParagraph"/>
        <w:numPr>
          <w:ilvl w:val="0"/>
          <w:numId w:val="2"/>
        </w:numPr>
        <w:spacing w:before="60" w:after="60"/>
      </w:pPr>
      <w:r>
        <w:rPr>
          <w:rFonts w:ascii="Arial" w:cs="Arial" w:eastAsia="Arial" w:hAnsi="Arial"/>
          <w:b/>
          <w:bCs/>
          <w:sz w:val="22"/>
          <w:szCs w:val="22"/>
        </w:rPr>
        <w:t xml:space="preserve">Puddling areas:</w:t>
      </w:r>
      <w:r>
        <w:rPr>
          <w:rFonts w:ascii="Arial" w:cs="Arial" w:eastAsia="Arial" w:hAnsi="Arial"/>
          <w:sz w:val="22"/>
          <w:szCs w:val="22"/>
        </w:rPr>
        <w:t xml:space="preserve"> Many male butterflies gather at moist patches of soil to absorb minerals and salts — a behavior called ‘puddling.’ Install a simple puddling station: a shallow dish, a patch of damp sand, or simply keeping a patch of bare soil near the garden consistently moist. Adding a small amount of salt (1/4 teaspoon per quart of water) or wood ash to the puddle increases its attractiveness.</w:t>
      </w:r>
    </w:p>
    <w:p>
      <w:pPr>
        <w:pStyle w:val="ListParagraph"/>
        <w:numPr>
          <w:ilvl w:val="0"/>
          <w:numId w:val="2"/>
        </w:numPr>
        <w:spacing w:before="60" w:after="60"/>
      </w:pPr>
      <w:r>
        <w:rPr>
          <w:rFonts w:ascii="Arial" w:cs="Arial" w:eastAsia="Arial" w:hAnsi="Arial"/>
          <w:b/>
          <w:bCs/>
          <w:sz w:val="22"/>
          <w:szCs w:val="22"/>
        </w:rPr>
        <w:t xml:space="preserve">Basking stones:</w:t>
      </w:r>
      <w:r>
        <w:rPr>
          <w:rFonts w:ascii="Arial" w:cs="Arial" w:eastAsia="Arial" w:hAnsi="Arial"/>
          <w:sz w:val="22"/>
          <w:szCs w:val="22"/>
        </w:rPr>
        <w:t xml:space="preserve"> Butterflies bask on warm surfaces in early morning and after cool periods to raise their body temperature for flight. Flat stones, pavers, or boulders in full sun that are dark-colored (to absorb heat) provide ideal basking platforms. Position them within or adjacent to the garden where warming butterflies can be observed from a comfortable viewing position.</w:t>
      </w:r>
    </w:p>
    <w:p>
      <w:pPr>
        <w:spacing w:before="0" w:after="120"/>
      </w:pPr>
      <w:r>
        <w:t xml:space="preserve"/>
      </w:r>
    </w:p>
    <w:p>
      <w:pPr>
        <w:pStyle w:val="Heading2"/>
        <w:spacing w:before="240" w:after="120"/>
      </w:pPr>
      <w:r>
        <w:rPr>
          <w:rFonts w:ascii="Arial" w:cs="Arial" w:eastAsia="Arial" w:hAnsi="Arial"/>
          <w:b/>
          <w:bCs/>
          <w:color w:val="1E4020"/>
          <w:sz w:val="28"/>
          <w:szCs w:val="28"/>
        </w:rPr>
        <w:t xml:space="preserve">The Butterfly Garden Layout</w:t>
      </w:r>
    </w:p>
    <w:p>
      <w:pPr>
        <w:spacing w:before="60" w:after="100" w:line="285"/>
      </w:pPr>
      <w:r>
        <w:rPr>
          <w:rFonts w:ascii="Arial" w:cs="Arial" w:eastAsia="Arial" w:hAnsi="Arial"/>
          <w:sz w:val="22"/>
          <w:szCs w:val="22"/>
        </w:rPr>
        <w:t xml:space="preserve">A functional butterfly garden layout is designed from the outside in, with wind protection at the perimeter, host plants in strategic locations where caterpillar feeding is acceptable, and nectar plants massed in the sunny center where visiting butterflies will spend the most time.</w:t>
      </w:r>
    </w:p>
    <w:p>
      <w:pPr>
        <w:pStyle w:val="ListParagraph"/>
        <w:numPr>
          <w:ilvl w:val="0"/>
          <w:numId w:val="3"/>
        </w:numPr>
        <w:spacing w:before="60" w:after="60"/>
      </w:pPr>
      <w:r>
        <w:rPr>
          <w:rFonts w:ascii="Arial" w:cs="Arial" w:eastAsia="Arial" w:hAnsi="Arial"/>
          <w:b/>
          <w:bCs/>
          <w:sz w:val="22"/>
          <w:szCs w:val="22"/>
        </w:rPr>
        <w:t xml:space="preserve">Windbreak perimeter:</w:t>
      </w:r>
      <w:r>
        <w:rPr>
          <w:rFonts w:ascii="Arial" w:cs="Arial" w:eastAsia="Arial" w:hAnsi="Arial"/>
          <w:sz w:val="22"/>
          <w:szCs w:val="22"/>
        </w:rPr>
        <w:t xml:space="preserve"> A hedge or shrub row on the north and west sides provides wind shelter. Plant this with host-plant value where possible: spicebush, native willows, hackberry, or native viburnums. In Zone 7+, include sweet bay magnolia or native azaleas.</w:t>
      </w:r>
    </w:p>
    <w:p>
      <w:pPr>
        <w:pStyle w:val="ListParagraph"/>
        <w:numPr>
          <w:ilvl w:val="0"/>
          <w:numId w:val="3"/>
        </w:numPr>
        <w:spacing w:before="60" w:after="60"/>
      </w:pPr>
      <w:r>
        <w:rPr>
          <w:rFonts w:ascii="Arial" w:cs="Arial" w:eastAsia="Arial" w:hAnsi="Arial"/>
          <w:b/>
          <w:bCs/>
          <w:sz w:val="22"/>
          <w:szCs w:val="22"/>
        </w:rPr>
        <w:t xml:space="preserve">Host plant zones:</w:t>
      </w:r>
      <w:r>
        <w:rPr>
          <w:rFonts w:ascii="Arial" w:cs="Arial" w:eastAsia="Arial" w:hAnsi="Arial"/>
          <w:sz w:val="22"/>
          <w:szCs w:val="22"/>
        </w:rPr>
        <w:t xml:space="preserve"> Position host plants in locations where caterpillar feeding is acceptable and expected. The host plant area need not be the garden’s focal point; it can be at the rear or side of the garden where the consumption of foliage by caterpillars does not disrupt the aesthetic. A dedicated ‘nursery’ section with milkweed, parsley, fennel, passionflower, and other host plants is practical and focused.</w:t>
      </w:r>
    </w:p>
    <w:p>
      <w:pPr>
        <w:pStyle w:val="ListParagraph"/>
        <w:numPr>
          <w:ilvl w:val="0"/>
          <w:numId w:val="3"/>
        </w:numPr>
        <w:spacing w:before="60" w:after="60"/>
      </w:pPr>
      <w:r>
        <w:rPr>
          <w:rFonts w:ascii="Arial" w:cs="Arial" w:eastAsia="Arial" w:hAnsi="Arial"/>
          <w:b/>
          <w:bCs/>
          <w:sz w:val="22"/>
          <w:szCs w:val="22"/>
        </w:rPr>
        <w:t xml:space="preserve">Nectar garden center:</w:t>
      </w:r>
      <w:r>
        <w:rPr>
          <w:rFonts w:ascii="Arial" w:cs="Arial" w:eastAsia="Arial" w:hAnsi="Arial"/>
          <w:sz w:val="22"/>
          <w:szCs w:val="22"/>
        </w:rPr>
        <w:t xml:space="preserve"> The sunniest, most sheltered central area is devoted to massed nectar plantings. Arrange in tall-to-short from back to front: Joe-Pye weed and ironweed at the back; coneflower, liatris, and mountain mint in the middle; butterfly weed, coreopsis, and catmint at the front. Multiple species in each layer ensures continuous bloom.</w:t>
      </w:r>
    </w:p>
    <w:p>
      <w:pPr>
        <w:pStyle w:val="ListParagraph"/>
        <w:numPr>
          <w:ilvl w:val="0"/>
          <w:numId w:val="3"/>
        </w:numPr>
        <w:spacing w:before="60" w:after="60"/>
      </w:pPr>
      <w:r>
        <w:rPr>
          <w:rFonts w:ascii="Arial" w:cs="Arial" w:eastAsia="Arial" w:hAnsi="Arial"/>
          <w:b/>
          <w:bCs/>
          <w:sz w:val="22"/>
          <w:szCs w:val="22"/>
        </w:rPr>
        <w:t xml:space="preserve">Puddling and basking area:</w:t>
      </w:r>
      <w:r>
        <w:rPr>
          <w:rFonts w:ascii="Arial" w:cs="Arial" w:eastAsia="Arial" w:hAnsi="Arial"/>
          <w:sz w:val="22"/>
          <w:szCs w:val="22"/>
        </w:rPr>
        <w:t xml:space="preserve"> A flat stone or two in the sun, with a shallow dish or moist sand patch nearby, provides basking and puddling resources near the nectar center.</w:t>
      </w:r>
    </w:p>
    <w:p>
      <w:pPr>
        <w:pStyle w:val="ListParagraph"/>
        <w:numPr>
          <w:ilvl w:val="0"/>
          <w:numId w:val="3"/>
        </w:numPr>
        <w:spacing w:before="60" w:after="60"/>
      </w:pPr>
      <w:r>
        <w:rPr>
          <w:rFonts w:ascii="Arial" w:cs="Arial" w:eastAsia="Arial" w:hAnsi="Arial"/>
          <w:b/>
          <w:bCs/>
          <w:sz w:val="22"/>
          <w:szCs w:val="22"/>
        </w:rPr>
        <w:t xml:space="preserve">Paths for viewing:</w:t>
      </w:r>
      <w:r>
        <w:rPr>
          <w:rFonts w:ascii="Arial" w:cs="Arial" w:eastAsia="Arial" w:hAnsi="Arial"/>
          <w:sz w:val="22"/>
          <w:szCs w:val="22"/>
        </w:rPr>
        <w:t xml:space="preserve"> Allow viewing paths through or beside the garden so you can observe caterpillars, chrysalises, and adult butterflies at close range without disturbing them.</w:t>
      </w:r>
    </w:p>
    <w:p>
      <w:pPr>
        <w:spacing w:before="0" w:after="120"/>
      </w:pPr>
      <w:r>
        <w:t xml:space="preserve"/>
      </w:r>
    </w:p>
    <w:p>
      <w:pPr>
        <w:pStyle w:val="Heading2"/>
        <w:spacing w:before="240" w:after="120"/>
      </w:pPr>
      <w:r>
        <w:rPr>
          <w:rFonts w:ascii="Arial" w:cs="Arial" w:eastAsia="Arial" w:hAnsi="Arial"/>
          <w:b/>
          <w:bCs/>
          <w:color w:val="1E4020"/>
          <w:sz w:val="28"/>
          <w:szCs w:val="28"/>
        </w:rPr>
        <w:t xml:space="preserve">Avoiding Pesticides in the Butterfly Garden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A2018" w:sz="6"/>
              <w:left w:val="single" w:color="7A2018" w:sz="6"/>
              <w:bottom w:val="single" w:color="7A2018" w:sz="6"/>
              <w:right w:val="single" w:color="7A2018" w:sz="6"/>
            </w:tcBorders>
            <w:shd w:fill="FAF0ED" w:val="clear"/>
            <w:tcMar>
              <w:top w:type="dxa" w:w="120"/>
              <w:left w:type="dxa" w:w="160"/>
              <w:bottom w:type="dxa" w:w="80"/>
              <w:right w:type="dxa" w:w="160"/>
            </w:tcMar>
          </w:tcPr>
          <w:p>
            <w:pPr>
              <w:spacing w:before="0" w:after="0"/>
            </w:pPr>
            <w:r>
              <w:rPr>
                <w:rFonts w:ascii="Arial" w:cs="Arial" w:eastAsia="Arial" w:hAnsi="Arial"/>
                <w:b/>
                <w:bCs/>
                <w:color w:val="7A2018"/>
                <w:sz w:val="24"/>
                <w:szCs w:val="24"/>
              </w:rPr>
              <w:t xml:space="preserve">🦋 Pesticides and Butterflies: The Hard Truth</w:t>
            </w:r>
          </w:p>
        </w:tc>
      </w:tr>
      <w:tr>
        <w:tc>
          <w:tcPr>
            <w:tcBorders>
              <w:top w:val="single" w:color="7A2018" w:sz="6"/>
              <w:left w:val="single" w:color="7A2018" w:sz="6"/>
              <w:bottom w:val="single" w:color="7A2018" w:sz="6"/>
              <w:right w:val="single" w:color="7A2018" w:sz="6"/>
            </w:tcBorders>
            <w:shd w:fill="FAF0ED"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There is no pesticide that is safe to use in or near a butterfly garden. This is not an overstatement. Caterpillars are among the most pesticide-sensitive life stages of any insect, and they are the entire point of a host plant planting. Bt (Bacillus thuringiensis kurstaki) — widely used in organic gardens because it is ‘safe’ and ‘organic’ — kills caterpillars indiscriminately, including all butterfly larvae. Pyrethrin, spinosad, neem oil, and insecticidal soap all cause significant butterfly mortality at all life stages.</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The butterfly garden is a pesticide-free zone. Period. The caterpillars feeding on your host plants are not a pest problem. They are the butterflies you planted the garden to support. If host plants are suffering from pest insects that are not caterpillars, remove pests by hand. Do not spray.</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Beyond the garden itself, be aware that systemic neonicotinoid insecticides applied to plants or soil (including as nursery treatments) are present in pollen and nectar and cause harm to butterflies that feed on treated flowers. When purchasing nectar or host plants from nurseries, ask whether they have been treated with systemic insecticides and choose untreated plants whenever possible.</w:t>
            </w:r>
          </w:p>
        </w:tc>
      </w:tr>
    </w:tbl>
    <w:p>
      <w:pPr>
        <w:spacing w:before="0" w:after="120"/>
      </w:pPr>
      <w:r>
        <w:t xml:space="preserve"/>
      </w:r>
    </w:p>
    <w:p>
      <w:pPr>
        <w:pBdr>
          <w:bottom w:val="single" w:color="2A1858" w:sz="6" w:space="1"/>
        </w:pBdr>
        <w:spacing w:before="160" w:after="160"/>
      </w:pPr>
      <w:r>
        <w:t xml:space="preserve"/>
      </w:r>
    </w:p>
    <w:p>
      <w:r>
        <w:br w:type="page"/>
      </w:r>
    </w:p>
    <w:p>
      <w:pPr>
        <w:pStyle w:val="Heading1"/>
        <w:spacing w:before="360" w:after="180"/>
      </w:pPr>
      <w:r>
        <w:rPr>
          <w:rFonts w:ascii="Arial" w:cs="Arial" w:eastAsia="Arial" w:hAnsi="Arial"/>
          <w:b/>
          <w:bCs/>
          <w:color w:val="2A1858"/>
          <w:sz w:val="36"/>
          <w:szCs w:val="36"/>
        </w:rPr>
        <w:t xml:space="preserve">Section 5: Monarch Conservation — The Special Case</w:t>
      </w:r>
    </w:p>
    <w:p>
      <w:pPr>
        <w:spacing w:before="120" w:after="160" w:line="285"/>
      </w:pPr>
      <w:r>
        <w:rPr>
          <w:rFonts w:ascii="Arial" w:cs="Arial" w:eastAsia="Arial" w:hAnsi="Arial"/>
          <w:sz w:val="22"/>
          <w:szCs w:val="22"/>
        </w:rPr>
        <w:t xml:space="preserve">The monarch butterfly holds a unique place in American culture and conservation. Its annual migration — thousands of miles from breeding grounds across the eastern United States to overwintering forests in central Mexico, and a separate western population wintering on the California coast — is one of the most extraordinary biological phenomena in the world. And it is in serious decline.</w:t>
      </w:r>
    </w:p>
    <w:p>
      <w:pPr>
        <w:spacing w:before="60" w:after="100" w:line="285"/>
      </w:pPr>
      <w:r>
        <w:rPr>
          <w:rFonts w:ascii="Arial" w:cs="Arial" w:eastAsia="Arial" w:hAnsi="Arial"/>
          <w:sz w:val="22"/>
          <w:szCs w:val="22"/>
        </w:rPr>
        <w:t xml:space="preserve">Monarch populations have declined by an estimated 80 percent over the past two decades. The eastern overwintering population, which historically numbered in the billions, has fallen to levels that concern conservation biologists. The causes are multiple and interacting: loss of milkweed from agricultural landscapes due to herbicide-resistant crop programs; loss of overwintering habitat in Mexico; climate change disrupting migration timing; and widespread pesticide use across the migration route and breeding range. Individual garden action matters in this context more than for most wildlife species.</w:t>
      </w:r>
    </w:p>
    <w:p>
      <w:pPr>
        <w:pStyle w:val="Heading2"/>
        <w:spacing w:before="240" w:after="120"/>
      </w:pPr>
      <w:r>
        <w:rPr>
          <w:rFonts w:ascii="Arial" w:cs="Arial" w:eastAsia="Arial" w:hAnsi="Arial"/>
          <w:b/>
          <w:bCs/>
          <w:color w:val="1E4020"/>
          <w:sz w:val="28"/>
          <w:szCs w:val="28"/>
        </w:rPr>
        <w:t xml:space="preserve">The Milkweed Controversy: Tropical Milkweed in the South</w:t>
      </w:r>
    </w:p>
    <w:p>
      <w:pPr>
        <w:spacing w:before="60" w:after="100" w:line="285"/>
      </w:pPr>
      <w:r>
        <w:rPr>
          <w:rFonts w:ascii="Arial" w:cs="Arial" w:eastAsia="Arial" w:hAnsi="Arial"/>
          <w:sz w:val="22"/>
          <w:szCs w:val="22"/>
        </w:rPr>
        <w:t xml:space="preserve">Tropical milkweed (Asclepias curassavica) is widely sold at nurseries across the southern United States. It is non-native, blooms prolifically, and monarchs readily use it for nectar, egg-laying, and larval feeding. It is also potentially problematic in the South and along the Gulf Coast because it does not die back in winter as native milkweeds do.</w:t>
      </w:r>
    </w:p>
    <w:p>
      <w:pPr>
        <w:spacing w:before="60" w:after="100" w:line="285"/>
      </w:pPr>
      <w:r>
        <w:rPr>
          <w:rFonts w:ascii="Arial" w:cs="Arial" w:eastAsia="Arial" w:hAnsi="Arial"/>
          <w:sz w:val="22"/>
          <w:szCs w:val="22"/>
        </w:rPr>
        <w:t xml:space="preserve">The concern: A monarch parasitic protozoan (Ophryocystis elektroscirrha, OE) can build up on perennial milkweed plants that do not die back. Monarchs that breed on OE-infected plants in the South rather than migrating to Mexico may establish non-migratory populations that do not participate in the migration. Whether this represents a significant harm to monarch populations is actively debated in the scientific community.</w:t>
      </w:r>
    </w:p>
    <w:p>
      <w:pPr>
        <w:pStyle w:val="ListParagraph"/>
        <w:numPr>
          <w:ilvl w:val="0"/>
          <w:numId w:val="2"/>
        </w:numPr>
        <w:spacing w:before="60" w:after="60"/>
      </w:pPr>
      <w:r>
        <w:rPr>
          <w:rFonts w:ascii="Arial" w:cs="Arial" w:eastAsia="Arial" w:hAnsi="Arial"/>
          <w:b/>
          <w:bCs/>
          <w:sz w:val="22"/>
          <w:szCs w:val="22"/>
        </w:rPr>
        <w:t xml:space="preserve">The recommendation from most conservation organizations:</w:t>
      </w:r>
      <w:r>
        <w:rPr>
          <w:rFonts w:ascii="Arial" w:cs="Arial" w:eastAsia="Arial" w:hAnsi="Arial"/>
          <w:sz w:val="22"/>
          <w:szCs w:val="22"/>
        </w:rPr>
        <w:t xml:space="preserve"> In USDA Zones 8 and warmer (Florida, Gulf Coast states, southern Texas, southern California), cut tropical milkweed to the ground in fall (October or November) and treat it as if it were not evergreen. This breaks the OE cycle and removes the ‘year-round milkweed’ that may be retaining monarchs that should migrate. Or, better, replace tropical milkweed with regional native milkweeds where available.</w:t>
      </w:r>
    </w:p>
    <w:p>
      <w:pPr>
        <w:pStyle w:val="ListParagraph"/>
        <w:numPr>
          <w:ilvl w:val="0"/>
          <w:numId w:val="2"/>
        </w:numPr>
        <w:spacing w:before="60" w:after="60"/>
      </w:pPr>
      <w:r>
        <w:rPr>
          <w:rFonts w:ascii="Arial" w:cs="Arial" w:eastAsia="Arial" w:hAnsi="Arial"/>
          <w:b/>
          <w:bCs/>
          <w:sz w:val="22"/>
          <w:szCs w:val="22"/>
        </w:rPr>
        <w:t xml:space="preserve">Native milkweed species by region:</w:t>
      </w:r>
      <w:r>
        <w:rPr>
          <w:rFonts w:ascii="Arial" w:cs="Arial" w:eastAsia="Arial" w:hAnsi="Arial"/>
          <w:sz w:val="22"/>
          <w:szCs w:val="22"/>
        </w:rPr>
        <w:t xml:space="preserve"> The milkweed selection above (Section 2) covers the key native species. Additional region-specific natives include: Antelope horn milkweed (A. asperula) for the Southwest; Florida milkweed (A. feayi) for Florida; poke milkweed (A. exaltata) for the northeastern forests; tall green milkweed (A. hirtella) for the Midwest; desert milkweed (A. subulata) for the desert Southwest.</w:t>
      </w:r>
    </w:p>
    <w:p>
      <w:pPr>
        <w:spacing w:before="0" w:after="120"/>
      </w:pPr>
      <w:r>
        <w:t xml:space="preserve"/>
      </w:r>
    </w:p>
    <w:p>
      <w:pPr>
        <w:pStyle w:val="Heading2"/>
        <w:spacing w:before="240" w:after="120"/>
      </w:pPr>
      <w:r>
        <w:rPr>
          <w:rFonts w:ascii="Arial" w:cs="Arial" w:eastAsia="Arial" w:hAnsi="Arial"/>
          <w:b/>
          <w:bCs/>
          <w:color w:val="1E4020"/>
          <w:sz w:val="28"/>
          <w:szCs w:val="28"/>
        </w:rPr>
        <w:t xml:space="preserve">Supporting the Monarch Migration</w:t>
      </w:r>
    </w:p>
    <w:p>
      <w:pPr>
        <w:pStyle w:val="ListParagraph"/>
        <w:numPr>
          <w:ilvl w:val="0"/>
          <w:numId w:val="2"/>
        </w:numPr>
        <w:spacing w:before="60" w:after="60"/>
      </w:pPr>
      <w:r>
        <w:rPr>
          <w:rFonts w:ascii="Arial" w:cs="Arial" w:eastAsia="Arial" w:hAnsi="Arial"/>
          <w:b/>
          <w:bCs/>
          <w:sz w:val="22"/>
          <w:szCs w:val="22"/>
        </w:rPr>
        <w:t xml:space="preserve">Plant milkweed in the migration corridor:</w:t>
      </w:r>
      <w:r>
        <w:rPr>
          <w:rFonts w:ascii="Arial" w:cs="Arial" w:eastAsia="Arial" w:hAnsi="Arial"/>
          <w:sz w:val="22"/>
          <w:szCs w:val="22"/>
        </w:rPr>
        <w:t xml:space="preserve"> The central flyway of the eastern migration runs from the upper Midwest through Texas to Mexico. Monarch populations that breed in the northern states and Canada follow this route in fall. Milkweed planted anywhere in this corridor — from Minnesota to central Texas — provides fuel station support for migrating monarchs.</w:t>
      </w:r>
    </w:p>
    <w:p>
      <w:pPr>
        <w:pStyle w:val="ListParagraph"/>
        <w:numPr>
          <w:ilvl w:val="0"/>
          <w:numId w:val="2"/>
        </w:numPr>
        <w:spacing w:before="60" w:after="60"/>
      </w:pPr>
      <w:r>
        <w:rPr>
          <w:rFonts w:ascii="Arial" w:cs="Arial" w:eastAsia="Arial" w:hAnsi="Arial"/>
          <w:b/>
          <w:bCs/>
          <w:sz w:val="22"/>
          <w:szCs w:val="22"/>
        </w:rPr>
        <w:t xml:space="preserve">Plant fall nectar sources:</w:t>
      </w:r>
      <w:r>
        <w:rPr>
          <w:rFonts w:ascii="Arial" w:cs="Arial" w:eastAsia="Arial" w:hAnsi="Arial"/>
          <w:sz w:val="22"/>
          <w:szCs w:val="22"/>
        </w:rPr>
        <w:t xml:space="preserve"> Migrating monarchs need nectar, not milkweed, in fall. After caterpillars have pupated and adults have emerged, the adults need to fuel on high-nectar flowers for their long journey south. Goldenrod, native asters, ironweed, liatris, and Joe-Pye weed are the most important fall monarch nectar plants. A garden with abundant fall bloom provides direct conservation value.</w:t>
      </w:r>
    </w:p>
    <w:p>
      <w:pPr>
        <w:pStyle w:val="ListParagraph"/>
        <w:numPr>
          <w:ilvl w:val="0"/>
          <w:numId w:val="2"/>
        </w:numPr>
        <w:spacing w:before="60" w:after="60"/>
      </w:pPr>
      <w:r>
        <w:rPr>
          <w:rFonts w:ascii="Arial" w:cs="Arial" w:eastAsia="Arial" w:hAnsi="Arial"/>
          <w:b/>
          <w:bCs/>
          <w:sz w:val="22"/>
          <w:szCs w:val="22"/>
        </w:rPr>
        <w:t xml:space="preserve">Avoid pesticides in fall:</w:t>
      </w:r>
      <w:r>
        <w:rPr>
          <w:rFonts w:ascii="Arial" w:cs="Arial" w:eastAsia="Arial" w:hAnsi="Arial"/>
          <w:sz w:val="22"/>
          <w:szCs w:val="22"/>
        </w:rPr>
        <w:t xml:space="preserve"> The fall migration period (August through October across most of the US) is when monarchs are most concentrated in residential gardens along the migration corridor. Pesticide applications during this period have disproportionate impact on migrating populations. Suspend any pesticide programs during the migration season.</w:t>
      </w:r>
    </w:p>
    <w:p>
      <w:pPr>
        <w:pStyle w:val="ListParagraph"/>
        <w:numPr>
          <w:ilvl w:val="0"/>
          <w:numId w:val="2"/>
        </w:numPr>
        <w:spacing w:before="60" w:after="60"/>
      </w:pPr>
      <w:r>
        <w:rPr>
          <w:rFonts w:ascii="Arial" w:cs="Arial" w:eastAsia="Arial" w:hAnsi="Arial"/>
          <w:b/>
          <w:bCs/>
          <w:sz w:val="22"/>
          <w:szCs w:val="22"/>
        </w:rPr>
        <w:t xml:space="preserve">Report monarch sightings:</w:t>
      </w:r>
      <w:r>
        <w:rPr>
          <w:rFonts w:ascii="Arial" w:cs="Arial" w:eastAsia="Arial" w:hAnsi="Arial"/>
          <w:sz w:val="22"/>
          <w:szCs w:val="22"/>
        </w:rPr>
        <w:t xml:space="preserve"> The citizen science programs Journey North (journeynorth.org) and iNaturalist track monarch migrations and breeding populations. Reporting your monarch sightings contributes to the scientific database used to monitor monarch population health and guide conservation policy.</w:t>
      </w:r>
    </w:p>
    <w:p>
      <w:pPr>
        <w:spacing w:before="0" w:after="120"/>
      </w:pPr>
      <w:r>
        <w:t xml:space="preserve"/>
      </w:r>
    </w:p>
    <w:p>
      <w:pPr>
        <w:pBdr>
          <w:bottom w:val="single" w:color="2A1858" w:sz="6" w:space="1"/>
        </w:pBdr>
        <w:spacing w:before="160" w:after="160"/>
      </w:pPr>
      <w:r>
        <w:t xml:space="preserve"/>
      </w:r>
    </w:p>
    <w:p>
      <w:r>
        <w:br w:type="page"/>
      </w:r>
    </w:p>
    <w:p>
      <w:pPr>
        <w:pStyle w:val="Heading1"/>
        <w:spacing w:before="360" w:after="180"/>
      </w:pPr>
      <w:r>
        <w:rPr>
          <w:rFonts w:ascii="Arial" w:cs="Arial" w:eastAsia="Arial" w:hAnsi="Arial"/>
          <w:b/>
          <w:bCs/>
          <w:color w:val="2A1858"/>
          <w:sz w:val="36"/>
          <w:szCs w:val="36"/>
        </w:rPr>
        <w:t xml:space="preserve">Section 6: Additional Habitat Elements — Water, Shelter &amp; Overwintering</w:t>
      </w:r>
    </w:p>
    <w:p>
      <w:pPr>
        <w:spacing w:before="120" w:after="160" w:line="285"/>
      </w:pPr>
      <w:r>
        <w:rPr>
          <w:rFonts w:ascii="Arial" w:cs="Arial" w:eastAsia="Arial" w:hAnsi="Arial"/>
          <w:sz w:val="22"/>
          <w:szCs w:val="22"/>
        </w:rPr>
        <w:t xml:space="preserve">Beyond nectar and host plants, a complete butterfly garden provides water, shelter from wind and weather, basking surfaces, overwintering sites, and freedom from pesticide contamination. Each of these elements contributes to the garden’s value as butterfly habitat.</w:t>
      </w:r>
    </w:p>
    <w:p>
      <w:pPr>
        <w:pStyle w:val="Heading2"/>
        <w:spacing w:before="240" w:after="120"/>
      </w:pPr>
      <w:r>
        <w:rPr>
          <w:rFonts w:ascii="Arial" w:cs="Arial" w:eastAsia="Arial" w:hAnsi="Arial"/>
          <w:b/>
          <w:bCs/>
          <w:color w:val="1E4020"/>
          <w:sz w:val="28"/>
          <w:szCs w:val="28"/>
        </w:rPr>
        <w:t xml:space="preserve">Water and Puddling Stations</w:t>
      </w:r>
    </w:p>
    <w:p>
      <w:pPr>
        <w:pStyle w:val="ListParagraph"/>
        <w:numPr>
          <w:ilvl w:val="0"/>
          <w:numId w:val="2"/>
        </w:numPr>
        <w:spacing w:before="60" w:after="60"/>
      </w:pPr>
      <w:r>
        <w:rPr>
          <w:rFonts w:ascii="Arial" w:cs="Arial" w:eastAsia="Arial" w:hAnsi="Arial"/>
          <w:b/>
          <w:bCs/>
          <w:sz w:val="22"/>
          <w:szCs w:val="22"/>
        </w:rPr>
        <w:t xml:space="preserve">Basic puddling station:</w:t>
      </w:r>
      <w:r>
        <w:rPr>
          <w:rFonts w:ascii="Arial" w:cs="Arial" w:eastAsia="Arial" w:hAnsi="Arial"/>
          <w:sz w:val="22"/>
          <w:szCs w:val="22"/>
        </w:rPr>
        <w:t xml:space="preserve"> A shallow dish (1 to 2 inches deep) filled with sand or fine gravel and kept consistently moist; a muddy patch at the garden’s edge; or a shallow section of a garden pond. Adding a small amount of salt (from wood ash or a very small amount of sea salt) increases mineral content and attractiveness to male butterflies, which absorb sodium and amino acids from moist soil.</w:t>
      </w:r>
    </w:p>
    <w:p>
      <w:pPr>
        <w:pStyle w:val="ListParagraph"/>
        <w:numPr>
          <w:ilvl w:val="0"/>
          <w:numId w:val="2"/>
        </w:numPr>
        <w:spacing w:before="60" w:after="60"/>
      </w:pPr>
      <w:r>
        <w:rPr>
          <w:rFonts w:ascii="Arial" w:cs="Arial" w:eastAsia="Arial" w:hAnsi="Arial"/>
          <w:b/>
          <w:bCs/>
          <w:sz w:val="22"/>
          <w:szCs w:val="22"/>
        </w:rPr>
        <w:t xml:space="preserve">What puddling provides:</w:t>
      </w:r>
      <w:r>
        <w:rPr>
          <w:rFonts w:ascii="Arial" w:cs="Arial" w:eastAsia="Arial" w:hAnsi="Arial"/>
          <w:sz w:val="22"/>
          <w:szCs w:val="22"/>
        </w:rPr>
        <w:t xml:space="preserve"> Minerals and salts (particularly sodium) that are scarce in nectar; some protein from soil amino acids; these resources are concentrated by male butterflies and transferred to females during mating, contributing to egg development. Puddling groups of sulphurs, swallowtails, and blues are one of the most photogenic butterfly garden sights.</w:t>
      </w:r>
    </w:p>
    <w:p>
      <w:pPr>
        <w:pStyle w:val="ListParagraph"/>
        <w:numPr>
          <w:ilvl w:val="0"/>
          <w:numId w:val="2"/>
        </w:numPr>
        <w:spacing w:before="60" w:after="60"/>
      </w:pPr>
      <w:r>
        <w:rPr>
          <w:rFonts w:ascii="Arial" w:cs="Arial" w:eastAsia="Arial" w:hAnsi="Arial"/>
          <w:b/>
          <w:bCs/>
          <w:sz w:val="22"/>
          <w:szCs w:val="22"/>
        </w:rPr>
        <w:t xml:space="preserve">Location:</w:t>
      </w:r>
      <w:r>
        <w:rPr>
          <w:rFonts w:ascii="Arial" w:cs="Arial" w:eastAsia="Arial" w:hAnsi="Arial"/>
          <w:sz w:val="22"/>
          <w:szCs w:val="22"/>
        </w:rPr>
        <w:t xml:space="preserve"> The puddling station should be in full sun and near the nectar garden, ideally with adjacent flat stones for basking. Butterflies are attracted to ground-level moisture; elevated water sources (bird baths) are less effective than ground-level shallow dishes.</w:t>
      </w:r>
    </w:p>
    <w:p>
      <w:pPr>
        <w:spacing w:before="0" w:after="120"/>
      </w:pPr>
      <w:r>
        <w:t xml:space="preserve"/>
      </w:r>
    </w:p>
    <w:p>
      <w:pPr>
        <w:pStyle w:val="Heading2"/>
        <w:spacing w:before="240" w:after="120"/>
      </w:pPr>
      <w:r>
        <w:rPr>
          <w:rFonts w:ascii="Arial" w:cs="Arial" w:eastAsia="Arial" w:hAnsi="Arial"/>
          <w:b/>
          <w:bCs/>
          <w:color w:val="1E4020"/>
          <w:sz w:val="28"/>
          <w:szCs w:val="28"/>
        </w:rPr>
        <w:t xml:space="preserve">Overwintering Habitat</w:t>
      </w:r>
    </w:p>
    <w:p>
      <w:pPr>
        <w:spacing w:before="60" w:after="100" w:line="285"/>
      </w:pPr>
      <w:r>
        <w:rPr>
          <w:rFonts w:ascii="Arial" w:cs="Arial" w:eastAsia="Arial" w:hAnsi="Arial"/>
          <w:sz w:val="22"/>
          <w:szCs w:val="22"/>
        </w:rPr>
        <w:t xml:space="preserve">Different butterfly species overwinter in dramatically different ways, and the garden can support multiple overwintering strategies.</w:t>
      </w:r>
    </w:p>
    <w:p>
      <w:pPr>
        <w:pStyle w:val="ListParagraph"/>
        <w:numPr>
          <w:ilvl w:val="0"/>
          <w:numId w:val="2"/>
        </w:numPr>
        <w:spacing w:before="60" w:after="60"/>
      </w:pPr>
      <w:r>
        <w:rPr>
          <w:rFonts w:ascii="Arial" w:cs="Arial" w:eastAsia="Arial" w:hAnsi="Arial"/>
          <w:b/>
          <w:bCs/>
          <w:sz w:val="22"/>
          <w:szCs w:val="22"/>
        </w:rPr>
        <w:t xml:space="preserve">Adult overwintering (mourning cloaks, commas, question marks, anglewings):</w:t>
      </w:r>
      <w:r>
        <w:rPr>
          <w:rFonts w:ascii="Arial" w:cs="Arial" w:eastAsia="Arial" w:hAnsi="Arial"/>
          <w:sz w:val="22"/>
          <w:szCs w:val="22"/>
        </w:rPr>
        <w:t xml:space="preserve"> These species hibernate as adults in tree cavities, loose bark, and dense vegetation. Leaving brush piles, maintaining loose bark on retained snags, and leaving dense plantings of native shrubs undisturbed through winter provides overwintering habitat for these species. They emerge on warm winter days and are often the first butterflies seen in spring.</w:t>
      </w:r>
    </w:p>
    <w:p>
      <w:pPr>
        <w:pStyle w:val="ListParagraph"/>
        <w:numPr>
          <w:ilvl w:val="0"/>
          <w:numId w:val="2"/>
        </w:numPr>
        <w:spacing w:before="60" w:after="60"/>
      </w:pPr>
      <w:r>
        <w:rPr>
          <w:rFonts w:ascii="Arial" w:cs="Arial" w:eastAsia="Arial" w:hAnsi="Arial"/>
          <w:b/>
          <w:bCs/>
          <w:sz w:val="22"/>
          <w:szCs w:val="22"/>
        </w:rPr>
        <w:t xml:space="preserve">Chrysalis overwintering (swallowtails and others):</w:t>
      </w:r>
      <w:r>
        <w:rPr>
          <w:rFonts w:ascii="Arial" w:cs="Arial" w:eastAsia="Arial" w:hAnsi="Arial"/>
          <w:sz w:val="22"/>
          <w:szCs w:val="22"/>
        </w:rPr>
        <w:t xml:space="preserve"> Many swallowtail species overwinter as chrysalises attached to plant stems or structural elements. Leaving plant stems standing through winter — the same practice that benefits overwintering native bees — protects these chrysalises. A swallowtail chrysalis on a winter stem is difficult to distinguish from part of the plant; do not cut stems until consistent warm temperatures above 50°F have arrived in spring.</w:t>
      </w:r>
    </w:p>
    <w:p>
      <w:pPr>
        <w:pStyle w:val="ListParagraph"/>
        <w:numPr>
          <w:ilvl w:val="0"/>
          <w:numId w:val="2"/>
        </w:numPr>
        <w:spacing w:before="60" w:after="60"/>
      </w:pPr>
      <w:r>
        <w:rPr>
          <w:rFonts w:ascii="Arial" w:cs="Arial" w:eastAsia="Arial" w:hAnsi="Arial"/>
          <w:b/>
          <w:bCs/>
          <w:sz w:val="22"/>
          <w:szCs w:val="22"/>
        </w:rPr>
        <w:t xml:space="preserve">Egg overwintering (hairstreaks and some blues):</w:t>
      </w:r>
      <w:r>
        <w:rPr>
          <w:rFonts w:ascii="Arial" w:cs="Arial" w:eastAsia="Arial" w:hAnsi="Arial"/>
          <w:sz w:val="22"/>
          <w:szCs w:val="22"/>
        </w:rPr>
        <w:t xml:space="preserve"> Some hairstreak and blue species overwinter as eggs on host plant twigs. The host plant twigs should be left undisturbed through winter for these species.</w:t>
      </w:r>
    </w:p>
    <w:p>
      <w:pPr>
        <w:pStyle w:val="ListParagraph"/>
        <w:numPr>
          <w:ilvl w:val="0"/>
          <w:numId w:val="2"/>
        </w:numPr>
        <w:spacing w:before="60" w:after="60"/>
      </w:pPr>
      <w:r>
        <w:rPr>
          <w:rFonts w:ascii="Arial" w:cs="Arial" w:eastAsia="Arial" w:hAnsi="Arial"/>
          <w:b/>
          <w:bCs/>
          <w:sz w:val="22"/>
          <w:szCs w:val="22"/>
        </w:rPr>
        <w:t xml:space="preserve">Larval overwintering (fritillaries and others):</w:t>
      </w:r>
      <w:r>
        <w:rPr>
          <w:rFonts w:ascii="Arial" w:cs="Arial" w:eastAsia="Arial" w:hAnsi="Arial"/>
          <w:sz w:val="22"/>
          <w:szCs w:val="22"/>
        </w:rPr>
        <w:t xml:space="preserve"> Fritillary species (great spangled, Aphrodite, and others) overwinter as first-instar larvae in leaf litter near violet host plants. The critically important management action for fritillaries is leaving leaf litter undisturbed beneath native violets and violet host areas through winter. Raking and removing this leaf litter destroys overwintering fritillary populations in the garden.</w:t>
      </w:r>
    </w:p>
    <w:p>
      <w:pPr>
        <w:spacing w:before="0" w:after="120"/>
      </w:pPr>
      <w:r>
        <w:t xml:space="preserve"/>
      </w:r>
    </w:p>
    <w:p>
      <w:pPr>
        <w:pStyle w:val="Heading2"/>
        <w:spacing w:before="240" w:after="120"/>
      </w:pPr>
      <w:r>
        <w:rPr>
          <w:rFonts w:ascii="Arial" w:cs="Arial" w:eastAsia="Arial" w:hAnsi="Arial"/>
          <w:b/>
          <w:bCs/>
          <w:color w:val="1E4020"/>
          <w:sz w:val="28"/>
          <w:szCs w:val="28"/>
        </w:rPr>
        <w:t xml:space="preserve">Shelter and Roosting</w:t>
      </w:r>
    </w:p>
    <w:p>
      <w:pPr>
        <w:pStyle w:val="ListParagraph"/>
        <w:numPr>
          <w:ilvl w:val="0"/>
          <w:numId w:val="2"/>
        </w:numPr>
        <w:spacing w:before="60" w:after="60"/>
      </w:pPr>
      <w:r>
        <w:rPr>
          <w:rFonts w:ascii="Arial" w:cs="Arial" w:eastAsia="Arial" w:hAnsi="Arial"/>
          <w:b/>
          <w:bCs/>
          <w:sz w:val="22"/>
          <w:szCs w:val="22"/>
        </w:rPr>
        <w:t xml:space="preserve">Dense shrubs for roosting:</w:t>
      </w:r>
      <w:r>
        <w:rPr>
          <w:rFonts w:ascii="Arial" w:cs="Arial" w:eastAsia="Arial" w:hAnsi="Arial"/>
          <w:sz w:val="22"/>
          <w:szCs w:val="22"/>
        </w:rPr>
        <w:t xml:space="preserve"> Butterflies roost in dense shrubs or tree canopy at night and during rain. Native shrubs — spicebush, native viburnums, native hollies — provide roosting shelter while also serving as host plants or food sources. A garden with structural shrubs holds butterflies in the garden through overnight periods rather than losing them to adjacent properties.</w:t>
      </w:r>
    </w:p>
    <w:p>
      <w:pPr>
        <w:pStyle w:val="ListParagraph"/>
        <w:numPr>
          <w:ilvl w:val="0"/>
          <w:numId w:val="2"/>
        </w:numPr>
        <w:spacing w:before="60" w:after="60"/>
      </w:pPr>
      <w:r>
        <w:rPr>
          <w:rFonts w:ascii="Arial" w:cs="Arial" w:eastAsia="Arial" w:hAnsi="Arial"/>
          <w:b/>
          <w:bCs/>
          <w:sz w:val="22"/>
          <w:szCs w:val="22"/>
        </w:rPr>
        <w:t xml:space="preserve">Brush and log piles:</w:t>
      </w:r>
      <w:r>
        <w:rPr>
          <w:rFonts w:ascii="Arial" w:cs="Arial" w:eastAsia="Arial" w:hAnsi="Arial"/>
          <w:sz w:val="22"/>
          <w:szCs w:val="22"/>
        </w:rPr>
        <w:t xml:space="preserve"> Provide habitat for the ground-level life stages of many butterfly species as well as the beneficial insects that support the garden ecosystem. A brush pile at the garden’s edge is valuable habitat that requires no maintenance.</w:t>
      </w:r>
    </w:p>
    <w:p>
      <w:pPr>
        <w:pStyle w:val="ListParagraph"/>
        <w:numPr>
          <w:ilvl w:val="0"/>
          <w:numId w:val="2"/>
        </w:numPr>
        <w:spacing w:before="60" w:after="60"/>
      </w:pPr>
      <w:r>
        <w:rPr>
          <w:rFonts w:ascii="Arial" w:cs="Arial" w:eastAsia="Arial" w:hAnsi="Arial"/>
          <w:b/>
          <w:bCs/>
          <w:sz w:val="22"/>
          <w:szCs w:val="22"/>
        </w:rPr>
        <w:t xml:space="preserve">Butterfly houses:</w:t>
      </w:r>
      <w:r>
        <w:rPr>
          <w:rFonts w:ascii="Arial" w:cs="Arial" w:eastAsia="Arial" w:hAnsi="Arial"/>
          <w:sz w:val="22"/>
          <w:szCs w:val="22"/>
        </w:rPr>
        <w:t xml:space="preserve"> The butterfly houses sold at garden centers are largely ineffective; butterflies do not use them for roosting or shelter in the way the marketing implies. Money spent on a butterfly house is better invested in native plants that provide actual habitat. The one possible exception is a butterfly house with very narrow entrance slots (less than 3/8 inch) positioned at a sunny hedge edge; some comma and question mark butterflies have been documented using appropriately designed structures.</w:t>
      </w:r>
    </w:p>
    <w:p>
      <w:pPr>
        <w:spacing w:before="0" w:after="120"/>
      </w:pPr>
      <w:r>
        <w:t xml:space="preserve"/>
      </w:r>
    </w:p>
    <w:p>
      <w:pPr>
        <w:pBdr>
          <w:bottom w:val="single" w:color="2A1858" w:sz="6" w:space="1"/>
        </w:pBdr>
        <w:spacing w:before="160" w:after="160"/>
      </w:pPr>
      <w:r>
        <w:t xml:space="preserve"/>
      </w:r>
    </w:p>
    <w:p>
      <w:r>
        <w:br w:type="page"/>
      </w:r>
    </w:p>
    <w:p>
      <w:pPr>
        <w:pStyle w:val="Heading1"/>
        <w:spacing w:before="360" w:after="180"/>
      </w:pPr>
      <w:r>
        <w:rPr>
          <w:rFonts w:ascii="Arial" w:cs="Arial" w:eastAsia="Arial" w:hAnsi="Arial"/>
          <w:b/>
          <w:bCs/>
          <w:color w:val="2A1858"/>
          <w:sz w:val="36"/>
          <w:szCs w:val="36"/>
        </w:rPr>
        <w:t xml:space="preserve">Section 7: Regional Butterfly Garden Guides</w:t>
      </w:r>
    </w:p>
    <w:p>
      <w:pPr>
        <w:spacing w:before="120" w:after="160" w:line="285"/>
      </w:pPr>
      <w:r>
        <w:rPr>
          <w:rFonts w:ascii="Arial" w:cs="Arial" w:eastAsia="Arial" w:hAnsi="Arial"/>
          <w:sz w:val="22"/>
          <w:szCs w:val="22"/>
        </w:rPr>
        <w:t xml:space="preserve">Butterfly species composition, flight seasons, and the most productive host and nectar plants vary significantly by region. The following regional guides translate this guide’s principles into location-specific recommendations.</w:t>
      </w:r>
    </w:p>
    <w:p>
      <w:pPr>
        <w:spacing w:before="0" w:after="60"/>
      </w:pPr>
      <w:r>
        <w:t xml:space="preserve"/>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2200"/>
        <w:gridCol w:w="1400"/>
        <w:gridCol w:w="960"/>
      </w:tblGrid>
      <w:tr>
        <w:trPr>
          <w:tblHeader/>
        </w:trPr>
        <w:tc>
          <w:tcPr>
            <w:tcW w:type="dxa" w:w="1800"/>
            <w:tcBorders>
              <w:top w:val="single" w:color="2A1858" w:sz="1"/>
              <w:left w:val="single" w:color="2A1858" w:sz="1"/>
              <w:bottom w:val="single" w:color="2A1858" w:sz="1"/>
              <w:right w:val="single" w:color="2A1858" w:sz="1"/>
            </w:tcBorders>
            <w:shd w:fill="2A1858"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2000"/>
            <w:tcBorders>
              <w:top w:val="single" w:color="2A1858" w:sz="1"/>
              <w:left w:val="single" w:color="2A1858" w:sz="1"/>
              <w:bottom w:val="single" w:color="2A1858" w:sz="1"/>
              <w:right w:val="single" w:color="2A1858" w:sz="1"/>
            </w:tcBorders>
            <w:shd w:fill="2A1858" w:val="clear"/>
            <w:tcMar>
              <w:top w:type="dxa" w:w="80"/>
              <w:left w:type="dxa" w:w="120"/>
              <w:bottom w:type="dxa" w:w="80"/>
              <w:right w:type="dxa" w:w="120"/>
            </w:tcMar>
          </w:tcPr>
          <w:p>
            <w:r>
              <w:rPr>
                <w:rFonts w:ascii="Arial" w:cs="Arial" w:eastAsia="Arial" w:hAnsi="Arial"/>
                <w:b/>
                <w:bCs/>
                <w:color w:val="FFFFFF"/>
                <w:sz w:val="20"/>
                <w:szCs w:val="20"/>
              </w:rPr>
              <w:t xml:space="preserve">Key Butterfly Species</w:t>
            </w:r>
          </w:p>
        </w:tc>
        <w:tc>
          <w:tcPr>
            <w:tcW w:type="dxa" w:w="2200"/>
            <w:tcBorders>
              <w:top w:val="single" w:color="2A1858" w:sz="1"/>
              <w:left w:val="single" w:color="2A1858" w:sz="1"/>
              <w:bottom w:val="single" w:color="2A1858" w:sz="1"/>
              <w:right w:val="single" w:color="2A1858" w:sz="1"/>
            </w:tcBorders>
            <w:shd w:fill="2A1858" w:val="clear"/>
            <w:tcMar>
              <w:top w:type="dxa" w:w="80"/>
              <w:left w:type="dxa" w:w="120"/>
              <w:bottom w:type="dxa" w:w="80"/>
              <w:right w:type="dxa" w:w="120"/>
            </w:tcMar>
          </w:tcPr>
          <w:p>
            <w:r>
              <w:rPr>
                <w:rFonts w:ascii="Arial" w:cs="Arial" w:eastAsia="Arial" w:hAnsi="Arial"/>
                <w:b/>
                <w:bCs/>
                <w:color w:val="FFFFFF"/>
                <w:sz w:val="20"/>
                <w:szCs w:val="20"/>
              </w:rPr>
              <w:t xml:space="preserve">Essential Host Plants</w:t>
            </w:r>
          </w:p>
        </w:tc>
        <w:tc>
          <w:tcPr>
            <w:tcW w:type="dxa" w:w="2200"/>
            <w:tcBorders>
              <w:top w:val="single" w:color="2A1858" w:sz="1"/>
              <w:left w:val="single" w:color="2A1858" w:sz="1"/>
              <w:bottom w:val="single" w:color="2A1858" w:sz="1"/>
              <w:right w:val="single" w:color="2A1858" w:sz="1"/>
            </w:tcBorders>
            <w:shd w:fill="2A1858" w:val="clear"/>
            <w:tcMar>
              <w:top w:type="dxa" w:w="80"/>
              <w:left w:type="dxa" w:w="120"/>
              <w:bottom w:type="dxa" w:w="80"/>
              <w:right w:type="dxa" w:w="120"/>
            </w:tcMar>
          </w:tcPr>
          <w:p>
            <w:r>
              <w:rPr>
                <w:rFonts w:ascii="Arial" w:cs="Arial" w:eastAsia="Arial" w:hAnsi="Arial"/>
                <w:b/>
                <w:bCs/>
                <w:color w:val="FFFFFF"/>
                <w:sz w:val="20"/>
                <w:szCs w:val="20"/>
              </w:rPr>
              <w:t xml:space="preserve">Essential Nectar Plants</w:t>
            </w:r>
          </w:p>
        </w:tc>
        <w:tc>
          <w:tcPr>
            <w:tcW w:type="dxa" w:w="1400"/>
            <w:tcBorders>
              <w:top w:val="single" w:color="2A1858" w:sz="1"/>
              <w:left w:val="single" w:color="2A1858" w:sz="1"/>
              <w:bottom w:val="single" w:color="2A1858" w:sz="1"/>
              <w:right w:val="single" w:color="2A1858" w:sz="1"/>
            </w:tcBorders>
            <w:shd w:fill="2A1858" w:val="clear"/>
            <w:tcMar>
              <w:top w:type="dxa" w:w="80"/>
              <w:left w:type="dxa" w:w="120"/>
              <w:bottom w:type="dxa" w:w="80"/>
              <w:right w:type="dxa" w:w="120"/>
            </w:tcMar>
          </w:tcPr>
          <w:p>
            <w:r>
              <w:rPr>
                <w:rFonts w:ascii="Arial" w:cs="Arial" w:eastAsia="Arial" w:hAnsi="Arial"/>
                <w:b/>
                <w:bCs/>
                <w:color w:val="FFFFFF"/>
                <w:sz w:val="20"/>
                <w:szCs w:val="20"/>
              </w:rPr>
              <w:t xml:space="preserve">Peak Season</w:t>
            </w:r>
          </w:p>
        </w:tc>
        <w:tc>
          <w:tcPr>
            <w:tcW w:type="dxa" w:w="960"/>
            <w:tcBorders>
              <w:top w:val="single" w:color="2A1858" w:sz="1"/>
              <w:left w:val="single" w:color="2A1858" w:sz="1"/>
              <w:bottom w:val="single" w:color="2A1858" w:sz="1"/>
              <w:right w:val="single" w:color="2A1858" w:sz="1"/>
            </w:tcBorders>
            <w:shd w:fill="2A1858" w:val="clear"/>
            <w:tcMar>
              <w:top w:type="dxa" w:w="80"/>
              <w:left w:type="dxa" w:w="120"/>
              <w:bottom w:type="dxa" w:w="80"/>
              <w:right w:type="dxa" w:w="120"/>
            </w:tcMar>
          </w:tcPr>
          <w:p>
            <w:r>
              <w:rPr>
                <w:rFonts w:ascii="Arial" w:cs="Arial" w:eastAsia="Arial" w:hAnsi="Arial"/>
                <w:b/>
                <w:bCs/>
                <w:color w:val="FFFFFF"/>
                <w:sz w:val="20"/>
                <w:szCs w:val="20"/>
              </w:rPr>
              <w:t xml:space="preserve">Regional Priority</w:t>
            </w:r>
          </w:p>
        </w:tc>
      </w:tr>
      <w:tr>
        <w:tc>
          <w:tcPr>
            <w:tcW w:type="dxa" w:w="18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Northeast &amp; New England
(Zones 3–6)</w:t>
            </w:r>
          </w:p>
        </w:tc>
        <w:tc>
          <w:tcPr>
            <w:tcW w:type="dxa" w:w="20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Eastern tiger swallowtail, black swallowtail, spicebush swallowtail, monarch, great spangled fritillary, American copper, spring azure, red admiral, mourning cloak, eastern comma</w:t>
            </w:r>
          </w:p>
        </w:tc>
        <w:tc>
          <w:tcPr>
            <w:tcW w:type="dxa" w:w="22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Wild cherry, spicebush, milkweed (A. syriaca, A. incarnata, A. tuberosa), golden Alexander, native violets, Dutchman’s pipe (pipevine swallowtail), black locust</w:t>
            </w:r>
          </w:p>
        </w:tc>
        <w:tc>
          <w:tcPr>
            <w:tcW w:type="dxa" w:w="22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Joe-Pye weed, ironweed, mountain mint, native thistles, goldenrod, native asters (especially for fall migration fuel), milkweed flowers, native phlox, coneflower</w:t>
            </w:r>
          </w:p>
        </w:tc>
        <w:tc>
          <w:tcPr>
            <w:tcW w:type="dxa" w:w="14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June through September; monarch migration August–September</w:t>
            </w:r>
          </w:p>
        </w:tc>
        <w:tc>
          <w:tcPr>
            <w:tcW w:type="dxa" w:w="96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Fall bloom is the highest-leverage garden investment in the Northeast — goldenrod and native asters planted generously provide critical fuel for migrating monarchs, painted ladies, and dozens of other fall migrants. Leave stems standing through winter for overwintering chrysalises.</w:t>
            </w:r>
          </w:p>
        </w:tc>
      </w:tr>
      <w:tr>
        <w:tc>
          <w:tcPr>
            <w:tcW w:type="dxa" w:w="18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Mid-Atlantic
(Zones 6–7)</w:t>
            </w:r>
          </w:p>
        </w:tc>
        <w:tc>
          <w:tcPr>
            <w:tcW w:type="dxa" w:w="20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Eastern tiger swallowtail, spicebush swallowtail, black swallowtail, pipevine swallowtail, monarch, great spangled fritillary, gulf fritillary (coastal south), red admiral, painted lady, American lady</w:t>
            </w:r>
          </w:p>
        </w:tc>
        <w:tc>
          <w:tcPr>
            <w:tcW w:type="dxa" w:w="22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Wild cherry, spicebush, milkweed, golden Alexander, native violets, Dutchman’s pipe, hackberry (snout butterfly), passionflower (gulf fritillary)</w:t>
            </w:r>
          </w:p>
        </w:tc>
        <w:tc>
          <w:tcPr>
            <w:tcW w:type="dxa" w:w="22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Joe-Pye weed, ironweed, native thistles, milkweed, mountain mint, goldenrod, native asters, liatris, coneflower, wild bergamot, native phlox</w:t>
            </w:r>
          </w:p>
        </w:tc>
        <w:tc>
          <w:tcPr>
            <w:tcW w:type="dxa" w:w="14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May through October; excellent season length</w:t>
            </w:r>
          </w:p>
        </w:tc>
        <w:tc>
          <w:tcPr>
            <w:tcW w:type="dxa" w:w="96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Plant spicebush as a specimen shrub; it is one of the most butterfly-productive plants in the mid-Atlantic and is an outstanding ornamental. The mid-Atlantic supports the richest butterfly diversity in the eastern US.</w:t>
            </w:r>
          </w:p>
        </w:tc>
      </w:tr>
      <w:tr>
        <w:tc>
          <w:tcPr>
            <w:tcW w:type="dxa" w:w="18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Southeast &amp; Gulf Coast
(Zones 7–10)</w:t>
            </w:r>
          </w:p>
        </w:tc>
        <w:tc>
          <w:tcPr>
            <w:tcW w:type="dxa" w:w="20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Eastern tiger swallowtail, giant swallowtail, spicebush swallowtail, palamedes swallowtail (coastal), zebra longwing (FL), gulf fritillary, monarch, queen, red admiral, painted lady</w:t>
            </w:r>
          </w:p>
        </w:tc>
        <w:tc>
          <w:tcPr>
            <w:tcW w:type="dxa" w:w="22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Native milkweeds (especially A. tuberosa, A. incarnata), passionflower, spicebush, Dutchman’s pipe, hackberry, hop tree (giant swallowtail)</w:t>
            </w:r>
          </w:p>
        </w:tc>
        <w:tc>
          <w:tcPr>
            <w:tcW w:type="dxa" w:w="22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Native thistles, ironweed, goldenrod, native asters, tropical sage (Salvia coccinea), pentas, mistflower, native milkweed, lantana (non-invasive alternatives preferred)</w:t>
            </w:r>
          </w:p>
        </w:tc>
        <w:tc>
          <w:tcPr>
            <w:tcW w:type="dxa" w:w="14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Year-round in Florida; March–November in most of the region</w:t>
            </w:r>
          </w:p>
        </w:tc>
        <w:tc>
          <w:tcPr>
            <w:tcW w:type="dxa" w:w="96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 native milkweed species rather than tropical milkweed where possible; cut tropical milkweed to the ground in fall where native alternatives are limited. Florida has extraordinary butterfly diversity including many tropical species not found farther north.</w:t>
            </w:r>
          </w:p>
        </w:tc>
      </w:tr>
      <w:tr>
        <w:tc>
          <w:tcPr>
            <w:tcW w:type="dxa" w:w="18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Midwest &amp; Great Plains
(Zones 3–6)</w:t>
            </w:r>
          </w:p>
        </w:tc>
        <w:tc>
          <w:tcPr>
            <w:tcW w:type="dxa" w:w="20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Monarch (critical migration corridor), eastern tiger swallowtail, black swallowtail, great spangled fritillary, painted lady, American lady, red admiral, sulphurs, regal fritillary (tallgrass prairie; rare)</w:t>
            </w:r>
          </w:p>
        </w:tc>
        <w:tc>
          <w:tcPr>
            <w:tcW w:type="dxa" w:w="22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Milkweed (A. syriaca, A. tuberosa, A. incarnata) — the monarch’s critical breeding milkweed; prairie clovers (Dalea) for dogface; native violets for fritillaries; golden Alexander for black swallowtail; wild senna for cloudless sulphur</w:t>
            </w:r>
          </w:p>
        </w:tc>
        <w:tc>
          <w:tcPr>
            <w:tcW w:type="dxa" w:w="22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Joe-Pye weed, ironweed, goldenrod, native asters, liatris, native thistles, prairie clover, coneflower, mountain mint, native milkweed</w:t>
            </w:r>
          </w:p>
        </w:tc>
        <w:tc>
          <w:tcPr>
            <w:tcW w:type="dxa" w:w="14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June through September; monarch migration August–October; critical migration corridor</w:t>
            </w:r>
          </w:p>
        </w:tc>
        <w:tc>
          <w:tcPr>
            <w:tcW w:type="dxa" w:w="96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The Midwest is the most important region for monarch conservation action — the central flyway runs through the Great Plains, and the breeding monarch population spans the Midwest. Plant milkweed broadly and plant fall nectar generously. Native prairie plant restorations (even small-scale) support extraordinary butterfly diversity.</w:t>
            </w:r>
          </w:p>
        </w:tc>
      </w:tr>
      <w:tr>
        <w:tc>
          <w:tcPr>
            <w:tcW w:type="dxa" w:w="18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Rocky Mountain &amp; Southwest
(Zones 4–8)</w:t>
            </w:r>
          </w:p>
        </w:tc>
        <w:tc>
          <w:tcPr>
            <w:tcW w:type="dxa" w:w="20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Western tiger swallowtail, anise swallowtail, two-tailed swallowtail, Mexican yellow, queen, painted lady, American lady, West Coast lady, various blues and hairstreaks</w:t>
            </w:r>
          </w:p>
        </w:tc>
        <w:tc>
          <w:tcPr>
            <w:tcW w:type="dxa" w:w="22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Native willows and cottonwoods (tiger swallowtail), desert parsley and lomatium (anise swallowtail), native milkweeds (showy milkweed — A. speciosa), prairie clovers (Dalea), native vetches and lupines</w:t>
            </w:r>
          </w:p>
        </w:tc>
        <w:tc>
          <w:tcPr>
            <w:tcW w:type="dxa" w:w="22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Native thistles, milkweed, native asters, goldenrod, native penstemon, western native verbenas, rabbitbrush (Ericameria), native buckwheats (Eriogonum)</w:t>
            </w:r>
          </w:p>
        </w:tc>
        <w:tc>
          <w:tcPr>
            <w:tcW w:type="dxa" w:w="14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April–October at lower elevations; June–September at altitude</w:t>
            </w:r>
          </w:p>
        </w:tc>
        <w:tc>
          <w:tcPr>
            <w:tcW w:type="dxa" w:w="96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Showy milkweed (Asclepias speciosa) is the critical western milkweed. Native penstemons are important nectar sources for swallowtails and hummingbirds. High-elevation gardens should focus on native alpine species with shorter bloom seasons.</w:t>
            </w:r>
          </w:p>
        </w:tc>
      </w:tr>
      <w:tr>
        <w:tc>
          <w:tcPr>
            <w:tcW w:type="dxa" w:w="18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Pacific Coast
(Zones 8–11 in California)</w:t>
            </w:r>
          </w:p>
        </w:tc>
        <w:tc>
          <w:tcPr>
            <w:tcW w:type="dxa" w:w="20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Anise swallowtail, western tiger swallowtail, pipevine swallowtail (coastal), California sister, painted lady, American lady, West Coast lady, various blues; western monarch overwintering on the coast</w:t>
            </w:r>
          </w:p>
        </w:tc>
        <w:tc>
          <w:tcPr>
            <w:tcW w:type="dxa" w:w="22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California pipevine (Aristolochia californica) for pipevine swallowtail; native milkweeds (A. californica, A. eriocarpa, A. speciosa) for western monarch; desert parsley (Lomatium) for anise swallowtail; native willows</w:t>
            </w:r>
          </w:p>
        </w:tc>
        <w:tc>
          <w:tcPr>
            <w:tcW w:type="dxa" w:w="22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Native thistles, milkweed, California native buckwheats (Eriogonum), native sages (Salvia), native asters, goldenrod, rabbitbrush, clarkia, native poppies</w:t>
            </w:r>
          </w:p>
        </w:tc>
        <w:tc>
          <w:tcPr>
            <w:tcW w:type="dxa" w:w="14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February–November; some species year-round</w:t>
            </w:r>
          </w:p>
        </w:tc>
        <w:tc>
          <w:tcPr>
            <w:tcW w:type="dxa" w:w="96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Western monarch conservation is critical — the coastal overwintering population has declined catastrophically. Plant native California milkweed species to support breeding monarchs; avoid tropical milkweed in frost-free areas. California pipevine is spectacular and supports the iridescent pipevine swallowtail.</w:t>
            </w:r>
          </w:p>
        </w:tc>
      </w:tr>
    </w:tbl>
    <w:p>
      <w:pPr>
        <w:spacing w:before="0" w:after="120"/>
      </w:pPr>
      <w:r>
        <w:t xml:space="preserve"/>
      </w:r>
    </w:p>
    <w:p>
      <w:pPr>
        <w:pBdr>
          <w:bottom w:val="single" w:color="2A1858" w:sz="6" w:space="1"/>
        </w:pBdr>
        <w:spacing w:before="160" w:after="160"/>
      </w:pPr>
      <w:r>
        <w:t xml:space="preserve"/>
      </w:r>
    </w:p>
    <w:p>
      <w:r>
        <w:br w:type="page"/>
      </w:r>
    </w:p>
    <w:p>
      <w:pPr>
        <w:pStyle w:val="Heading1"/>
        <w:spacing w:before="360" w:after="180"/>
      </w:pPr>
      <w:r>
        <w:rPr>
          <w:rFonts w:ascii="Arial" w:cs="Arial" w:eastAsia="Arial" w:hAnsi="Arial"/>
          <w:b/>
          <w:bCs/>
          <w:color w:val="2A1858"/>
          <w:sz w:val="36"/>
          <w:szCs w:val="36"/>
        </w:rPr>
        <w:t xml:space="preserve">Section 8: Butterfly Identification — Resources &amp; Field Marks</w:t>
      </w:r>
    </w:p>
    <w:p>
      <w:pPr>
        <w:spacing w:before="120" w:after="160" w:line="285"/>
      </w:pPr>
      <w:r>
        <w:rPr>
          <w:rFonts w:ascii="Arial" w:cs="Arial" w:eastAsia="Arial" w:hAnsi="Arial"/>
          <w:sz w:val="22"/>
          <w:szCs w:val="22"/>
        </w:rPr>
        <w:t xml:space="preserve">Learning to identify the butterflies in your garden is one of the greatest pleasures of butterfly gardening. It transforms a garden visit into an identification puzzle, reveals which host and nectar plants are most productive, and connects your garden to the broader world of butterfly monitoring and conservation. The following field marks and resources make identification straightforward for the species most commonly encountered in American gardens.</w:t>
      </w:r>
    </w:p>
    <w:p>
      <w:pPr>
        <w:pStyle w:val="Heading2"/>
        <w:spacing w:before="240" w:after="120"/>
      </w:pPr>
      <w:r>
        <w:rPr>
          <w:rFonts w:ascii="Arial" w:cs="Arial" w:eastAsia="Arial" w:hAnsi="Arial"/>
          <w:b/>
          <w:bCs/>
          <w:color w:val="1E4020"/>
          <w:sz w:val="28"/>
          <w:szCs w:val="28"/>
        </w:rPr>
        <w:t xml:space="preserve">Quick Identification by Wing Pattern and Color</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200"/>
        <w:gridCol w:w="1960"/>
      </w:tblGrid>
      <w:tr>
        <w:trPr>
          <w:tblHeader/>
        </w:trPr>
        <w:tc>
          <w:tcPr>
            <w:tcW w:type="dxa" w:w="2800"/>
            <w:tcBorders>
              <w:top w:val="single" w:color="1E4020" w:sz="1"/>
              <w:left w:val="single" w:color="1E4020" w:sz="1"/>
              <w:bottom w:val="single" w:color="1E4020" w:sz="1"/>
              <w:right w:val="single" w:color="1E4020" w:sz="1"/>
            </w:tcBorders>
            <w:shd w:fill="1E4020" w:val="clear"/>
            <w:tcMar>
              <w:top w:type="dxa" w:w="80"/>
              <w:left w:type="dxa" w:w="120"/>
              <w:bottom w:type="dxa" w:w="80"/>
              <w:right w:type="dxa" w:w="120"/>
            </w:tcMar>
          </w:tcPr>
          <w:p>
            <w:r>
              <w:rPr>
                <w:rFonts w:ascii="Arial" w:cs="Arial" w:eastAsia="Arial" w:hAnsi="Arial"/>
                <w:b/>
                <w:bCs/>
                <w:color w:val="FFFFFF"/>
                <w:sz w:val="20"/>
                <w:szCs w:val="20"/>
              </w:rPr>
              <w:t xml:space="preserve">If you see…</w:t>
            </w:r>
          </w:p>
        </w:tc>
        <w:tc>
          <w:tcPr>
            <w:tcW w:type="dxa" w:w="2400"/>
            <w:tcBorders>
              <w:top w:val="single" w:color="1E4020" w:sz="1"/>
              <w:left w:val="single" w:color="1E4020" w:sz="1"/>
              <w:bottom w:val="single" w:color="1E4020" w:sz="1"/>
              <w:right w:val="single" w:color="1E4020" w:sz="1"/>
            </w:tcBorders>
            <w:shd w:fill="1E4020" w:val="clear"/>
            <w:tcMar>
              <w:top w:type="dxa" w:w="80"/>
              <w:left w:type="dxa" w:w="120"/>
              <w:bottom w:type="dxa" w:w="80"/>
              <w:right w:type="dxa" w:w="120"/>
            </w:tcMar>
          </w:tcPr>
          <w:p>
            <w:r>
              <w:rPr>
                <w:rFonts w:ascii="Arial" w:cs="Arial" w:eastAsia="Arial" w:hAnsi="Arial"/>
                <w:b/>
                <w:bCs/>
                <w:color w:val="FFFFFF"/>
                <w:sz w:val="20"/>
                <w:szCs w:val="20"/>
              </w:rPr>
              <w:t xml:space="preserve">Look for this distinguishing feature</w:t>
            </w:r>
          </w:p>
        </w:tc>
        <w:tc>
          <w:tcPr>
            <w:tcW w:type="dxa" w:w="2200"/>
            <w:tcBorders>
              <w:top w:val="single" w:color="1E4020" w:sz="1"/>
              <w:left w:val="single" w:color="1E4020" w:sz="1"/>
              <w:bottom w:val="single" w:color="1E4020" w:sz="1"/>
              <w:right w:val="single" w:color="1E4020" w:sz="1"/>
            </w:tcBorders>
            <w:shd w:fill="1E4020" w:val="clear"/>
            <w:tcMar>
              <w:top w:type="dxa" w:w="80"/>
              <w:left w:type="dxa" w:w="120"/>
              <w:bottom w:type="dxa" w:w="80"/>
              <w:right w:type="dxa" w:w="120"/>
            </w:tcMar>
          </w:tcPr>
          <w:p>
            <w:r>
              <w:rPr>
                <w:rFonts w:ascii="Arial" w:cs="Arial" w:eastAsia="Arial" w:hAnsi="Arial"/>
                <w:b/>
                <w:bCs/>
                <w:color w:val="FFFFFF"/>
                <w:sz w:val="20"/>
                <w:szCs w:val="20"/>
              </w:rPr>
              <w:t xml:space="preserve">Most likely species</w:t>
            </w:r>
          </w:p>
        </w:tc>
        <w:tc>
          <w:tcPr>
            <w:tcW w:type="dxa" w:w="1960"/>
            <w:tcBorders>
              <w:top w:val="single" w:color="1E4020" w:sz="1"/>
              <w:left w:val="single" w:color="1E4020" w:sz="1"/>
              <w:bottom w:val="single" w:color="1E4020" w:sz="1"/>
              <w:right w:val="single" w:color="1E4020" w:sz="1"/>
            </w:tcBorders>
            <w:shd w:fill="1E4020" w:val="clear"/>
            <w:tcMar>
              <w:top w:type="dxa" w:w="80"/>
              <w:left w:type="dxa" w:w="120"/>
              <w:bottom w:type="dxa" w:w="80"/>
              <w:right w:type="dxa" w:w="120"/>
            </w:tcMar>
          </w:tcPr>
          <w:p>
            <w:r>
              <w:rPr>
                <w:rFonts w:ascii="Arial" w:cs="Arial" w:eastAsia="Arial" w:hAnsi="Arial"/>
                <w:b/>
                <w:bCs/>
                <w:color w:val="FFFFFF"/>
                <w:sz w:val="20"/>
                <w:szCs w:val="20"/>
              </w:rPr>
              <w:t xml:space="preserve">Confirming detail</w:t>
            </w:r>
          </w:p>
        </w:tc>
      </w:tr>
      <w:tr>
        <w:tc>
          <w:tcPr>
            <w:tcW w:type="dxa" w:w="28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Large orange butterfly with black veins and white spots</w:t>
            </w:r>
          </w:p>
        </w:tc>
        <w:tc>
          <w:tcPr>
            <w:tcW w:type="dxa" w:w="24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Wingspan 3–4.5 in; orange with black veins forming a grid pattern</w:t>
            </w:r>
          </w:p>
        </w:tc>
        <w:tc>
          <w:tcPr>
            <w:tcW w:type="dxa" w:w="22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Monarch</w:t>
            </w:r>
          </w:p>
        </w:tc>
        <w:tc>
          <w:tcPr>
            <w:tcW w:type="dxa" w:w="196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Single row of white spots in the black border; unmistakable once learned. Viceroy is similar but smaller with a black postmedian line crossing the hindwing.</w:t>
            </w:r>
          </w:p>
        </w:tc>
      </w:tr>
      <w:tr>
        <w:tc>
          <w:tcPr>
            <w:tcW w:type="dxa" w:w="28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Large yellow butterfly with black stripes</w:t>
            </w:r>
          </w:p>
        </w:tc>
        <w:tc>
          <w:tcPr>
            <w:tcW w:type="dxa" w:w="24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Wingspan 3–5.5 in; yellow with bold black tiger stripes; tails on hindwing</w:t>
            </w:r>
          </w:p>
        </w:tc>
        <w:tc>
          <w:tcPr>
            <w:tcW w:type="dxa" w:w="22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Eastern Tiger Swallowtail (East) or Western Tiger Swallowtail (West)</w:t>
            </w:r>
          </w:p>
        </w:tc>
        <w:tc>
          <w:tcPr>
            <w:tcW w:type="dxa" w:w="196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Eastern: blue and orange spots on hindwing. Western: white submarginal spots. All-black form is female Eastern Tiger Swallowtail.</w:t>
            </w:r>
          </w:p>
        </w:tc>
      </w:tr>
      <w:tr>
        <w:tc>
          <w:tcPr>
            <w:tcW w:type="dxa" w:w="28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Large black butterfly with blue iridescence on hindwing</w:t>
            </w:r>
          </w:p>
        </w:tc>
        <w:tc>
          <w:tcPr>
            <w:tcW w:type="dxa" w:w="24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Wingspan 3.5–4.5 in; primarily black; brilliant blue sheen on upper hindwing surface</w:t>
            </w:r>
          </w:p>
        </w:tc>
        <w:tc>
          <w:tcPr>
            <w:tcW w:type="dxa" w:w="22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Pipevine Swallowtail</w:t>
            </w:r>
          </w:p>
        </w:tc>
        <w:tc>
          <w:tcPr>
            <w:tcW w:type="dxa" w:w="196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Orange spots on hindwing underside; host plant (pipevine/Aristolochia) nearby is diagnostic</w:t>
            </w:r>
          </w:p>
        </w:tc>
      </w:tr>
      <w:tr>
        <w:tc>
          <w:tcPr>
            <w:tcW w:type="dxa" w:w="28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Large black butterfly with rows of yellow spots</w:t>
            </w:r>
          </w:p>
        </w:tc>
        <w:tc>
          <w:tcPr>
            <w:tcW w:type="dxa" w:w="24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Wingspan 3.5–4.5 in; dark brown-black with two rows of yellow spots across wings</w:t>
            </w:r>
          </w:p>
        </w:tc>
        <w:tc>
          <w:tcPr>
            <w:tcW w:type="dxa" w:w="22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Black Swallowtail</w:t>
            </w:r>
          </w:p>
        </w:tc>
        <w:tc>
          <w:tcPr>
            <w:tcW w:type="dxa" w:w="196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Blue median band on hindwing; orange eyespot; host plant (carrot family) nearby</w:t>
            </w:r>
          </w:p>
        </w:tc>
      </w:tr>
      <w:tr>
        <w:tc>
          <w:tcPr>
            <w:tcW w:type="dxa" w:w="28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Yellow-green butterfly with long tails on hindwing</w:t>
            </w:r>
          </w:p>
        </w:tc>
        <w:tc>
          <w:tcPr>
            <w:tcW w:type="dxa" w:w="24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Wingspan 4–6 in; yellow underside; very long tails on hindwing; seen on citrus, hop tree in South</w:t>
            </w:r>
          </w:p>
        </w:tc>
        <w:tc>
          <w:tcPr>
            <w:tcW w:type="dxa" w:w="22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Giant Swallowtail</w:t>
            </w:r>
          </w:p>
        </w:tc>
        <w:tc>
          <w:tcPr>
            <w:tcW w:type="dxa" w:w="196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Largest butterfly in North America; yellow X-pattern on dark upper side; white spots along margin</w:t>
            </w:r>
          </w:p>
        </w:tc>
      </w:tr>
      <w:tr>
        <w:tc>
          <w:tcPr>
            <w:tcW w:type="dxa" w:w="28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Dark butterfly with white spots and orange on hindwing</w:t>
            </w:r>
          </w:p>
        </w:tc>
        <w:tc>
          <w:tcPr>
            <w:tcW w:type="dxa" w:w="24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Wingspan 2.5–3.5 in; dark brown with orange patches and distinctive white-spotted black forewing</w:t>
            </w:r>
          </w:p>
        </w:tc>
        <w:tc>
          <w:tcPr>
            <w:tcW w:type="dxa" w:w="22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Viceroy</w:t>
            </w:r>
          </w:p>
        </w:tc>
        <w:tc>
          <w:tcPr>
            <w:tcW w:type="dxa" w:w="196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Black postmedian line crossing the hindwing (absent in monarch); slightly smaller than monarch</w:t>
            </w:r>
          </w:p>
        </w:tc>
      </w:tr>
      <w:tr>
        <w:tc>
          <w:tcPr>
            <w:tcW w:type="dxa" w:w="28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Orange butterfly with ragged, irregular wing margins</w:t>
            </w:r>
          </w:p>
        </w:tc>
        <w:tc>
          <w:tcPr>
            <w:tcW w:type="dxa" w:w="24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Wingspan 1.75–2.5 in; orange with dark spots; wing margins notched and jagged</w:t>
            </w:r>
          </w:p>
        </w:tc>
        <w:tc>
          <w:tcPr>
            <w:tcW w:type="dxa" w:w="22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Eastern Comma or Question Mark</w:t>
            </w:r>
          </w:p>
        </w:tc>
        <w:tc>
          <w:tcPr>
            <w:tcW w:type="dxa" w:w="196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Silver comma (,) or question mark (?) on hindwing underside is diagnostic; overwinters as adult</w:t>
            </w:r>
          </w:p>
        </w:tc>
      </w:tr>
      <w:tr>
        <w:tc>
          <w:tcPr>
            <w:tcW w:type="dxa" w:w="28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Small bright yellow or orange-yellow butterfly in lawns and clover</w:t>
            </w:r>
          </w:p>
        </w:tc>
        <w:tc>
          <w:tcPr>
            <w:tcW w:type="dxa" w:w="24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Wingspan 1.5–2 in; yellow or orange-yellow; black border on forewing</w:t>
            </w:r>
          </w:p>
        </w:tc>
        <w:tc>
          <w:tcPr>
            <w:tcW w:type="dxa" w:w="22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Clouded Sulphur or Orange Sulphur</w:t>
            </w:r>
          </w:p>
        </w:tc>
        <w:tc>
          <w:tcPr>
            <w:tcW w:type="dxa" w:w="196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Pink-fringed hindwing margins; tends to hold wings closed, showing a greenish-yellow underside with two silver spots</w:t>
            </w:r>
          </w:p>
        </w:tc>
      </w:tr>
      <w:tr>
        <w:tc>
          <w:tcPr>
            <w:tcW w:type="dxa" w:w="28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Small brilliant blue butterfly</w:t>
            </w:r>
          </w:p>
        </w:tc>
        <w:tc>
          <w:tcPr>
            <w:tcW w:type="dxa" w:w="24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Wingspan 3/4–1.5 in; male brilliant blue above; female brownish to blue</w:t>
            </w:r>
          </w:p>
        </w:tc>
        <w:tc>
          <w:tcPr>
            <w:tcW w:type="dxa" w:w="22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Various blues (Spring Azure, Eastern Tailed-Blue, Silvery Blue, etc.)</w:t>
            </w:r>
          </w:p>
        </w:tc>
        <w:tc>
          <w:tcPr>
            <w:tcW w:type="dxa" w:w="196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Spring azure: pale gray spotted underside. Eastern tailed-blue: tiny tails on hindwing; orange spot. Size and underside pattern are key to specific ID.</w:t>
            </w:r>
          </w:p>
        </w:tc>
      </w:tr>
      <w:tr>
        <w:tc>
          <w:tcPr>
            <w:tcW w:type="dxa" w:w="28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Small orange butterfly with jagged wings and eyespots</w:t>
            </w:r>
          </w:p>
        </w:tc>
        <w:tc>
          <w:tcPr>
            <w:tcW w:type="dxa" w:w="24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Wingspan 2.5–3.5 in; orange with bold black markings; pattern of eyespots on hindwing</w:t>
            </w:r>
          </w:p>
        </w:tc>
        <w:tc>
          <w:tcPr>
            <w:tcW w:type="dxa" w:w="22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Great Spangled Fritillary</w:t>
            </w:r>
          </w:p>
        </w:tc>
        <w:tc>
          <w:tcPr>
            <w:tcW w:type="dxa" w:w="196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Silver spots on hindwing underside; large and beautiful; found near violets. Compare with smaller Meadow Fritillary.</w:t>
            </w:r>
          </w:p>
        </w:tc>
      </w:tr>
      <w:tr>
        <w:tc>
          <w:tcPr>
            <w:tcW w:type="dxa" w:w="28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Small orange butterfly with dramatic silver spots on hindwing underside</w:t>
            </w:r>
          </w:p>
        </w:tc>
        <w:tc>
          <w:tcPr>
            <w:tcW w:type="dxa" w:w="24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Wingspan 2.5–3 in; brilliant orange above; silver spots on hindwing underside very prominent</w:t>
            </w:r>
          </w:p>
        </w:tc>
        <w:tc>
          <w:tcPr>
            <w:tcW w:type="dxa" w:w="22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Gulf Fritillary</w:t>
            </w:r>
          </w:p>
        </w:tc>
        <w:tc>
          <w:tcPr>
            <w:tcW w:type="dxa" w:w="196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Passionflower vine nearby is diagnostic; found in Southeast and Southwest</w:t>
            </w:r>
          </w:p>
        </w:tc>
      </w:tr>
      <w:tr>
        <w:tc>
          <w:tcPr>
            <w:tcW w:type="dxa" w:w="28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Small brown or orange butterfly that holds wings flat or in airplane position</w:t>
            </w:r>
          </w:p>
        </w:tc>
        <w:tc>
          <w:tcPr>
            <w:tcW w:type="dxa" w:w="24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Wingspan 1–2.5 in; rapid, skipping flight; orange-brown or dark; holds wings at characteristic angle</w:t>
            </w:r>
          </w:p>
        </w:tc>
        <w:tc>
          <w:tcPr>
            <w:tcW w:type="dxa" w:w="22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Various skippers (Hesperiidae)</w:t>
            </w:r>
          </w:p>
        </w:tc>
        <w:tc>
          <w:tcPr>
            <w:tcW w:type="dxa" w:w="196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Silver spot on hindwing underside = Silver-Spotted Skipper. Orange with dark stigma on forewing = Sachem or Fiery Skipper. Skippers require patience and a good field guide for specific ID.</w:t>
            </w:r>
          </w:p>
        </w:tc>
      </w:tr>
    </w:tbl>
    <w:p>
      <w:pPr>
        <w:spacing w:before="0" w:after="120"/>
      </w:pPr>
      <w:r>
        <w:t xml:space="preserve"/>
      </w:r>
    </w:p>
    <w:p>
      <w:pPr>
        <w:pStyle w:val="Heading2"/>
        <w:spacing w:before="240" w:after="120"/>
      </w:pPr>
      <w:r>
        <w:rPr>
          <w:rFonts w:ascii="Arial" w:cs="Arial" w:eastAsia="Arial" w:hAnsi="Arial"/>
          <w:b/>
          <w:bCs/>
          <w:color w:val="1E4020"/>
          <w:sz w:val="28"/>
          <w:szCs w:val="28"/>
        </w:rPr>
        <w:t xml:space="preserve">Identification Resources</w:t>
      </w:r>
    </w:p>
    <w:p>
      <w:pPr>
        <w:pStyle w:val="ListParagraph"/>
        <w:numPr>
          <w:ilvl w:val="0"/>
          <w:numId w:val="2"/>
        </w:numPr>
        <w:spacing w:before="60" w:after="60"/>
      </w:pPr>
      <w:r>
        <w:rPr>
          <w:rFonts w:ascii="Arial" w:cs="Arial" w:eastAsia="Arial" w:hAnsi="Arial"/>
          <w:b/>
          <w:bCs/>
          <w:sz w:val="22"/>
          <w:szCs w:val="22"/>
        </w:rPr>
        <w:t xml:space="preserve">Field guides:</w:t>
      </w:r>
      <w:r>
        <w:rPr>
          <w:rFonts w:ascii="Arial" w:cs="Arial" w:eastAsia="Arial" w:hAnsi="Arial"/>
          <w:sz w:val="22"/>
          <w:szCs w:val="22"/>
        </w:rPr>
        <w:t xml:space="preserve"> ‘Butterflies of North America’ by Jim Brock and Kenn Kaufman (Kaufman Field Guides series) — the most comprehensive single-volume field guide for the continent. ‘A Field Guide to Eastern Butterflies’ and ‘A Field Guide to Western Butterflies’ by Paul Opler (Peterson series) — excellent regional guides. The Audubon Society Field Guide to North American Butterflies is also widely used.</w:t>
      </w:r>
    </w:p>
    <w:p>
      <w:pPr>
        <w:pStyle w:val="ListParagraph"/>
        <w:numPr>
          <w:ilvl w:val="0"/>
          <w:numId w:val="2"/>
        </w:numPr>
        <w:spacing w:before="60" w:after="60"/>
      </w:pPr>
      <w:r>
        <w:rPr>
          <w:rFonts w:ascii="Arial" w:cs="Arial" w:eastAsia="Arial" w:hAnsi="Arial"/>
          <w:b/>
          <w:bCs/>
          <w:sz w:val="22"/>
          <w:szCs w:val="22"/>
        </w:rPr>
        <w:t xml:space="preserve">Apps and online:</w:t>
      </w:r>
      <w:r>
        <w:rPr>
          <w:rFonts w:ascii="Arial" w:cs="Arial" w:eastAsia="Arial" w:hAnsi="Arial"/>
          <w:sz w:val="22"/>
          <w:szCs w:val="22"/>
        </w:rPr>
        <w:t xml:space="preserve"> iNaturalist (free; photograph and upload; community and AI identification; contributes to scientific monitoring databases); Seek (free; real-time identification using the iNaturalist database); BugGuide.net (excellent expert community for difficult IDs); Butterflies and Moths of North America (butterfliesandmoths.org — comprehensive range maps and photos).</w:t>
      </w:r>
    </w:p>
    <w:p>
      <w:pPr>
        <w:pStyle w:val="ListParagraph"/>
        <w:numPr>
          <w:ilvl w:val="0"/>
          <w:numId w:val="2"/>
        </w:numPr>
        <w:spacing w:before="60" w:after="60"/>
      </w:pPr>
      <w:r>
        <w:rPr>
          <w:rFonts w:ascii="Arial" w:cs="Arial" w:eastAsia="Arial" w:hAnsi="Arial"/>
          <w:b/>
          <w:bCs/>
          <w:sz w:val="22"/>
          <w:szCs w:val="22"/>
        </w:rPr>
        <w:t xml:space="preserve">Citizen science programs:</w:t>
      </w:r>
      <w:r>
        <w:rPr>
          <w:rFonts w:ascii="Arial" w:cs="Arial" w:eastAsia="Arial" w:hAnsi="Arial"/>
          <w:sz w:val="22"/>
          <w:szCs w:val="22"/>
        </w:rPr>
        <w:t xml:space="preserve"> Journey North (journeynorth.org) — tracks monarch migration; report your sightings. The North American Butterfly Association (naba.org) — conducts annual butterfly counts similar to Christmas Bird Counts; a wonderful way to connect with local butterfly enthusiasts.</w:t>
      </w:r>
    </w:p>
    <w:p>
      <w:pPr>
        <w:spacing w:before="0" w:after="120"/>
      </w:pPr>
      <w:r>
        <w:t xml:space="preserve"/>
      </w:r>
    </w:p>
    <w:p>
      <w:pPr>
        <w:pBdr>
          <w:bottom w:val="single" w:color="2A1858" w:sz="6" w:space="1"/>
        </w:pBdr>
        <w:spacing w:before="160" w:after="160"/>
      </w:pPr>
      <w:r>
        <w:t xml:space="preserve"/>
      </w:r>
    </w:p>
    <w:p>
      <w:r>
        <w:br w:type="page"/>
      </w:r>
    </w:p>
    <w:p>
      <w:pPr>
        <w:pStyle w:val="Heading1"/>
        <w:spacing w:before="360" w:after="180"/>
      </w:pPr>
      <w:r>
        <w:rPr>
          <w:rFonts w:ascii="Arial" w:cs="Arial" w:eastAsia="Arial" w:hAnsi="Arial"/>
          <w:b/>
          <w:bCs/>
          <w:color w:val="2A1858"/>
          <w:sz w:val="36"/>
          <w:szCs w:val="36"/>
        </w:rPr>
        <w:t xml:space="preserve">Section 9: Seasonal Butterfly Garden Calendar</w:t>
      </w:r>
    </w:p>
    <w:p>
      <w:pPr>
        <w:spacing w:before="120" w:after="160" w:line="285"/>
      </w:pPr>
      <w:r>
        <w:rPr>
          <w:rFonts w:ascii="Arial" w:cs="Arial" w:eastAsia="Arial" w:hAnsi="Arial"/>
          <w:sz w:val="22"/>
          <w:szCs w:val="22"/>
        </w:rPr>
        <w:t xml:space="preserve">A butterfly garden is managed differently in each season. The following calendar covers the key actions and observations for each season, linked to butterfly biology and phenology.</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2400"/>
        <w:gridCol w:w="760"/>
      </w:tblGrid>
      <w:tr>
        <w:trPr>
          <w:tblHeader/>
        </w:trPr>
        <w:tc>
          <w:tcPr>
            <w:tcW w:type="dxa" w:w="1800"/>
            <w:tcBorders>
              <w:top w:val="single" w:color="2A1858" w:sz="1"/>
              <w:left w:val="single" w:color="2A1858" w:sz="1"/>
              <w:bottom w:val="single" w:color="2A1858" w:sz="1"/>
              <w:right w:val="single" w:color="2A1858" w:sz="1"/>
            </w:tcBorders>
            <w:shd w:fill="2A1858" w:val="clear"/>
            <w:tcMar>
              <w:top w:type="dxa" w:w="80"/>
              <w:left w:type="dxa" w:w="120"/>
              <w:bottom w:type="dxa" w:w="80"/>
              <w:right w:type="dxa" w:w="120"/>
            </w:tcMar>
          </w:tcPr>
          <w:p>
            <w:r>
              <w:rPr>
                <w:rFonts w:ascii="Arial" w:cs="Arial" w:eastAsia="Arial" w:hAnsi="Arial"/>
                <w:b/>
                <w:bCs/>
                <w:color w:val="FFFFFF"/>
                <w:sz w:val="20"/>
                <w:szCs w:val="20"/>
              </w:rPr>
              <w:t xml:space="preserve">Season</w:t>
            </w:r>
          </w:p>
        </w:tc>
        <w:tc>
          <w:tcPr>
            <w:tcW w:type="dxa" w:w="2200"/>
            <w:tcBorders>
              <w:top w:val="single" w:color="2A1858" w:sz="1"/>
              <w:left w:val="single" w:color="2A1858" w:sz="1"/>
              <w:bottom w:val="single" w:color="2A1858" w:sz="1"/>
              <w:right w:val="single" w:color="2A1858" w:sz="1"/>
            </w:tcBorders>
            <w:shd w:fill="2A1858" w:val="clear"/>
            <w:tcMar>
              <w:top w:type="dxa" w:w="80"/>
              <w:left w:type="dxa" w:w="120"/>
              <w:bottom w:type="dxa" w:w="80"/>
              <w:right w:type="dxa" w:w="120"/>
            </w:tcMar>
          </w:tcPr>
          <w:p>
            <w:r>
              <w:rPr>
                <w:rFonts w:ascii="Arial" w:cs="Arial" w:eastAsia="Arial" w:hAnsi="Arial"/>
                <w:b/>
                <w:bCs/>
                <w:color w:val="FFFFFF"/>
                <w:sz w:val="20"/>
                <w:szCs w:val="20"/>
              </w:rPr>
              <w:t xml:space="preserve">Butterfly Activity</w:t>
            </w:r>
          </w:p>
        </w:tc>
        <w:tc>
          <w:tcPr>
            <w:tcW w:type="dxa" w:w="2200"/>
            <w:tcBorders>
              <w:top w:val="single" w:color="2A1858" w:sz="1"/>
              <w:left w:val="single" w:color="2A1858" w:sz="1"/>
              <w:bottom w:val="single" w:color="2A1858" w:sz="1"/>
              <w:right w:val="single" w:color="2A1858" w:sz="1"/>
            </w:tcBorders>
            <w:shd w:fill="2A1858" w:val="clear"/>
            <w:tcMar>
              <w:top w:type="dxa" w:w="80"/>
              <w:left w:type="dxa" w:w="120"/>
              <w:bottom w:type="dxa" w:w="80"/>
              <w:right w:type="dxa" w:w="120"/>
            </w:tcMar>
          </w:tcPr>
          <w:p>
            <w:r>
              <w:rPr>
                <w:rFonts w:ascii="Arial" w:cs="Arial" w:eastAsia="Arial" w:hAnsi="Arial"/>
                <w:b/>
                <w:bCs/>
                <w:color w:val="FFFFFF"/>
                <w:sz w:val="20"/>
                <w:szCs w:val="20"/>
              </w:rPr>
              <w:t xml:space="preserve">Garden Observations</w:t>
            </w:r>
          </w:p>
        </w:tc>
        <w:tc>
          <w:tcPr>
            <w:tcW w:type="dxa" w:w="2400"/>
            <w:tcBorders>
              <w:top w:val="single" w:color="2A1858" w:sz="1"/>
              <w:left w:val="single" w:color="2A1858" w:sz="1"/>
              <w:bottom w:val="single" w:color="2A1858" w:sz="1"/>
              <w:right w:val="single" w:color="2A1858" w:sz="1"/>
            </w:tcBorders>
            <w:shd w:fill="2A1858" w:val="clear"/>
            <w:tcMar>
              <w:top w:type="dxa" w:w="80"/>
              <w:left w:type="dxa" w:w="120"/>
              <w:bottom w:type="dxa" w:w="80"/>
              <w:right w:type="dxa" w:w="120"/>
            </w:tcMar>
          </w:tcPr>
          <w:p>
            <w:r>
              <w:rPr>
                <w:rFonts w:ascii="Arial" w:cs="Arial" w:eastAsia="Arial" w:hAnsi="Arial"/>
                <w:b/>
                <w:bCs/>
                <w:color w:val="FFFFFF"/>
                <w:sz w:val="20"/>
                <w:szCs w:val="20"/>
              </w:rPr>
              <w:t xml:space="preserve">Key Actions</w:t>
            </w:r>
          </w:p>
        </w:tc>
        <w:tc>
          <w:tcPr>
            <w:tcW w:type="dxa" w:w="760"/>
            <w:tcBorders>
              <w:top w:val="single" w:color="2A1858" w:sz="1"/>
              <w:left w:val="single" w:color="2A1858" w:sz="1"/>
              <w:bottom w:val="single" w:color="2A1858" w:sz="1"/>
              <w:right w:val="single" w:color="2A1858" w:sz="1"/>
            </w:tcBorders>
            <w:shd w:fill="2A1858" w:val="clear"/>
            <w:tcMar>
              <w:top w:type="dxa" w:w="80"/>
              <w:left w:type="dxa" w:w="120"/>
              <w:bottom w:type="dxa" w:w="80"/>
              <w:right w:type="dxa" w:w="120"/>
            </w:tcMar>
          </w:tcPr>
          <w:p>
            <w:r>
              <w:rPr>
                <w:rFonts w:ascii="Arial" w:cs="Arial" w:eastAsia="Arial" w:hAnsi="Arial"/>
                <w:b/>
                <w:bCs/>
                <w:color w:val="FFFFFF"/>
                <w:sz w:val="20"/>
                <w:szCs w:val="20"/>
              </w:rPr>
              <w:t xml:space="preserve">Regional Notes</w:t>
            </w:r>
          </w:p>
        </w:tc>
      </w:tr>
      <w:tr>
        <w:tc>
          <w:tcPr>
            <w:tcW w:type="dxa" w:w="18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Winter / Early Spring
(before last frost)</w:t>
            </w:r>
          </w:p>
        </w:tc>
        <w:tc>
          <w:tcPr>
            <w:tcW w:type="dxa" w:w="22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Overwintering adults (mourning cloak, comma, question mark) emerge on warm days; spring azures and other early species appear; first monarchs seen in the South</w:t>
            </w:r>
          </w:p>
        </w:tc>
        <w:tc>
          <w:tcPr>
            <w:tcW w:type="dxa" w:w="22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 NOT cut back stems until consistently above 50°F: chrysalises are overwintering on plant stems; lacewing and beneficial insect larvae are in hollow stems; overwintering eggs are on host plant twigs</w:t>
            </w:r>
          </w:p>
        </w:tc>
        <w:tc>
          <w:tcPr>
            <w:tcW w:type="dxa" w:w="24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Order seeds for spring planting (milkweed, native wildflowers). Plan additions based on last season’s observations. Allow leaf litter beneath native violets to remain — fritillary larvae are overwintering there.</w:t>
            </w:r>
          </w:p>
        </w:tc>
        <w:tc>
          <w:tcPr>
            <w:tcW w:type="dxa" w:w="76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Zone 3–4: wait until mid-May before any stem cutback. Zone 7–8: butterflies may be flying in February; host plants can be divided and transplanted in March.</w:t>
            </w:r>
          </w:p>
        </w:tc>
      </w:tr>
      <w:tr>
        <w:tc>
          <w:tcPr>
            <w:tcW w:type="dxa" w:w="18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Spring
(after last frost)</w:t>
            </w:r>
          </w:p>
        </w:tc>
        <w:tc>
          <w:tcPr>
            <w:tcW w:type="dxa" w:w="22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First wave of garden butterflies: spring azure, mourning cloak, eastern comma, first swallowtails and sulphurs. Monarch northward migration begins.</w:t>
            </w:r>
          </w:p>
        </w:tc>
        <w:tc>
          <w:tcPr>
            <w:tcW w:type="dxa" w:w="22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Watch for adult butterflies visiting early nectar sources (dandelion, wild strawberry, redbud). Check host plants for first eggs and caterpillars.</w:t>
            </w:r>
          </w:p>
        </w:tc>
        <w:tc>
          <w:tcPr>
            <w:tcW w:type="dxa" w:w="24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Plant milkweed, host plants, and early nectar annuals. Allow any bolting brassicas or carrot-family plants to flower. Divide perennials and fill gaps in the insectary plantings. Begin puddling station.</w:t>
            </w:r>
          </w:p>
        </w:tc>
        <w:tc>
          <w:tcPr>
            <w:tcW w:type="dxa" w:w="76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Monarch migration timing: typically reaches the Gulf Coast in March, Midwest in April–May, northern states in May–June. Plant milkweed to be ready when monarchs arrive.</w:t>
            </w:r>
          </w:p>
        </w:tc>
      </w:tr>
      <w:tr>
        <w:tc>
          <w:tcPr>
            <w:tcW w:type="dxa" w:w="18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Spring / Early Summer</w:t>
            </w:r>
          </w:p>
        </w:tc>
        <w:tc>
          <w:tcPr>
            <w:tcW w:type="dxa" w:w="22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Peak swallowtail season; first monarch eggs on milkweed; first caterpillars on host plants; sulphurs and fritillaries active</w:t>
            </w:r>
          </w:p>
        </w:tc>
        <w:tc>
          <w:tcPr>
            <w:tcW w:type="dxa" w:w="22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Look for butterfly eggs on host plants (check leaf undersides with magnification). Monitor milkweed for monarch caterpillars. Watch for chrysalis formation.</w:t>
            </w:r>
          </w:p>
        </w:tc>
        <w:tc>
          <w:tcPr>
            <w:tcW w:type="dxa" w:w="24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Mass-plant summer nectar annuals (zinnia, cosmos, lantana — non-invasive) for summer butterfly traffic. Ensure puddling station is consistently moist. Do NOT spray any insecticide in or near the garden.</w:t>
            </w:r>
          </w:p>
        </w:tc>
        <w:tc>
          <w:tcPr>
            <w:tcW w:type="dxa" w:w="76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Black swallowtail caterpillars on parsley, fennel, and dill: expected and welcome. Do not treat them as pests. Giant swallowtail caterpillars on hop tree and citrus in the South: same.</w:t>
            </w:r>
          </w:p>
        </w:tc>
      </w:tr>
      <w:tr>
        <w:tc>
          <w:tcPr>
            <w:tcW w:type="dxa" w:w="18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Summer
(peak season)</w:t>
            </w:r>
          </w:p>
        </w:tc>
        <w:tc>
          <w:tcPr>
            <w:tcW w:type="dxa" w:w="22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Peak butterfly diversity and abundance; multiple generations of monarchs breeding on milkweed; fritillaries active; painted ladies and red admirals visiting nectar plants; puddling groups of sulphurs and swallowtails</w:t>
            </w:r>
          </w:p>
        </w:tc>
        <w:tc>
          <w:tcPr>
            <w:tcW w:type="dxa" w:w="22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Count butterfly species and individuals to track garden productivity. Observe puddling behavior. Look for freshly emerged butterflies near chrysalises. Monitor monarch caterpillar populations.</w:t>
            </w:r>
          </w:p>
        </w:tc>
        <w:tc>
          <w:tcPr>
            <w:tcW w:type="dxa" w:w="24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Keep nectar plants deadheaded for maximum bloom. Maintain puddling station. Observe but do not intervene with caterpillars on host plants — feeding damage is expected and acceptable.</w:t>
            </w:r>
          </w:p>
        </w:tc>
        <w:tc>
          <w:tcPr>
            <w:tcW w:type="dxa" w:w="76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Mid-summer is when monarch caterpillar populations on milkweed are typically highest. A milkweed plant stripped of leaves by caterpillars is a success, not a failure — plant more milkweed if this is a recurring concern.</w:t>
            </w:r>
          </w:p>
        </w:tc>
      </w:tr>
      <w:tr>
        <w:tc>
          <w:tcPr>
            <w:tcW w:type="dxa" w:w="18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Summer / Fall
(migration season)</w:t>
            </w:r>
          </w:p>
        </w:tc>
        <w:tc>
          <w:tcPr>
            <w:tcW w:type="dxa" w:w="22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Monarch southward migration begins: adults nectaring intensively on fall flowers; other species also active; last generation of monarchs forms for the overwinter migration; fall butterflies at their most diverse</w:t>
            </w:r>
          </w:p>
        </w:tc>
        <w:tc>
          <w:tcPr>
            <w:tcW w:type="dxa" w:w="22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Monitor monarch migration: count adults nectaring on goldenrod and asters; report to Journey North. Watch for freshly emerged, untattered monarchs — these are the migratory generation. Last caterpillars of season pupate for winter or migrate south as adults.</w:t>
            </w:r>
          </w:p>
        </w:tc>
        <w:tc>
          <w:tcPr>
            <w:tcW w:type="dxa" w:w="24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PRIORITY: ensure abundant fall bloom (goldenrod, asters, ironweed, sedum, mistflower). Suspend any pesticide programs through migration season. Begin planning next year’s host plant additions based on season’s observations.</w:t>
            </w:r>
          </w:p>
        </w:tc>
        <w:tc>
          <w:tcPr>
            <w:tcW w:type="dxa" w:w="76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most critical season for conservation-focused gardening. The monarch migration corridor runs from the northern US through the Great Plains to Mexico; fall nectar in this corridor is the fuel that makes the migration possible.</w:t>
            </w:r>
          </w:p>
        </w:tc>
      </w:tr>
      <w:tr>
        <w:tc>
          <w:tcPr>
            <w:tcW w:type="dxa" w:w="18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Winter
(dormant season)</w:t>
            </w:r>
          </w:p>
        </w:tc>
        <w:tc>
          <w:tcPr>
            <w:tcW w:type="dxa" w:w="22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Overwintering adults (mourning cloak, comma, question mark) dormant in leaf litter and bark. Chrysalises of swallowtails attached to stems. Fritillary larvae in leaf litter near violets.</w:t>
            </w:r>
          </w:p>
        </w:tc>
        <w:tc>
          <w:tcPr>
            <w:tcW w:type="dxa" w:w="22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Leave ALL stems standing; leave leaf litter beneath shrubs and native violets undisturbed; these are live butterfly habitats through winter. Do not disturb brush piles at garden edges.</w:t>
            </w:r>
          </w:p>
        </w:tc>
        <w:tc>
          <w:tcPr>
            <w:tcW w:type="dxa" w:w="24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Order seed catalogs; plan additions. Note areas where nectar bloom was insufficient in fall. Add additional native host plants to planting plan for next season.</w:t>
            </w:r>
          </w:p>
        </w:tc>
        <w:tc>
          <w:tcPr>
            <w:tcW w:type="dxa" w:w="76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The worst thing you can do to a butterfly garden in winter is a thorough fall cleanup. Leave the mess. It is full of life.</w:t>
            </w:r>
          </w:p>
        </w:tc>
      </w:tr>
    </w:tbl>
    <w:p>
      <w:pPr>
        <w:spacing w:before="0" w:after="120"/>
      </w:pPr>
      <w:r>
        <w:t xml:space="preserve"/>
      </w:r>
    </w:p>
    <w:p>
      <w:pPr>
        <w:pBdr>
          <w:bottom w:val="single" w:color="2A1858" w:sz="6" w:space="1"/>
        </w:pBdr>
        <w:spacing w:before="160" w:after="160"/>
      </w:pPr>
      <w:r>
        <w:t xml:space="preserve"/>
      </w:r>
    </w:p>
    <w:p>
      <w:r>
        <w:br w:type="page"/>
      </w:r>
    </w:p>
    <w:p>
      <w:pPr>
        <w:pStyle w:val="Heading1"/>
        <w:spacing w:before="360" w:after="180"/>
      </w:pPr>
      <w:r>
        <w:rPr>
          <w:rFonts w:ascii="Arial" w:cs="Arial" w:eastAsia="Arial" w:hAnsi="Arial"/>
          <w:b/>
          <w:bCs/>
          <w:color w:val="2A1858"/>
          <w:sz w:val="36"/>
          <w:szCs w:val="36"/>
        </w:rPr>
        <w:t xml:space="preserve">Section 10: Quick Reference — Getting Started and Building Over Time</w:t>
      </w:r>
    </w:p>
    <w:p>
      <w:pPr>
        <w:spacing w:before="120" w:after="160" w:line="285"/>
      </w:pPr>
      <w:r>
        <w:rPr>
          <w:rFonts w:ascii="Arial" w:cs="Arial" w:eastAsia="Arial" w:hAnsi="Arial"/>
          <w:sz w:val="22"/>
          <w:szCs w:val="22"/>
        </w:rPr>
        <w:t xml:space="preserve">Building a butterfly garden is a multi-year project that becomes progressively more rewarding with each season. The following quick reference guides provide starting frameworks and answer the most common questions from new butterfly gardeners.</w:t>
      </w:r>
    </w:p>
    <w:p>
      <w:pPr>
        <w:pStyle w:val="Heading2"/>
        <w:spacing w:before="240" w:after="120"/>
      </w:pPr>
      <w:r>
        <w:rPr>
          <w:rFonts w:ascii="Arial" w:cs="Arial" w:eastAsia="Arial" w:hAnsi="Arial"/>
          <w:b/>
          <w:bCs/>
          <w:color w:val="1E4020"/>
          <w:sz w:val="28"/>
          <w:szCs w:val="28"/>
        </w:rPr>
        <w:t xml:space="preserve">The Minimum Viable Butterfly Garden: What to Plant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020" w:sz="6"/>
              <w:left w:val="single" w:color="1E4020" w:sz="6"/>
              <w:bottom w:val="single" w:color="1E4020" w:sz="6"/>
              <w:right w:val="single" w:color="1E4020" w:sz="6"/>
            </w:tcBorders>
            <w:shd w:fill="E5F0E8" w:val="clear"/>
            <w:tcMar>
              <w:top w:type="dxa" w:w="120"/>
              <w:left w:type="dxa" w:w="160"/>
              <w:bottom w:type="dxa" w:w="80"/>
              <w:right w:type="dxa" w:w="160"/>
            </w:tcMar>
          </w:tcPr>
          <w:p>
            <w:pPr>
              <w:spacing w:before="0" w:after="0"/>
            </w:pPr>
            <w:r>
              <w:rPr>
                <w:rFonts w:ascii="Arial" w:cs="Arial" w:eastAsia="Arial" w:hAnsi="Arial"/>
                <w:b/>
                <w:bCs/>
                <w:color w:val="1E4020"/>
                <w:sz w:val="24"/>
                <w:szCs w:val="24"/>
              </w:rPr>
              <w:t xml:space="preserve">🦋 Starting from Zero: The Essential First Purchases</w:t>
            </w:r>
          </w:p>
        </w:tc>
      </w:tr>
      <w:tr>
        <w:tc>
          <w:tcPr>
            <w:tcBorders>
              <w:top w:val="single" w:color="1E4020" w:sz="6"/>
              <w:left w:val="single" w:color="1E4020" w:sz="6"/>
              <w:bottom w:val="single" w:color="1E4020" w:sz="6"/>
              <w:right w:val="single" w:color="1E4020" w:sz="6"/>
            </w:tcBorders>
            <w:shd w:fill="E5F0E8"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If you are starting a butterfly garden from scratch with a limited budget or limited space, these five plantings provide the highest return on investment for butterfly support across most of the United States:</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1. Native milkweed appropriate to your region (monarch host and nectar). One butterfly weed (Asclepias tuberosa) and one swamp milkweed (Asclepias incarnata) if your space allows; butterfly weed alone if space is very limited. For western gardens: showy milkweed (A. speciosa).</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2. Native goldenrod (Solidago spp.) — 1 to 3 species. The single most productive fall butterfly nectar plant in North America. Plant where it can spread; it is native and ecologically important.</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3. Native asters (Symphyotrichum spp.) — 2 to 3 species. The essential fall nectar companion to goldenrod; together these two create the most productive fall butterfly feeding station possible.</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4. A host plant appropriate to your most desired butterfly species. For monarchs: additional milkweed. For swallowtails: spicebush or wild cherry or a carrot-family planting. For fritillaries: native violet patch.</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5. Sweet alyssum or phacelia as a fast-growing annual fill-in while permanent plantings establish — both attract parasitic wasps and small butterflies.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A1858" w:sz="1"/>
              <w:left w:val="single" w:color="2A1858" w:sz="1"/>
              <w:bottom w:val="single" w:color="2A1858" w:sz="1"/>
              <w:right w:val="single" w:color="2A1858" w:sz="1"/>
            </w:tcBorders>
            <w:shd w:fill="2A1858"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6160"/>
            <w:tcBorders>
              <w:top w:val="single" w:color="2A1858" w:sz="1"/>
              <w:left w:val="single" w:color="2A1858" w:sz="1"/>
              <w:bottom w:val="single" w:color="2A1858" w:sz="1"/>
              <w:right w:val="single" w:color="2A1858" w:sz="1"/>
            </w:tcBorders>
            <w:shd w:fill="2A1858" w:val="clear"/>
            <w:tcMar>
              <w:top w:type="dxa" w:w="80"/>
              <w:left w:type="dxa" w:w="120"/>
              <w:bottom w:type="dxa" w:w="80"/>
              <w:right w:type="dxa" w:w="120"/>
            </w:tcMar>
          </w:tcPr>
          <w:p>
            <w:r>
              <w:rPr>
                <w:rFonts w:ascii="Arial" w:cs="Arial" w:eastAsia="Arial" w:hAnsi="Arial"/>
                <w:b/>
                <w:bCs/>
                <w:color w:val="FFFFFF"/>
                <w:sz w:val="20"/>
                <w:szCs w:val="20"/>
              </w:rPr>
              <w:t xml:space="preserve">Answer</w:t>
            </w:r>
          </w:p>
        </w:tc>
      </w:tr>
      <w:tr>
        <w:tc>
          <w:tcPr>
            <w:tcW w:type="dxa" w:w="32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 see butterflies visiting my nectar plants but they never breed in my garden. Why?</w:t>
            </w:r>
          </w:p>
        </w:tc>
        <w:tc>
          <w:tcPr>
            <w:tcW w:type="dxa" w:w="616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You almost certainly lack host plants. Butterflies visit for nectar from any garden; they breed only where their specific host plants are present. Identify the most common butterflies visiting your garden, then look up their host plants and add them. Most gardeners are surprised at how quickly breeding begins once host plants are added.</w:t>
            </w:r>
          </w:p>
        </w:tc>
      </w:tr>
      <w:tr>
        <w:tc>
          <w:tcPr>
            <w:tcW w:type="dxa" w:w="32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My caterpillars ate the entire host plant. Is this a problem?</w:t>
            </w:r>
          </w:p>
        </w:tc>
        <w:tc>
          <w:tcPr>
            <w:tcW w:type="dxa" w:w="616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No. This is success. One issue: you need more host plant. A single milkweed plant supports 1–2 caterpillars; a thriving monarch garden needs 5 to 20+ milkweed plants. Plant more, not less, of whatever your caterpillars are eating.</w:t>
            </w:r>
          </w:p>
        </w:tc>
      </w:tr>
      <w:tr>
        <w:tc>
          <w:tcPr>
            <w:tcW w:type="dxa" w:w="32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 have a small garden (10×10 feet or less). Can I still make a difference?</w:t>
            </w:r>
          </w:p>
        </w:tc>
        <w:tc>
          <w:tcPr>
            <w:tcW w:type="dxa" w:w="616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Even a very small garden with milkweed, one or two host plant shrubs, and fall-blooming asters and goldenrod provides genuine butterfly habitat. For very small gardens, containers of milkweed and nectar annuals are a real option. Every garden that provides host plants and nectar without pesticides contributes to butterfly populations.</w:t>
            </w:r>
          </w:p>
        </w:tc>
      </w:tr>
      <w:tr>
        <w:tc>
          <w:tcPr>
            <w:tcW w:type="dxa" w:w="32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Are there butterflies that will breed in shade?</w:t>
            </w:r>
          </w:p>
        </w:tc>
        <w:tc>
          <w:tcPr>
            <w:tcW w:type="dxa" w:w="616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Yes, though fewer species. Spicebush swallowtail breeds in shaded gardens with spicebush. Question mark and eastern comma breed in partly shaded woodland edges. Wood nymphs breed in grassy woodland edges. Even shaded gardens can be meaningful habitat if they include appropriate host plants.</w:t>
            </w:r>
          </w:p>
        </w:tc>
      </w:tr>
      <w:tr>
        <w:tc>
          <w:tcPr>
            <w:tcW w:type="dxa" w:w="32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Should I release purchased butterflies for my garden?</w:t>
            </w:r>
          </w:p>
        </w:tc>
        <w:tc>
          <w:tcPr>
            <w:tcW w:type="dxa" w:w="616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Commercially purchased butterflies for release are a terrible idea for multiple reasons: they may carry diseases that spread to wild populations; they introduce butterflies from non-local genetics that may not be adapted to local conditions; and the releases provide no lasting benefit since released butterflies are no more likely to breed in your garden than wild ones. The only reliable way to have more butterflies in your garden is to provide the host plants they need to breed there.</w:t>
            </w:r>
          </w:p>
        </w:tc>
      </w:tr>
      <w:tr>
        <w:tc>
          <w:tcPr>
            <w:tcW w:type="dxa" w:w="320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What is the most impactful single thing I can do for butterfly conservation?</w:t>
            </w:r>
          </w:p>
        </w:tc>
        <w:tc>
          <w:tcPr>
            <w:tcW w:type="dxa" w:w="6160"/>
            <w:tcBorders>
              <w:top w:val="single" w:color="C0B8C8" w:sz="1"/>
              <w:left w:val="single" w:color="C0B8C8" w:sz="1"/>
              <w:bottom w:val="single" w:color="C0B8C8" w:sz="1"/>
              <w:right w:val="single" w:color="C0B8C8"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Plant milkweed of regional native species, and stop using pesticides in and around your garden. These two actions, multiplied across millions of American gardens, would make a genuinely significant difference to monarch populations. The monarch’s decline is driven in large part by milkweed loss; every milkweed planting in the US breeding range is a direct conservation contribution.</w:t>
            </w:r>
          </w:p>
        </w:tc>
      </w:tr>
      <w:tr>
        <w:tc>
          <w:tcPr>
            <w:tcW w:type="dxa" w:w="320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How do I know if my garden is ‘certified’ as butterfly habitat?</w:t>
            </w:r>
          </w:p>
        </w:tc>
        <w:tc>
          <w:tcPr>
            <w:tcW w:type="dxa" w:w="6160"/>
            <w:tcBorders>
              <w:top w:val="single" w:color="C0B8C8" w:sz="1"/>
              <w:left w:val="single" w:color="C0B8C8" w:sz="1"/>
              <w:bottom w:val="single" w:color="C0B8C8" w:sz="1"/>
              <w:right w:val="single" w:color="C0B8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North American Butterfly Association (naba.org) and National Wildlife Federation (nwf.org) both offer butterfly garden certification programs. Certification typically requires host plants, nectar plants, water, and a commitment to pesticide-free management. Certification is primarily a way to formalize your commitment and connect with the butterfly gardening community; it is not required to make a meaningful contribution.</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1858" w:sz="6"/>
              <w:left w:val="single" w:color="2A1858" w:sz="6"/>
              <w:bottom w:val="single" w:color="2A1858" w:sz="6"/>
              <w:right w:val="single" w:color="2A1858" w:sz="6"/>
            </w:tcBorders>
            <w:shd w:fill="F0EAFA" w:val="clear"/>
            <w:tcMar>
              <w:top w:type="dxa" w:w="120"/>
              <w:left w:type="dxa" w:w="160"/>
              <w:bottom w:type="dxa" w:w="80"/>
              <w:right w:type="dxa" w:w="160"/>
            </w:tcMar>
          </w:tcPr>
          <w:p>
            <w:pPr>
              <w:spacing w:before="0" w:after="0"/>
            </w:pPr>
            <w:r>
              <w:rPr>
                <w:rFonts w:ascii="Arial" w:cs="Arial" w:eastAsia="Arial" w:hAnsi="Arial"/>
                <w:b/>
                <w:bCs/>
                <w:color w:val="2A1858"/>
                <w:sz w:val="24"/>
                <w:szCs w:val="24"/>
              </w:rPr>
              <w:t xml:space="preserve">🦋 The Long View</w:t>
            </w:r>
          </w:p>
        </w:tc>
      </w:tr>
      <w:tr>
        <w:tc>
          <w:tcPr>
            <w:tcBorders>
              <w:top w:val="single" w:color="2A1858" w:sz="6"/>
              <w:left w:val="single" w:color="2A1858" w:sz="6"/>
              <w:bottom w:val="single" w:color="2A1858" w:sz="6"/>
              <w:right w:val="single" w:color="2A1858" w:sz="6"/>
            </w:tcBorders>
            <w:shd w:fill="F0EAFA"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In the first year of a butterfly garden, you will have fewer butterflies than you expect, because the host plants are young, the habitat is newly established, and the local butterfly population has not yet discovered or adjusted to the new resources. You will also have more caterpillars than you might expect, because the moment a female butterfly finds a host plant in a pesticide-free garden, she lays eggs on it.</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By year three, the milkweed has spread and the monarch finds it reliably. The spicebush is large enough to support multiple generations of spicebush swallowtails. The native violets have colonized the lawn edges and the fritillaries have discovered them. The goldenrod is blooming in September and the monarchs are stopping on their way south. What was a garden is becoming a habitat.</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By year five, neighbors begin to notice and ask questions. The garden is visibly alive in a way that a conventional ornamental planting is not — the air above the milkweed in August hums with activity; there are caterpillars in the herb garden; there are chrysalises on the fence posts; there are puddles of sulphurs at the puddling station in July. This is not accidental beauty. It is designed beauty, with a biological purpose behind every plant.</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That is the butterfly garden: a place that is beautiful because it is useful, and useful because it is full of life.</w:t>
            </w:r>
          </w:p>
        </w:tc>
      </w:tr>
    </w:tbl>
    <w:p>
      <w:pPr>
        <w:spacing w:before="0" w:after="120"/>
      </w:pPr>
      <w:r>
        <w:t xml:space="preserve"/>
      </w:r>
    </w:p>
    <w:p>
      <w:pPr>
        <w:spacing w:before="200" w:after="80"/>
        <w:jc w:val="center"/>
      </w:pPr>
      <w:r>
        <w:rPr>
          <w:rFonts w:ascii="Segoe UI Emoji" w:cs="Segoe UI Emoji" w:eastAsia="Segoe UI Emoji" w:hAnsi="Segoe UI Emoji"/>
          <w:sz w:val="40"/>
          <w:szCs w:val="40"/>
        </w:rPr>
        <w:t xml:space="preserve">🦋  🌿  🌻  🌾  🍂  🌱</w:t>
      </w:r>
    </w:p>
    <w:p>
      <w:pPr>
        <w:spacing w:before="0" w:after="80"/>
        <w:jc w:val="center"/>
      </w:pPr>
      <w:r>
        <w:rPr>
          <w:rFonts w:ascii="Arial" w:cs="Arial" w:eastAsia="Arial" w:hAnsi="Arial"/>
          <w:i/>
          <w:iCs/>
          <w:color w:val="2A1858"/>
          <w:sz w:val="26"/>
          <w:szCs w:val="26"/>
        </w:rPr>
        <w:t xml:space="preserve">Plant the host plant. Welcome the caterpillar. Wait for the wing.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4020" w:sz="4" w:space="1"/>
      </w:pBdr>
      <w:tabs>
        <w:tab w:val="right" w:pos="9360"/>
      </w:tabs>
      <w:spacing w:before="80" w:after="0"/>
    </w:pPr>
    <w:r>
      <w:rPr>
        <w:rFonts w:ascii="Arial" w:cs="Arial" w:eastAsia="Arial" w:hAnsi="Arial"/>
        <w:color w:val="707880"/>
        <w:sz w:val="18"/>
        <w:szCs w:val="18"/>
      </w:rPr>
      <w:t xml:space="preserve">The Complete Butterfly Garden Guide  •  Species Profiles, Host Plants, Nectar Plants, Monarch Conservation &amp; Regional Guides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1858" w:sz="4" w:space="1"/>
      </w:pBdr>
      <w:spacing w:before="0" w:after="80"/>
    </w:pPr>
    <w:r>
      <w:rPr>
        <w:rFonts w:ascii="Arial" w:cs="Arial" w:eastAsia="Arial" w:hAnsi="Arial"/>
        <w:b/>
        <w:bCs/>
        <w:color w:val="2A1858"/>
        <w:sz w:val="18"/>
        <w:szCs w:val="18"/>
      </w:rPr>
      <w:t xml:space="preserve">BUTTERFLY GARDEN — COMPLETE GUIDE</w:t>
    </w:r>
    <w:r>
      <w:rPr>
        <w:rFonts w:ascii="Arial" w:cs="Arial" w:eastAsia="Arial" w:hAnsi="Arial"/>
        <w:color w:val="707880"/>
        <w:sz w:val="18"/>
        <w:szCs w:val="18"/>
      </w:rPr>
      <w:t xml:space="preserve">   |   30 Species Profiles, Host &amp; Nectar Plants, Monarch Conservation &amp; Regional Guides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2A1858"/>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E4020"/>
      <w:sz w:val="28"/>
      <w:szCs w:val="28"/>
    </w:rPr>
  </w:style>
  <w:style w:type="paragraph" w:styleId="Heading3">
    <w:name w:val="Heading 3"/>
    <w:basedOn w:val="Normal"/>
    <w:next w:val="Normal"/>
    <w:qFormat/>
    <w:pPr>
      <w:spacing w:before="180" w:after="80"/>
      <w:outlineLvl w:val="2"/>
    </w:pPr>
    <w:rPr>
      <w:rFonts w:ascii="Arial" w:cs="Arial" w:eastAsia="Arial" w:hAnsi="Arial"/>
      <w:b/>
      <w:bCs/>
      <w:color w:val="6A400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2026-03-23T05:44:25.867Z</dcterms:created>
  <dcterms:modified xsi:type="dcterms:W3CDTF">2026-03-23T05:44:25.868Z</dcterms:modified>
</cp:coreProperties>
</file>

<file path=docProps/custom.xml><?xml version="1.0" encoding="utf-8"?>
<Properties xmlns="http://schemas.openxmlformats.org/officeDocument/2006/custom-properties" xmlns:vt="http://schemas.openxmlformats.org/officeDocument/2006/docPropsVTypes"/>
</file>