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520" w:after="280"/>
        <w:jc w:val="center"/>
      </w:pPr>
      <w:r>
        <w:rPr>
          <w:rFonts w:ascii="Arial" w:cs="Arial" w:eastAsia="Arial" w:hAnsi="Arial"/>
          <w:sz w:val="44"/>
          <w:szCs w:val="44"/>
        </w:rPr>
        <w:t xml:space="preserve">🌿  🌸  🫚  🌱  🍃</w:t>
      </w:r>
    </w:p>
    <w:p>
      <w:pPr>
        <w:spacing w:before="0" w:after="140"/>
        <w:jc w:val="center"/>
      </w:pPr>
      <w:r>
        <w:rPr>
          <w:rFonts w:ascii="Arial" w:cs="Arial" w:eastAsia="Arial" w:hAnsi="Arial"/>
          <w:b/>
          <w:bCs/>
          <w:color w:val="2D5A27"/>
          <w:sz w:val="56"/>
          <w:szCs w:val="56"/>
        </w:rPr>
        <w:t xml:space="preserve">MEDICINAL HERB GARDEN</w:t>
      </w:r>
    </w:p>
    <w:p>
      <w:pPr>
        <w:spacing w:before="0" w:after="40"/>
        <w:jc w:val="center"/>
      </w:pPr>
      <w:r>
        <w:rPr>
          <w:rFonts w:ascii="Arial" w:cs="Arial" w:eastAsia="Arial" w:hAnsi="Arial"/>
          <w:i/>
          <w:iCs/>
          <w:color w:val="444444"/>
          <w:sz w:val="26"/>
          <w:szCs w:val="26"/>
        </w:rPr>
        <w:t xml:space="preserve">Time-Honored Healing Herbs You Can Grow and Use at Home</w:t>
      </w:r>
    </w:p>
    <w:p>
      <w:pPr>
        <w:spacing w:before="0" w:after="360"/>
        <w:jc w:val="center"/>
      </w:pPr>
      <w:r>
        <w:rPr>
          <w:rFonts w:ascii="Arial" w:cs="Arial" w:eastAsia="Arial" w:hAnsi="Arial"/>
          <w:color w:val="888888"/>
          <w:sz w:val="22"/>
          <w:szCs w:val="22"/>
        </w:rPr>
        <w:t xml:space="preserve">From Seed to Remedy — Growing, Harvesting, Preparing &amp; Using 30 Classic Medicinal Herbs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5A27" w:sz="2"/>
              <w:left w:val="single" w:color="2D5A27" w:sz="2"/>
              <w:bottom w:val="single" w:color="2D5A27" w:sz="2"/>
              <w:right w:val="single" w:color="2D5A27" w:sz="2"/>
            </w:tcBorders>
            <w:shd w:fill="D8EDD5" w:val="clear"/>
            <w:tcMar>
              <w:top w:type="dxa" w:w="220"/>
              <w:left w:type="dxa" w:w="440"/>
              <w:bottom w:type="dxa" w:w="220"/>
              <w:right w:type="dxa" w:w="440"/>
            </w:tcMar>
          </w:tcPr>
          <w:p>
            <w:pPr>
              <w:jc w:val="center"/>
            </w:pPr>
            <w:r>
              <w:rPr>
                <w:rFonts w:ascii="Arial" w:cs="Arial" w:eastAsia="Arial" w:hAnsi="Arial"/>
                <w:i/>
                <w:iCs/>
                <w:color w:val="2D5A27"/>
                <w:sz w:val="22"/>
                <w:szCs w:val="22"/>
              </w:rPr>
              <w:t xml:space="preserve">Humans have grown medicinal herbs for as long as we have grown anything at all. Long before the first pharmacies, every household garden held plants for healing — lavender for calm, chamomile for sleep, echinacea for illness, mint for digestion. This guide reconnects you to that tradition: which plants to grow, how to cultivate them across every American climate, how to harvest and preserve their medicinal qualities, and how to prepare simple remedies that have served generations of healers. Always consult your healthcare provider when health matters are serious.</w:t>
            </w:r>
          </w:p>
        </w:tc>
      </w:tr>
    </w:tbl>
    <w:p>
      <w:pPr>
        <w:spacing w:before="280" w:after="0"/>
      </w:pPr>
      <w:r>
        <w:t xml:space="preserve"/>
      </w:r>
    </w:p>
    <w:p>
      <w:pPr>
        <w:spacing w:before="0" w:after="0"/>
        <w:jc w:val="center"/>
      </w:pPr>
      <w:r>
        <w:rPr>
          <w:rFonts w:ascii="Arial" w:cs="Arial" w:eastAsia="Arial" w:hAnsi="Arial"/>
          <w:color w:val="777777"/>
          <w:sz w:val="20"/>
          <w:szCs w:val="20"/>
        </w:rPr>
        <w:t xml:space="preserve">All U.S. Climates &amp; Zones  •  30 Herbs in Depth  •  Teas, Tinctures, Salves &amp; More  •  Safety-First Guidance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3A1A" w:sz="2"/>
              <w:left w:val="single" w:color="8C3A1A" w:sz="2"/>
              <w:bottom w:val="single" w:color="8C3A1A" w:sz="2"/>
              <w:right w:val="single" w:color="8C3A1A" w:sz="2"/>
            </w:tcBorders>
            <w:shd w:fill="8C3A1A" w:val="clear"/>
            <w:tcMar>
              <w:top w:type="dxa" w:w="220"/>
              <w:left w:type="dxa" w:w="360"/>
              <w:bottom w:type="dxa" w:w="180"/>
              <w:right w:type="dxa" w:w="360"/>
            </w:tcMar>
          </w:tcPr>
          <w:p>
            <w:pPr>
              <w:spacing w:before="0" w:after="60"/>
              <w:jc w:val="center"/>
            </w:pPr>
            <w:r>
              <w:rPr>
                <w:rFonts w:ascii="Arial" w:cs="Arial" w:eastAsia="Arial" w:hAnsi="Arial"/>
                <w:b/>
                <w:bCs/>
                <w:color w:val="FFFFFF"/>
                <w:sz w:val="46"/>
                <w:szCs w:val="46"/>
              </w:rPr>
              <w:t xml:space="preserve">⚕️  SECTION 1: SAFETY, ETHICS &amp; LEGAL FRAMEWORK</w:t>
            </w:r>
          </w:p>
          <w:p>
            <w:pPr>
              <w:spacing w:before="0" w:after="0"/>
              <w:jc w:val="center"/>
            </w:pPr>
            <w:r>
              <w:rPr>
                <w:rFonts w:ascii="Arial" w:cs="Arial" w:eastAsia="Arial" w:hAnsi="Arial"/>
                <w:i/>
                <w:iCs/>
                <w:color w:val="F0F5EE"/>
                <w:sz w:val="24"/>
                <w:szCs w:val="24"/>
              </w:rPr>
              <w:t xml:space="preserve">What every home herbalist must know before growing and using medicinal plants</w:t>
            </w:r>
          </w:p>
        </w:tc>
      </w:tr>
    </w:tbl>
    <w:p>
      <w:pPr>
        <w:spacing w:before="240" w:after="0"/>
      </w:pPr>
      <w:r>
        <w:t xml:space="preserve"/>
      </w:r>
    </w:p>
    <w:p>
      <w:pPr>
        <w:pStyle w:val="Heading1"/>
        <w:pBdr>
          <w:bottom w:val="single" w:color="2D5A27" w:sz="10" w:space="4"/>
        </w:pBdr>
        <w:spacing w:before="320" w:after="140"/>
      </w:pPr>
      <w:r>
        <w:rPr>
          <w:rFonts w:ascii="Arial" w:cs="Arial" w:eastAsia="Arial" w:hAnsi="Arial"/>
          <w:b/>
          <w:bCs/>
          <w:color w:val="2D5A27"/>
          <w:sz w:val="36"/>
          <w:szCs w:val="36"/>
        </w:rPr>
        <w:t xml:space="preserve">Essential Safety and Ethics for the Home Herbalist</w:t>
      </w:r>
    </w:p>
    <w:p>
      <w:pPr>
        <w:spacing w:before="70" w:after="70"/>
      </w:pPr>
      <w:r>
        <w:rPr>
          <w:rFonts w:ascii="Arial" w:cs="Arial" w:eastAsia="Arial" w:hAnsi="Arial"/>
          <w:color w:val="1A1A1A"/>
          <w:sz w:val="22"/>
          <w:szCs w:val="22"/>
        </w:rPr>
        <w:t xml:space="preserve">Medicinal herbs are not a category separate from medicine — they are the oldest form of medicine, and many of our most important pharmaceutical drugs are derived from or modeled on plant compounds. This heritage means that medicinal herbs carry both genuine therapeutic value and real potential for harm when used incorrectly. The home herbalist who treats this knowledge seriously — who learns to use plants thoughtfully, understand their limits, and respect the boundaries between self-care and medical treatment — will have a safe, enriching, and genuinely beneficial practice.</w:t>
      </w:r>
    </w:p>
    <w:p>
      <w:pPr>
        <w:spacing w:before="70" w:after="70"/>
      </w:pPr>
      <w:r>
        <w:rPr>
          <w:rFonts w:ascii="Arial" w:cs="Arial" w:eastAsia="Arial" w:hAnsi="Arial"/>
          <w:color w:val="1A1A1A"/>
          <w:sz w:val="22"/>
          <w:szCs w:val="22"/>
        </w:rPr>
        <w:t xml:space="preserve">This guide takes a safety-first approach throughout. Every herb profile includes honest information about interactions, contraindications, and appropriate limitations of use. Please read this section before working with any medicinal plants.</w:t>
      </w:r>
    </w:p>
    <w:p>
      <w:pPr>
        <w:spacing w:before="160" w:after="0"/>
      </w:pPr>
      <w:r>
        <w:t xml:space="preserve"/>
      </w:r>
    </w:p>
    <w:p>
      <w:pPr>
        <w:pStyle w:val="Heading2"/>
        <w:spacing w:before="260" w:after="100"/>
      </w:pPr>
      <w:r>
        <w:rPr>
          <w:rFonts w:ascii="Arial" w:cs="Arial" w:eastAsia="Arial" w:hAnsi="Arial"/>
          <w:b/>
          <w:bCs/>
          <w:color w:val="1A6060"/>
          <w:sz w:val="28"/>
          <w:szCs w:val="28"/>
        </w:rPr>
        <w:t xml:space="preserve">The Non-Negotiable Safety Rules</w:t>
      </w:r>
    </w:p>
    <w:p>
      <w:pPr>
        <w:pStyle w:val="ListParagraph"/>
        <w:numPr>
          <w:ilvl w:val="0"/>
          <w:numId w:val="2"/>
        </w:numPr>
        <w:spacing w:before="50" w:after="50"/>
      </w:pPr>
      <w:r>
        <w:rPr>
          <w:rFonts w:ascii="Arial" w:cs="Arial" w:eastAsia="Arial" w:hAnsi="Arial"/>
          <w:color w:val="1A1A1A"/>
          <w:sz w:val="22"/>
          <w:szCs w:val="22"/>
        </w:rPr>
        <w:t xml:space="preserve">Consult a healthcare provider for serious conditions: Medicinal herbs are appropriate for minor ailments, wellness support, and adjunct care — not as the primary treatment for serious illness, chronic disease requiring management, or emergencies. When in doubt, see a doctor first.</w:t>
      </w:r>
    </w:p>
    <w:p>
      <w:pPr>
        <w:pStyle w:val="ListParagraph"/>
        <w:numPr>
          <w:ilvl w:val="0"/>
          <w:numId w:val="2"/>
        </w:numPr>
        <w:spacing w:before="50" w:after="50"/>
      </w:pPr>
      <w:r>
        <w:rPr>
          <w:rFonts w:ascii="Arial" w:cs="Arial" w:eastAsia="Arial" w:hAnsi="Arial"/>
          <w:color w:val="1A1A1A"/>
          <w:sz w:val="22"/>
          <w:szCs w:val="22"/>
        </w:rPr>
        <w:t xml:space="preserve">Never stop prescribed medication to use herbs instead without medical supervision: Many people are harmed each year by discontinuing effective conventional treatment in favor of herbal alternatives. Herbs and pharmaceuticals are not in opposition — they can complement each other, but always with physician knowledge and guidance.</w:t>
      </w:r>
    </w:p>
    <w:p>
      <w:pPr>
        <w:pStyle w:val="ListParagraph"/>
        <w:numPr>
          <w:ilvl w:val="0"/>
          <w:numId w:val="2"/>
        </w:numPr>
        <w:spacing w:before="50" w:after="50"/>
      </w:pPr>
      <w:r>
        <w:rPr>
          <w:rFonts w:ascii="Arial" w:cs="Arial" w:eastAsia="Arial" w:hAnsi="Arial"/>
          <w:color w:val="1A1A1A"/>
          <w:sz w:val="22"/>
          <w:szCs w:val="22"/>
        </w:rPr>
        <w:t xml:space="preserve">Drug-herb interactions are real: Dozens of well-documented interactions exist between common herbs and pharmaceutical drugs. St. John's Wort alone interacts with 70+ drugs. Garlic thins blood similarly to warfarin. Ginkgo interacts with blood thinners. Always tell your healthcare providers what herbs you are taking.</w:t>
      </w:r>
    </w:p>
    <w:p>
      <w:pPr>
        <w:pStyle w:val="ListParagraph"/>
        <w:numPr>
          <w:ilvl w:val="0"/>
          <w:numId w:val="2"/>
        </w:numPr>
        <w:spacing w:before="50" w:after="50"/>
      </w:pPr>
      <w:r>
        <w:rPr>
          <w:rFonts w:ascii="Arial" w:cs="Arial" w:eastAsia="Arial" w:hAnsi="Arial"/>
          <w:color w:val="1A1A1A"/>
          <w:sz w:val="22"/>
          <w:szCs w:val="22"/>
        </w:rPr>
        <w:t xml:space="preserve">Correct identification is essential: Before using any plant medicinally, be absolutely certain of its identification. Dangerous lookalikes exist. Poison hemlock resembles Queen Anne's lace. Water hemlock resembles elderberry. Use multiple identification resources; grow from identified nursery stock rather than wild-harvesting until you have expert-level identification skills.</w:t>
      </w:r>
    </w:p>
    <w:p>
      <w:pPr>
        <w:pStyle w:val="ListParagraph"/>
        <w:numPr>
          <w:ilvl w:val="0"/>
          <w:numId w:val="2"/>
        </w:numPr>
        <w:spacing w:before="50" w:after="50"/>
      </w:pPr>
      <w:r>
        <w:rPr>
          <w:rFonts w:ascii="Arial" w:cs="Arial" w:eastAsia="Arial" w:hAnsi="Arial"/>
          <w:color w:val="1A1A1A"/>
          <w:sz w:val="22"/>
          <w:szCs w:val="22"/>
        </w:rPr>
        <w:t xml:space="preserve">Pregnant and breastfeeding women require special caution: Many medicinal herbs are contraindicated during pregnancy. Some — like blue cohosh, pennyroyal, and tansy — can cause miscarriage. Others may affect fetal development. When pregnant or nursing, consult your midwife or obstetrician before using any medicinal herb beyond common culinary levels.</w:t>
      </w:r>
    </w:p>
    <w:p>
      <w:pPr>
        <w:pStyle w:val="ListParagraph"/>
        <w:numPr>
          <w:ilvl w:val="0"/>
          <w:numId w:val="2"/>
        </w:numPr>
        <w:spacing w:before="50" w:after="50"/>
      </w:pPr>
      <w:r>
        <w:rPr>
          <w:rFonts w:ascii="Arial" w:cs="Arial" w:eastAsia="Arial" w:hAnsi="Arial"/>
          <w:color w:val="1A1A1A"/>
          <w:sz w:val="22"/>
          <w:szCs w:val="22"/>
        </w:rPr>
        <w:t xml:space="preserve">Children require adjusted doses: Herb doses for children are significantly lower than adult doses; many herbs are not appropriate for very young children at all. When using herbs with children, consult a qualified practitioner for appropriate dosing.</w:t>
      </w:r>
    </w:p>
    <w:p>
      <w:pPr>
        <w:pStyle w:val="ListParagraph"/>
        <w:numPr>
          <w:ilvl w:val="0"/>
          <w:numId w:val="2"/>
        </w:numPr>
        <w:spacing w:before="50" w:after="50"/>
      </w:pPr>
      <w:r>
        <w:rPr>
          <w:rFonts w:ascii="Arial" w:cs="Arial" w:eastAsia="Arial" w:hAnsi="Arial"/>
          <w:color w:val="1A1A1A"/>
          <w:sz w:val="22"/>
          <w:szCs w:val="22"/>
        </w:rPr>
        <w:t xml:space="preserve">Start low, go slow: When trying a new herb, begin with the lowest effective dose and observe your response for several days before increasing. Individual responses to plant compounds vary considerably.</w:t>
      </w:r>
    </w:p>
    <w:p>
      <w:pPr>
        <w:spacing w:before="160" w:after="0"/>
      </w:pPr>
      <w:r>
        <w:t xml:space="preserve"/>
      </w:r>
    </w:p>
    <w:p>
      <w:pPr>
        <w:pStyle w:val="Heading2"/>
        <w:spacing w:before="260" w:after="100"/>
      </w:pPr>
      <w:r>
        <w:rPr>
          <w:rFonts w:ascii="Arial" w:cs="Arial" w:eastAsia="Arial" w:hAnsi="Arial"/>
          <w:b/>
          <w:bCs/>
          <w:color w:val="1A6060"/>
          <w:sz w:val="28"/>
          <w:szCs w:val="28"/>
        </w:rPr>
        <w:t xml:space="preserve">Drug-Herb Interactions: The Most Important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800"/>
        <w:gridCol w:w="2560"/>
      </w:tblGrid>
      <w:tr>
        <w:trPr>
          <w:tblHeader/>
        </w:trPr>
        <w:tc>
          <w:tcPr>
            <w:tcW w:type="dxa" w:w="1600"/>
            <w:tcBorders>
              <w:top w:val="single" w:color="8C3A1A" w:sz="1"/>
              <w:left w:val="single" w:color="8C3A1A" w:sz="1"/>
              <w:bottom w:val="single" w:color="8C3A1A" w:sz="1"/>
              <w:right w:val="single" w:color="8C3A1A" w:sz="1"/>
            </w:tcBorders>
            <w:shd w:fill="8C3A1A"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Herb</w:t>
            </w:r>
          </w:p>
        </w:tc>
        <w:tc>
          <w:tcPr>
            <w:tcW w:type="dxa" w:w="2400"/>
            <w:tcBorders>
              <w:top w:val="single" w:color="8C3A1A" w:sz="1"/>
              <w:left w:val="single" w:color="8C3A1A" w:sz="1"/>
              <w:bottom w:val="single" w:color="8C3A1A" w:sz="1"/>
              <w:right w:val="single" w:color="8C3A1A" w:sz="1"/>
            </w:tcBorders>
            <w:shd w:fill="8C3A1A"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Interacts With</w:t>
            </w:r>
          </w:p>
        </w:tc>
        <w:tc>
          <w:tcPr>
            <w:tcW w:type="dxa" w:w="2800"/>
            <w:tcBorders>
              <w:top w:val="single" w:color="8C3A1A" w:sz="1"/>
              <w:left w:val="single" w:color="8C3A1A" w:sz="1"/>
              <w:bottom w:val="single" w:color="8C3A1A" w:sz="1"/>
              <w:right w:val="single" w:color="8C3A1A" w:sz="1"/>
            </w:tcBorders>
            <w:shd w:fill="8C3A1A"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Type of Interaction</w:t>
            </w:r>
          </w:p>
        </w:tc>
        <w:tc>
          <w:tcPr>
            <w:tcW w:type="dxa" w:w="2560"/>
            <w:tcBorders>
              <w:top w:val="single" w:color="8C3A1A" w:sz="1"/>
              <w:left w:val="single" w:color="8C3A1A" w:sz="1"/>
              <w:bottom w:val="single" w:color="8C3A1A" w:sz="1"/>
              <w:right w:val="single" w:color="8C3A1A" w:sz="1"/>
            </w:tcBorders>
            <w:shd w:fill="8C3A1A"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Clinical Significance</w:t>
            </w:r>
          </w:p>
        </w:tc>
      </w:tr>
      <w:tr>
        <w:tc>
          <w:tcPr>
            <w:tcW w:type="dxa" w:w="1600"/>
            <w:tcBorders>
              <w:top w:val="single" w:color="8C3A1A" w:sz="1"/>
              <w:left w:val="single" w:color="8C3A1A" w:sz="1"/>
              <w:bottom w:val="single" w:color="8C3A1A" w:sz="1"/>
              <w:right w:val="single" w:color="8C3A1A"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St. John's Wort (Hypericum perforatum)</w:t>
            </w:r>
          </w:p>
        </w:tc>
        <w:tc>
          <w:tcPr>
            <w:tcW w:type="dxa" w:w="2400"/>
            <w:tcBorders>
              <w:top w:val="single" w:color="8C3A1A" w:sz="1"/>
              <w:left w:val="single" w:color="8C3A1A" w:sz="1"/>
              <w:bottom w:val="single" w:color="8C3A1A" w:sz="1"/>
              <w:right w:val="single" w:color="8C3A1A"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Antidepressants (SSRIs), blood thinners (warfarin), birth control pills, HIV medications, cyclosporine, digoxin, many chemotherapy agents</w:t>
            </w:r>
          </w:p>
        </w:tc>
        <w:tc>
          <w:tcPr>
            <w:tcW w:type="dxa" w:w="2800"/>
            <w:tcBorders>
              <w:top w:val="single" w:color="8C3A1A" w:sz="1"/>
              <w:left w:val="single" w:color="8C3A1A" w:sz="1"/>
              <w:bottom w:val="single" w:color="8C3A1A" w:sz="1"/>
              <w:right w:val="single" w:color="8C3A1A"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Induces CYP enzymes — accelerates breakdown of many drugs, reducing their effectiveness; combining with SSRIs risks serotonin syndrome</w:t>
            </w:r>
          </w:p>
        </w:tc>
        <w:tc>
          <w:tcPr>
            <w:tcW w:type="dxa" w:w="2560"/>
            <w:tcBorders>
              <w:top w:val="single" w:color="8C3A1A" w:sz="1"/>
              <w:left w:val="single" w:color="8C3A1A" w:sz="1"/>
              <w:bottom w:val="single" w:color="8C3A1A" w:sz="1"/>
              <w:right w:val="single" w:color="8C3A1A"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HIGH — one of the most significant herb-drug interactions known; do not use St. John's Wort with any prescription medications without physician approval</w:t>
            </w:r>
          </w:p>
        </w:tc>
      </w:tr>
      <w:tr>
        <w:tc>
          <w:tcPr>
            <w:tcW w:type="dxa" w:w="1600"/>
            <w:tcBorders>
              <w:top w:val="single" w:color="8C3A1A" w:sz="1"/>
              <w:left w:val="single" w:color="8C3A1A" w:sz="1"/>
              <w:bottom w:val="single" w:color="8C3A1A" w:sz="1"/>
              <w:right w:val="single" w:color="8C3A1A"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Garlic (high-dose supplements)</w:t>
            </w:r>
          </w:p>
        </w:tc>
        <w:tc>
          <w:tcPr>
            <w:tcW w:type="dxa" w:w="2400"/>
            <w:tcBorders>
              <w:top w:val="single" w:color="8C3A1A" w:sz="1"/>
              <w:left w:val="single" w:color="8C3A1A" w:sz="1"/>
              <w:bottom w:val="single" w:color="8C3A1A" w:sz="1"/>
              <w:right w:val="single" w:color="8C3A1A"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Warfarin; aspirin; other antiplatelet drugs; HIV medications</w:t>
            </w:r>
          </w:p>
        </w:tc>
        <w:tc>
          <w:tcPr>
            <w:tcW w:type="dxa" w:w="2800"/>
            <w:tcBorders>
              <w:top w:val="single" w:color="8C3A1A" w:sz="1"/>
              <w:left w:val="single" w:color="8C3A1A" w:sz="1"/>
              <w:bottom w:val="single" w:color="8C3A1A" w:sz="1"/>
              <w:right w:val="single" w:color="8C3A1A"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Antiplatelet and anticoagulant effects enhance bleeding risk; may reduce effectiveness of HIV drugs</w:t>
            </w:r>
          </w:p>
        </w:tc>
        <w:tc>
          <w:tcPr>
            <w:tcW w:type="dxa" w:w="2560"/>
            <w:tcBorders>
              <w:top w:val="single" w:color="8C3A1A" w:sz="1"/>
              <w:left w:val="single" w:color="8C3A1A" w:sz="1"/>
              <w:bottom w:val="single" w:color="8C3A1A" w:sz="1"/>
              <w:right w:val="single" w:color="8C3A1A"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MODERATE — culinary amounts are generally safe; high-dose garlic supplements significantly increase bleeding risk, especially perioperatively</w:t>
            </w:r>
          </w:p>
        </w:tc>
      </w:tr>
      <w:tr>
        <w:tc>
          <w:tcPr>
            <w:tcW w:type="dxa" w:w="1600"/>
            <w:tcBorders>
              <w:top w:val="single" w:color="8C3A1A" w:sz="1"/>
              <w:left w:val="single" w:color="8C3A1A" w:sz="1"/>
              <w:bottom w:val="single" w:color="8C3A1A" w:sz="1"/>
              <w:right w:val="single" w:color="8C3A1A"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Ginkgo (Ginkgo biloba)</w:t>
            </w:r>
          </w:p>
        </w:tc>
        <w:tc>
          <w:tcPr>
            <w:tcW w:type="dxa" w:w="2400"/>
            <w:tcBorders>
              <w:top w:val="single" w:color="8C3A1A" w:sz="1"/>
              <w:left w:val="single" w:color="8C3A1A" w:sz="1"/>
              <w:bottom w:val="single" w:color="8C3A1A" w:sz="1"/>
              <w:right w:val="single" w:color="8C3A1A"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Warfarin; aspirin; NSAIDs; SSRIs; MAOIs</w:t>
            </w:r>
          </w:p>
        </w:tc>
        <w:tc>
          <w:tcPr>
            <w:tcW w:type="dxa" w:w="2800"/>
            <w:tcBorders>
              <w:top w:val="single" w:color="8C3A1A" w:sz="1"/>
              <w:left w:val="single" w:color="8C3A1A" w:sz="1"/>
              <w:bottom w:val="single" w:color="8C3A1A" w:sz="1"/>
              <w:right w:val="single" w:color="8C3A1A"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Antiplatelet properties increase bleeding risk; may enhance or interfere with antidepressant effects</w:t>
            </w:r>
          </w:p>
        </w:tc>
        <w:tc>
          <w:tcPr>
            <w:tcW w:type="dxa" w:w="2560"/>
            <w:tcBorders>
              <w:top w:val="single" w:color="8C3A1A" w:sz="1"/>
              <w:left w:val="single" w:color="8C3A1A" w:sz="1"/>
              <w:bottom w:val="single" w:color="8C3A1A" w:sz="1"/>
              <w:right w:val="single" w:color="8C3A1A"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MODERATE — significant bleeding risk with anticoagulants; stop 2 weeks before surgery</w:t>
            </w:r>
          </w:p>
        </w:tc>
      </w:tr>
      <w:tr>
        <w:tc>
          <w:tcPr>
            <w:tcW w:type="dxa" w:w="1600"/>
            <w:tcBorders>
              <w:top w:val="single" w:color="8C3A1A" w:sz="1"/>
              <w:left w:val="single" w:color="8C3A1A" w:sz="1"/>
              <w:bottom w:val="single" w:color="8C3A1A" w:sz="1"/>
              <w:right w:val="single" w:color="8C3A1A"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Valerian</w:t>
            </w:r>
          </w:p>
        </w:tc>
        <w:tc>
          <w:tcPr>
            <w:tcW w:type="dxa" w:w="2400"/>
            <w:tcBorders>
              <w:top w:val="single" w:color="8C3A1A" w:sz="1"/>
              <w:left w:val="single" w:color="8C3A1A" w:sz="1"/>
              <w:bottom w:val="single" w:color="8C3A1A" w:sz="1"/>
              <w:right w:val="single" w:color="8C3A1A"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Sedatives; benzodiazepines; barbiturates; alcohol; anesthesia</w:t>
            </w:r>
          </w:p>
        </w:tc>
        <w:tc>
          <w:tcPr>
            <w:tcW w:type="dxa" w:w="2800"/>
            <w:tcBorders>
              <w:top w:val="single" w:color="8C3A1A" w:sz="1"/>
              <w:left w:val="single" w:color="8C3A1A" w:sz="1"/>
              <w:bottom w:val="single" w:color="8C3A1A" w:sz="1"/>
              <w:right w:val="single" w:color="8C3A1A"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Additive CNS depressant effects; may enhance sedation unpredictably</w:t>
            </w:r>
          </w:p>
        </w:tc>
        <w:tc>
          <w:tcPr>
            <w:tcW w:type="dxa" w:w="2560"/>
            <w:tcBorders>
              <w:top w:val="single" w:color="8C3A1A" w:sz="1"/>
              <w:left w:val="single" w:color="8C3A1A" w:sz="1"/>
              <w:bottom w:val="single" w:color="8C3A1A" w:sz="1"/>
              <w:right w:val="single" w:color="8C3A1A"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MODERATE — avoid with prescription sedatives; stop 2 weeks before surgery</w:t>
            </w:r>
          </w:p>
        </w:tc>
      </w:tr>
      <w:tr>
        <w:tc>
          <w:tcPr>
            <w:tcW w:type="dxa" w:w="1600"/>
            <w:tcBorders>
              <w:top w:val="single" w:color="8C3A1A" w:sz="1"/>
              <w:left w:val="single" w:color="8C3A1A" w:sz="1"/>
              <w:bottom w:val="single" w:color="8C3A1A" w:sz="1"/>
              <w:right w:val="single" w:color="8C3A1A"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Echinacea</w:t>
            </w:r>
          </w:p>
        </w:tc>
        <w:tc>
          <w:tcPr>
            <w:tcW w:type="dxa" w:w="2400"/>
            <w:tcBorders>
              <w:top w:val="single" w:color="8C3A1A" w:sz="1"/>
              <w:left w:val="single" w:color="8C3A1A" w:sz="1"/>
              <w:bottom w:val="single" w:color="8C3A1A" w:sz="1"/>
              <w:right w:val="single" w:color="8C3A1A"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Immunosuppressants; corticosteroids; certain antifungals; hepatotoxic drugs</w:t>
            </w:r>
          </w:p>
        </w:tc>
        <w:tc>
          <w:tcPr>
            <w:tcW w:type="dxa" w:w="2800"/>
            <w:tcBorders>
              <w:top w:val="single" w:color="8C3A1A" w:sz="1"/>
              <w:left w:val="single" w:color="8C3A1A" w:sz="1"/>
              <w:bottom w:val="single" w:color="8C3A1A" w:sz="1"/>
              <w:right w:val="single" w:color="8C3A1A"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Immune stimulation may counteract immunosuppressant therapy; theoretical liver concerns with long-term use + hepatotoxic drugs</w:t>
            </w:r>
          </w:p>
        </w:tc>
        <w:tc>
          <w:tcPr>
            <w:tcW w:type="dxa" w:w="2560"/>
            <w:tcBorders>
              <w:top w:val="single" w:color="8C3A1A" w:sz="1"/>
              <w:left w:val="single" w:color="8C3A1A" w:sz="1"/>
              <w:bottom w:val="single" w:color="8C3A1A" w:sz="1"/>
              <w:right w:val="single" w:color="8C3A1A"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LOW-MODERATE — primary concern for transplant patients on immunosuppressants; generally safe for healthy adults short-term</w:t>
            </w:r>
          </w:p>
        </w:tc>
      </w:tr>
      <w:tr>
        <w:tc>
          <w:tcPr>
            <w:tcW w:type="dxa" w:w="1600"/>
            <w:tcBorders>
              <w:top w:val="single" w:color="8C3A1A" w:sz="1"/>
              <w:left w:val="single" w:color="8C3A1A" w:sz="1"/>
              <w:bottom w:val="single" w:color="8C3A1A" w:sz="1"/>
              <w:right w:val="single" w:color="8C3A1A"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Kava</w:t>
            </w:r>
          </w:p>
        </w:tc>
        <w:tc>
          <w:tcPr>
            <w:tcW w:type="dxa" w:w="2400"/>
            <w:tcBorders>
              <w:top w:val="single" w:color="8C3A1A" w:sz="1"/>
              <w:left w:val="single" w:color="8C3A1A" w:sz="1"/>
              <w:bottom w:val="single" w:color="8C3A1A" w:sz="1"/>
              <w:right w:val="single" w:color="8C3A1A"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Alcohol; benzodiazepines; liver-processed medications (many)</w:t>
            </w:r>
          </w:p>
        </w:tc>
        <w:tc>
          <w:tcPr>
            <w:tcW w:type="dxa" w:w="2800"/>
            <w:tcBorders>
              <w:top w:val="single" w:color="8C3A1A" w:sz="1"/>
              <w:left w:val="single" w:color="8C3A1A" w:sz="1"/>
              <w:bottom w:val="single" w:color="8C3A1A" w:sz="1"/>
              <w:right w:val="single" w:color="8C3A1A"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Additive liver stress; additive CNS depression; hepatotoxicity risk</w:t>
            </w:r>
          </w:p>
        </w:tc>
        <w:tc>
          <w:tcPr>
            <w:tcW w:type="dxa" w:w="2560"/>
            <w:tcBorders>
              <w:top w:val="single" w:color="8C3A1A" w:sz="1"/>
              <w:left w:val="single" w:color="8C3A1A" w:sz="1"/>
              <w:bottom w:val="single" w:color="8C3A1A" w:sz="1"/>
              <w:right w:val="single" w:color="8C3A1A"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HIGH — kava has caused liver failure in some cases; avoid with alcohol or any hepatotoxic medications; not for those with liver disease</w:t>
            </w:r>
          </w:p>
        </w:tc>
      </w:tr>
      <w:tr>
        <w:tc>
          <w:tcPr>
            <w:tcW w:type="dxa" w:w="1600"/>
            <w:tcBorders>
              <w:top w:val="single" w:color="8C3A1A" w:sz="1"/>
              <w:left w:val="single" w:color="8C3A1A" w:sz="1"/>
              <w:bottom w:val="single" w:color="8C3A1A" w:sz="1"/>
              <w:right w:val="single" w:color="8C3A1A"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Licorice root (high-dose)</w:t>
            </w:r>
          </w:p>
        </w:tc>
        <w:tc>
          <w:tcPr>
            <w:tcW w:type="dxa" w:w="2400"/>
            <w:tcBorders>
              <w:top w:val="single" w:color="8C3A1A" w:sz="1"/>
              <w:left w:val="single" w:color="8C3A1A" w:sz="1"/>
              <w:bottom w:val="single" w:color="8C3A1A" w:sz="1"/>
              <w:right w:val="single" w:color="8C3A1A"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Antihypertensives; diuretics; digoxin; corticosteroids</w:t>
            </w:r>
          </w:p>
        </w:tc>
        <w:tc>
          <w:tcPr>
            <w:tcW w:type="dxa" w:w="2800"/>
            <w:tcBorders>
              <w:top w:val="single" w:color="8C3A1A" w:sz="1"/>
              <w:left w:val="single" w:color="8C3A1A" w:sz="1"/>
              <w:bottom w:val="single" w:color="8C3A1A" w:sz="1"/>
              <w:right w:val="single" w:color="8C3A1A"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Raises blood pressure; causes potassium loss that can dangerously amplify digoxin toxicity</w:t>
            </w:r>
          </w:p>
        </w:tc>
        <w:tc>
          <w:tcPr>
            <w:tcW w:type="dxa" w:w="2560"/>
            <w:tcBorders>
              <w:top w:val="single" w:color="8C3A1A" w:sz="1"/>
              <w:left w:val="single" w:color="8C3A1A" w:sz="1"/>
              <w:bottom w:val="single" w:color="8C3A1A" w:sz="1"/>
              <w:right w:val="single" w:color="8C3A1A"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HIGH with digoxin — avoid high-dose or long-term licorice root use; small amounts in teas generally safe</w:t>
            </w:r>
          </w:p>
        </w:tc>
      </w:tr>
      <w:tr>
        <w:tc>
          <w:tcPr>
            <w:tcW w:type="dxa" w:w="1600"/>
            <w:tcBorders>
              <w:top w:val="single" w:color="8C3A1A" w:sz="1"/>
              <w:left w:val="single" w:color="8C3A1A" w:sz="1"/>
              <w:bottom w:val="single" w:color="8C3A1A" w:sz="1"/>
              <w:right w:val="single" w:color="8C3A1A"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Feverfew</w:t>
            </w:r>
          </w:p>
        </w:tc>
        <w:tc>
          <w:tcPr>
            <w:tcW w:type="dxa" w:w="2400"/>
            <w:tcBorders>
              <w:top w:val="single" w:color="8C3A1A" w:sz="1"/>
              <w:left w:val="single" w:color="8C3A1A" w:sz="1"/>
              <w:bottom w:val="single" w:color="8C3A1A" w:sz="1"/>
              <w:right w:val="single" w:color="8C3A1A"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Warfarin; aspirin; NSAIDs; other antiplatelet drugs</w:t>
            </w:r>
          </w:p>
        </w:tc>
        <w:tc>
          <w:tcPr>
            <w:tcW w:type="dxa" w:w="2800"/>
            <w:tcBorders>
              <w:top w:val="single" w:color="8C3A1A" w:sz="1"/>
              <w:left w:val="single" w:color="8C3A1A" w:sz="1"/>
              <w:bottom w:val="single" w:color="8C3A1A" w:sz="1"/>
              <w:right w:val="single" w:color="8C3A1A"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Antiplatelet effects increase bleeding risk</w:t>
            </w:r>
          </w:p>
        </w:tc>
        <w:tc>
          <w:tcPr>
            <w:tcW w:type="dxa" w:w="2560"/>
            <w:tcBorders>
              <w:top w:val="single" w:color="8C3A1A" w:sz="1"/>
              <w:left w:val="single" w:color="8C3A1A" w:sz="1"/>
              <w:bottom w:val="single" w:color="8C3A1A" w:sz="1"/>
              <w:right w:val="single" w:color="8C3A1A"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MODERATE — do not use with blood thinners; stop 2 weeks before surgery</w:t>
            </w:r>
          </w:p>
        </w:tc>
      </w:tr>
      <w:tr>
        <w:tc>
          <w:tcPr>
            <w:tcW w:type="dxa" w:w="1600"/>
            <w:tcBorders>
              <w:top w:val="single" w:color="8C3A1A" w:sz="1"/>
              <w:left w:val="single" w:color="8C3A1A" w:sz="1"/>
              <w:bottom w:val="single" w:color="8C3A1A" w:sz="1"/>
              <w:right w:val="single" w:color="8C3A1A"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Ginseng (Panax)</w:t>
            </w:r>
          </w:p>
        </w:tc>
        <w:tc>
          <w:tcPr>
            <w:tcW w:type="dxa" w:w="2400"/>
            <w:tcBorders>
              <w:top w:val="single" w:color="8C3A1A" w:sz="1"/>
              <w:left w:val="single" w:color="8C3A1A" w:sz="1"/>
              <w:bottom w:val="single" w:color="8C3A1A" w:sz="1"/>
              <w:right w:val="single" w:color="8C3A1A"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Warfarin; stimulants; diabetes medications; MAOIs; estrogens</w:t>
            </w:r>
          </w:p>
        </w:tc>
        <w:tc>
          <w:tcPr>
            <w:tcW w:type="dxa" w:w="2800"/>
            <w:tcBorders>
              <w:top w:val="single" w:color="8C3A1A" w:sz="1"/>
              <w:left w:val="single" w:color="8C3A1A" w:sz="1"/>
              <w:bottom w:val="single" w:color="8C3A1A" w:sz="1"/>
              <w:right w:val="single" w:color="8C3A1A"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Anticoagulant effects; may lower blood sugar excessively with diabetes drugs; stimulant interactions</w:t>
            </w:r>
          </w:p>
        </w:tc>
        <w:tc>
          <w:tcPr>
            <w:tcW w:type="dxa" w:w="2560"/>
            <w:tcBorders>
              <w:top w:val="single" w:color="8C3A1A" w:sz="1"/>
              <w:left w:val="single" w:color="8C3A1A" w:sz="1"/>
              <w:bottom w:val="single" w:color="8C3A1A" w:sz="1"/>
              <w:right w:val="single" w:color="8C3A1A"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MODERATE — monitor blood sugar with diabetes medications; avoid with MAOIs and warfarin</w:t>
            </w:r>
          </w:p>
        </w:tc>
      </w:tr>
      <w:tr>
        <w:tc>
          <w:tcPr>
            <w:tcW w:type="dxa" w:w="1600"/>
            <w:tcBorders>
              <w:top w:val="single" w:color="8C3A1A" w:sz="1"/>
              <w:left w:val="single" w:color="8C3A1A" w:sz="1"/>
              <w:bottom w:val="single" w:color="8C3A1A" w:sz="1"/>
              <w:right w:val="single" w:color="8C3A1A"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Black Cohosh</w:t>
            </w:r>
          </w:p>
        </w:tc>
        <w:tc>
          <w:tcPr>
            <w:tcW w:type="dxa" w:w="2400"/>
            <w:tcBorders>
              <w:top w:val="single" w:color="8C3A1A" w:sz="1"/>
              <w:left w:val="single" w:color="8C3A1A" w:sz="1"/>
              <w:bottom w:val="single" w:color="8C3A1A" w:sz="1"/>
              <w:right w:val="single" w:color="8C3A1A"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Hormone-sensitive medications; tamoxifen; hepatotoxic drugs</w:t>
            </w:r>
          </w:p>
        </w:tc>
        <w:tc>
          <w:tcPr>
            <w:tcW w:type="dxa" w:w="2800"/>
            <w:tcBorders>
              <w:top w:val="single" w:color="8C3A1A" w:sz="1"/>
              <w:left w:val="single" w:color="8C3A1A" w:sz="1"/>
              <w:bottom w:val="single" w:color="8C3A1A" w:sz="1"/>
              <w:right w:val="single" w:color="8C3A1A"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Weak estrogenic activity may interact with hormone therapies; rare liver toxicity reports</w:t>
            </w:r>
          </w:p>
        </w:tc>
        <w:tc>
          <w:tcPr>
            <w:tcW w:type="dxa" w:w="2560"/>
            <w:tcBorders>
              <w:top w:val="single" w:color="8C3A1A" w:sz="1"/>
              <w:left w:val="single" w:color="8C3A1A" w:sz="1"/>
              <w:bottom w:val="single" w:color="8C3A1A" w:sz="1"/>
              <w:right w:val="single" w:color="8C3A1A"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LOW-MODERATE — avoid with hormone-sensitive cancers; use quality-verified products; stop if liver symptoms develop</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3A1A" w:sz="1"/>
              <w:left w:val="single" w:color="8C3A1A" w:sz="24"/>
              <w:bottom w:val="single" w:color="8C3A1A" w:sz="1"/>
              <w:right w:val="single" w:color="8C3A1A" w:sz="1"/>
            </w:tcBorders>
            <w:shd w:fill="F5DDD0" w:val="clear"/>
            <w:tcMar>
              <w:top w:type="dxa" w:w="120"/>
              <w:left w:type="dxa" w:w="220"/>
              <w:bottom w:type="dxa" w:w="120"/>
              <w:right w:type="dxa" w:w="160"/>
            </w:tcMar>
          </w:tcPr>
          <w:p>
            <w:pPr>
              <w:spacing w:before="0" w:after="0"/>
            </w:pPr>
            <w:r>
              <w:rPr>
                <w:rFonts w:ascii="Arial" w:cs="Arial" w:eastAsia="Arial" w:hAnsi="Arial"/>
                <w:b/>
                <w:bCs/>
                <w:color w:val="8C3A1A"/>
                <w:sz w:val="22"/>
                <w:szCs w:val="22"/>
              </w:rPr>
              <w:t xml:space="preserve">⚕️  Medical Disclaimer:  </w:t>
            </w:r>
            <w:r>
              <w:rPr>
                <w:rFonts w:ascii="Arial" w:cs="Arial" w:eastAsia="Arial" w:hAnsi="Arial"/>
                <w:color w:val="444444"/>
                <w:sz w:val="22"/>
                <w:szCs w:val="22"/>
              </w:rPr>
              <w:t xml:space="preserve">This guide is for educational purposes only. It does not constitute medical advice, diagnosis, or treatment. Always consult a qualified healthcare provider before using any herb medicinally, especially if you have existing health conditions, take prescription medications, are pregnant or breastfeeding, or are treating children. The information presented reflects traditional use and available research but should not replace professional medical care.</w:t>
            </w:r>
          </w:p>
        </w:tc>
      </w:tr>
    </w:tbl>
    <w:p>
      <w:pPr>
        <w:spacing w:before="200" w:after="0"/>
      </w:pPr>
      <w:r>
        <w:t xml:space="preserve"/>
      </w:r>
    </w:p>
    <w:p>
      <w:pPr>
        <w:pStyle w:val="Heading2"/>
        <w:spacing w:before="260" w:after="100"/>
      </w:pPr>
      <w:r>
        <w:rPr>
          <w:rFonts w:ascii="Arial" w:cs="Arial" w:eastAsia="Arial" w:hAnsi="Arial"/>
          <w:b/>
          <w:bCs/>
          <w:color w:val="1A6060"/>
          <w:sz w:val="28"/>
          <w:szCs w:val="28"/>
        </w:rPr>
        <w:t xml:space="preserve">Legal Considerations for Home Herbalists</w:t>
      </w:r>
    </w:p>
    <w:p>
      <w:pPr>
        <w:spacing w:before="70" w:after="70"/>
      </w:pPr>
      <w:r>
        <w:rPr>
          <w:rFonts w:ascii="Arial" w:cs="Arial" w:eastAsia="Arial" w:hAnsi="Arial"/>
          <w:color w:val="1A1A1A"/>
          <w:sz w:val="22"/>
          <w:szCs w:val="22"/>
        </w:rPr>
        <w:t xml:space="preserve">The legal framework around medicinal herbs in the United States is different from pharmaceuticals but not without structure. Understanding it helps home herbalists work confidently and legally.</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2D5A27" w:sz="1"/>
              <w:left w:val="single" w:color="2D5A27" w:sz="1"/>
              <w:bottom w:val="single" w:color="2D5A27" w:sz="1"/>
              <w:right w:val="single" w:color="2D5A27" w:sz="1"/>
            </w:tcBorders>
            <w:shd w:fill="D8EDD5" w:val="clear"/>
            <w:tcMar>
              <w:top w:type="dxa" w:w="80"/>
              <w:left w:type="dxa" w:w="120"/>
              <w:bottom w:type="dxa" w:w="80"/>
              <w:right w:type="dxa" w:w="120"/>
            </w:tcMar>
          </w:tcPr>
          <w:p>
            <w:r>
              <w:rPr>
                <w:rFonts w:ascii="Arial" w:cs="Arial" w:eastAsia="Arial" w:hAnsi="Arial"/>
                <w:b/>
                <w:bCs/>
                <w:color w:val="2D5A27"/>
                <w:sz w:val="19"/>
                <w:szCs w:val="19"/>
              </w:rPr>
              <w:t xml:space="preserve">Federal regulation of herbs</w:t>
            </w:r>
          </w:p>
        </w:tc>
        <w:tc>
          <w:tcPr>
            <w:tcW w:type="dxa" w:w="7160"/>
            <w:tcBorders>
              <w:top w:val="single" w:color="2D5A27" w:sz="1"/>
              <w:left w:val="single" w:color="2D5A27" w:sz="1"/>
              <w:bottom w:val="single" w:color="2D5A27" w:sz="1"/>
              <w:right w:val="single" w:color="2D5A27"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The FDA regulates herbs sold as dietary supplements under the Dietary Supplement Health and Education Act (DSHEA) of 1994. Herbs cannot be marketed to diagnose, treat, cure, or prevent specific diseases — but can be marketed for general wellness and structure/function claims. Growing and using herbs in your own home is not regulated by the FDA.</w:t>
            </w:r>
          </w:p>
        </w:tc>
      </w:tr>
      <w:tr>
        <w:tc>
          <w:tcPr>
            <w:tcW w:type="dxa" w:w="2200"/>
            <w:tcBorders>
              <w:top w:val="single" w:color="2D5A27" w:sz="1"/>
              <w:left w:val="single" w:color="2D5A27" w:sz="1"/>
              <w:bottom w:val="single" w:color="2D5A27" w:sz="1"/>
              <w:right w:val="single" w:color="2D5A27" w:sz="1"/>
            </w:tcBorders>
            <w:shd w:fill="EEEEEE" w:val="clear"/>
            <w:tcMar>
              <w:top w:type="dxa" w:w="80"/>
              <w:left w:type="dxa" w:w="120"/>
              <w:bottom w:type="dxa" w:w="80"/>
              <w:right w:type="dxa" w:w="120"/>
            </w:tcMar>
          </w:tcPr>
          <w:p>
            <w:r>
              <w:rPr>
                <w:rFonts w:ascii="Arial" w:cs="Arial" w:eastAsia="Arial" w:hAnsi="Arial"/>
                <w:b/>
                <w:bCs/>
                <w:color w:val="2D5A27"/>
                <w:sz w:val="19"/>
                <w:szCs w:val="19"/>
              </w:rPr>
              <w:t xml:space="preserve">Growing for personal use</w:t>
            </w:r>
          </w:p>
        </w:tc>
        <w:tc>
          <w:tcPr>
            <w:tcW w:type="dxa" w:w="7160"/>
            <w:tcBorders>
              <w:top w:val="single" w:color="2D5A27" w:sz="1"/>
              <w:left w:val="single" w:color="2D5A27" w:sz="1"/>
              <w:bottom w:val="single" w:color="2D5A27" w:sz="1"/>
              <w:right w:val="single" w:color="2D5A27" w:sz="1"/>
            </w:tcBorders>
            <w:shd w:fill="F8F8F8" w:val="clear"/>
            <w:tcMar>
              <w:top w:type="dxa" w:w="80"/>
              <w:left w:type="dxa" w:w="120"/>
              <w:bottom w:type="dxa" w:w="80"/>
              <w:right w:type="dxa" w:w="120"/>
            </w:tcMar>
          </w:tcPr>
          <w:p>
            <w:r>
              <w:rPr>
                <w:rFonts w:ascii="Arial" w:cs="Arial" w:eastAsia="Arial" w:hAnsi="Arial"/>
                <w:color w:val="1A1A1A"/>
                <w:sz w:val="19"/>
                <w:szCs w:val="19"/>
              </w:rPr>
              <w:t xml:space="preserve">There are no federal restrictions on growing medicinal herbs for personal use. Some states have restrictions on specific plants — particularly those with potential for misuse (kratom is regulated or banned in several states). Check your state's laws for any plants you're uncertain about.</w:t>
            </w:r>
          </w:p>
        </w:tc>
      </w:tr>
      <w:tr>
        <w:tc>
          <w:tcPr>
            <w:tcW w:type="dxa" w:w="2200"/>
            <w:tcBorders>
              <w:top w:val="single" w:color="2D5A27" w:sz="1"/>
              <w:left w:val="single" w:color="2D5A27" w:sz="1"/>
              <w:bottom w:val="single" w:color="2D5A27" w:sz="1"/>
              <w:right w:val="single" w:color="2D5A27" w:sz="1"/>
            </w:tcBorders>
            <w:shd w:fill="D8EDD5" w:val="clear"/>
            <w:tcMar>
              <w:top w:type="dxa" w:w="80"/>
              <w:left w:type="dxa" w:w="120"/>
              <w:bottom w:type="dxa" w:w="80"/>
              <w:right w:type="dxa" w:w="120"/>
            </w:tcMar>
          </w:tcPr>
          <w:p>
            <w:r>
              <w:rPr>
                <w:rFonts w:ascii="Arial" w:cs="Arial" w:eastAsia="Arial" w:hAnsi="Arial"/>
                <w:b/>
                <w:bCs/>
                <w:color w:val="2D5A27"/>
                <w:sz w:val="19"/>
                <w:szCs w:val="19"/>
              </w:rPr>
              <w:t xml:space="preserve">Wild harvesting</w:t>
            </w:r>
          </w:p>
        </w:tc>
        <w:tc>
          <w:tcPr>
            <w:tcW w:type="dxa" w:w="7160"/>
            <w:tcBorders>
              <w:top w:val="single" w:color="2D5A27" w:sz="1"/>
              <w:left w:val="single" w:color="2D5A27" w:sz="1"/>
              <w:bottom w:val="single" w:color="2D5A27" w:sz="1"/>
              <w:right w:val="single" w:color="2D5A27"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Wild harvesting on federal lands (National Forests, BLM land) typically requires a permit for commercial quantities; personal-use amounts are often allowed but check with the specific land management agency. Many state parks prohibit any plant collection. Never wild-harvest without permission on private land.</w:t>
            </w:r>
          </w:p>
        </w:tc>
      </w:tr>
      <w:tr>
        <w:tc>
          <w:tcPr>
            <w:tcW w:type="dxa" w:w="2200"/>
            <w:tcBorders>
              <w:top w:val="single" w:color="2D5A27" w:sz="1"/>
              <w:left w:val="single" w:color="2D5A27" w:sz="1"/>
              <w:bottom w:val="single" w:color="2D5A27" w:sz="1"/>
              <w:right w:val="single" w:color="2D5A27" w:sz="1"/>
            </w:tcBorders>
            <w:shd w:fill="EEEEEE" w:val="clear"/>
            <w:tcMar>
              <w:top w:type="dxa" w:w="80"/>
              <w:left w:type="dxa" w:w="120"/>
              <w:bottom w:type="dxa" w:w="80"/>
              <w:right w:type="dxa" w:w="120"/>
            </w:tcMar>
          </w:tcPr>
          <w:p>
            <w:r>
              <w:rPr>
                <w:rFonts w:ascii="Arial" w:cs="Arial" w:eastAsia="Arial" w:hAnsi="Arial"/>
                <w:b/>
                <w:bCs/>
                <w:color w:val="2D5A27"/>
                <w:sz w:val="19"/>
                <w:szCs w:val="19"/>
              </w:rPr>
              <w:t xml:space="preserve">Sharing and selling</w:t>
            </w:r>
          </w:p>
        </w:tc>
        <w:tc>
          <w:tcPr>
            <w:tcW w:type="dxa" w:w="7160"/>
            <w:tcBorders>
              <w:top w:val="single" w:color="2D5A27" w:sz="1"/>
              <w:left w:val="single" w:color="2D5A27" w:sz="1"/>
              <w:bottom w:val="single" w:color="2D5A27" w:sz="1"/>
              <w:right w:val="single" w:color="2D5A27" w:sz="1"/>
            </w:tcBorders>
            <w:shd w:fill="F8F8F8" w:val="clear"/>
            <w:tcMar>
              <w:top w:type="dxa" w:w="80"/>
              <w:left w:type="dxa" w:w="120"/>
              <w:bottom w:type="dxa" w:w="80"/>
              <w:right w:type="dxa" w:w="120"/>
            </w:tcMar>
          </w:tcPr>
          <w:p>
            <w:r>
              <w:rPr>
                <w:rFonts w:ascii="Arial" w:cs="Arial" w:eastAsia="Arial" w:hAnsi="Arial"/>
                <w:color w:val="1A1A1A"/>
                <w:sz w:val="19"/>
                <w:szCs w:val="19"/>
              </w:rPr>
              <w:t xml:space="preserve">Sharing herbs with family and friends is generally unregulated. Selling herbal products as food or dietary supplements subjects you to FDA oversight and state food safety regulations. Selling herbs with medical claims (e.g., "cures diabetes") is illegal under federal law. Formal herbalism practice is regulated differently by each state — many states allow traditional herbalism consultation without licensure, while others have restrictions.</w:t>
            </w:r>
          </w:p>
        </w:tc>
      </w:tr>
      <w:tr>
        <w:tc>
          <w:tcPr>
            <w:tcW w:type="dxa" w:w="2200"/>
            <w:tcBorders>
              <w:top w:val="single" w:color="2D5A27" w:sz="1"/>
              <w:left w:val="single" w:color="2D5A27" w:sz="1"/>
              <w:bottom w:val="single" w:color="2D5A27" w:sz="1"/>
              <w:right w:val="single" w:color="2D5A27" w:sz="1"/>
            </w:tcBorders>
            <w:shd w:fill="D8EDD5" w:val="clear"/>
            <w:tcMar>
              <w:top w:type="dxa" w:w="80"/>
              <w:left w:type="dxa" w:w="120"/>
              <w:bottom w:type="dxa" w:w="80"/>
              <w:right w:type="dxa" w:w="120"/>
            </w:tcMar>
          </w:tcPr>
          <w:p>
            <w:r>
              <w:rPr>
                <w:rFonts w:ascii="Arial" w:cs="Arial" w:eastAsia="Arial" w:hAnsi="Arial"/>
                <w:b/>
                <w:bCs/>
                <w:color w:val="2D5A27"/>
                <w:sz w:val="19"/>
                <w:szCs w:val="19"/>
              </w:rPr>
              <w:t xml:space="preserve">Endangered and protected species</w:t>
            </w:r>
          </w:p>
        </w:tc>
        <w:tc>
          <w:tcPr>
            <w:tcW w:type="dxa" w:w="7160"/>
            <w:tcBorders>
              <w:top w:val="single" w:color="2D5A27" w:sz="1"/>
              <w:left w:val="single" w:color="2D5A27" w:sz="1"/>
              <w:bottom w:val="single" w:color="2D5A27" w:sz="1"/>
              <w:right w:val="single" w:color="2D5A27"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Some medicinal plants are protected under state or federal law due to overharvesting — American ginseng (Panax quinquefolius), goldenseal (Hydrastis canadensis), and black cohosh (Actaea racemosa) are all of conservation concern. Prioritize garden-grown over wild-harvested specimens of any plant with conservation concerns. Check the USDA Plants Database and your state's natural heritage program for protected status.</w:t>
            </w:r>
          </w:p>
        </w:tc>
      </w:tr>
    </w:tbl>
    <w:p>
      <w:pPr>
        <w:spacing w:before="240" w:after="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D7A35" w:sz="2"/>
              <w:left w:val="single" w:color="3D7A35" w:sz="2"/>
              <w:bottom w:val="single" w:color="3D7A35" w:sz="2"/>
              <w:right w:val="single" w:color="3D7A35" w:sz="2"/>
            </w:tcBorders>
            <w:shd w:fill="2D5A27" w:val="clear"/>
            <w:tcMar>
              <w:top w:type="dxa" w:w="220"/>
              <w:left w:type="dxa" w:w="360"/>
              <w:bottom w:type="dxa" w:w="180"/>
              <w:right w:type="dxa" w:w="360"/>
            </w:tcMar>
          </w:tcPr>
          <w:p>
            <w:pPr>
              <w:spacing w:before="0" w:after="60"/>
              <w:jc w:val="center"/>
            </w:pPr>
            <w:r>
              <w:rPr>
                <w:rFonts w:ascii="Arial" w:cs="Arial" w:eastAsia="Arial" w:hAnsi="Arial"/>
                <w:b/>
                <w:bCs/>
                <w:color w:val="FFFFFF"/>
                <w:sz w:val="46"/>
                <w:szCs w:val="46"/>
              </w:rPr>
              <w:t xml:space="preserve">🌱  SECTION 2: GROWING THE MEDICINAL HERB GARDEN</w:t>
            </w:r>
          </w:p>
          <w:p>
            <w:pPr>
              <w:spacing w:before="0" w:after="0"/>
              <w:jc w:val="center"/>
            </w:pPr>
            <w:r>
              <w:rPr>
                <w:rFonts w:ascii="Arial" w:cs="Arial" w:eastAsia="Arial" w:hAnsi="Arial"/>
                <w:i/>
                <w:iCs/>
                <w:color w:val="F0F5EE"/>
                <w:sz w:val="24"/>
                <w:szCs w:val="24"/>
              </w:rPr>
              <w:t xml:space="preserve">Site selection, soil, design, and cultivation across all U.S. climates</w:t>
            </w:r>
          </w:p>
        </w:tc>
      </w:tr>
    </w:tbl>
    <w:p>
      <w:pPr>
        <w:spacing w:before="240" w:after="0"/>
      </w:pPr>
      <w:r>
        <w:t xml:space="preserve"/>
      </w:r>
    </w:p>
    <w:p>
      <w:pPr>
        <w:pStyle w:val="Heading1"/>
        <w:pBdr>
          <w:bottom w:val="single" w:color="2D5A27" w:sz="10" w:space="4"/>
        </w:pBdr>
        <w:spacing w:before="320" w:after="140"/>
      </w:pPr>
      <w:r>
        <w:rPr>
          <w:rFonts w:ascii="Arial" w:cs="Arial" w:eastAsia="Arial" w:hAnsi="Arial"/>
          <w:b/>
          <w:bCs/>
          <w:color w:val="2D5A27"/>
          <w:sz w:val="36"/>
          <w:szCs w:val="36"/>
        </w:rPr>
        <w:t xml:space="preserve">Designing and Growing Your Medicinal Herb Garden</w:t>
      </w:r>
    </w:p>
    <w:p>
      <w:pPr>
        <w:spacing w:before="70" w:after="70"/>
      </w:pPr>
      <w:r>
        <w:rPr>
          <w:rFonts w:ascii="Arial" w:cs="Arial" w:eastAsia="Arial" w:hAnsi="Arial"/>
          <w:color w:val="1A1A1A"/>
          <w:sz w:val="22"/>
          <w:szCs w:val="22"/>
        </w:rPr>
        <w:t xml:space="preserve">A medicinal herb garden can be as simple as three pots on a windowsill or as elaborate as a formal physic garden with dozens of species organized by medicinal application. The fundamentals of growing medicinal herbs successfully are not dramatically different from culinary herb growing — most medicinal plants are not difficult to grow and many thrive with minimal care once established.</w:t>
      </w:r>
    </w:p>
    <w:p>
      <w:pPr>
        <w:spacing w:before="70" w:after="70"/>
      </w:pPr>
      <w:r>
        <w:rPr>
          <w:rFonts w:ascii="Arial" w:cs="Arial" w:eastAsia="Arial" w:hAnsi="Arial"/>
          <w:color w:val="1A1A1A"/>
          <w:sz w:val="22"/>
          <w:szCs w:val="22"/>
        </w:rPr>
        <w:t xml:space="preserve">What distinguishes medicinal herb growing from purely culinary herb growing is attention to harvest timing and method. The concentration of active compounds in medicinal plants varies significantly by growth stage, time of day, season, and part of the plant. Understanding when and how to harvest for maximum medicinal quality is as important as knowing how to grow the plant itself.</w:t>
      </w:r>
    </w:p>
    <w:p>
      <w:pPr>
        <w:spacing w:before="160" w:after="0"/>
      </w:pPr>
      <w:r>
        <w:t xml:space="preserve"/>
      </w:r>
    </w:p>
    <w:p>
      <w:pPr>
        <w:pStyle w:val="Heading2"/>
        <w:spacing w:before="260" w:after="100"/>
      </w:pPr>
      <w:r>
        <w:rPr>
          <w:rFonts w:ascii="Arial" w:cs="Arial" w:eastAsia="Arial" w:hAnsi="Arial"/>
          <w:b/>
          <w:bCs/>
          <w:color w:val="1A6060"/>
          <w:sz w:val="28"/>
          <w:szCs w:val="28"/>
        </w:rPr>
        <w:t xml:space="preserve">Siting the Medicinal Herb Garden</w:t>
      </w:r>
    </w:p>
    <w:p>
      <w:pPr>
        <w:spacing w:before="70" w:after="70"/>
      </w:pPr>
      <w:r>
        <w:rPr>
          <w:rFonts w:ascii="Arial" w:cs="Arial" w:eastAsia="Arial" w:hAnsi="Arial"/>
          <w:color w:val="1A1A1A"/>
          <w:sz w:val="22"/>
          <w:szCs w:val="22"/>
        </w:rPr>
        <w:t xml:space="preserve">Most medicinal herbs originated in the Mediterranean region or in woodland and meadow habitats — which translates to the following growing preferences: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680"/>
        <w:gridCol w:w="2480"/>
        <w:gridCol w:w="2640"/>
      </w:tblGrid>
      <w:tr>
        <w:trPr>
          <w:tblHeader/>
        </w:trPr>
        <w:tc>
          <w:tcPr>
            <w:tcW w:type="dxa" w:w="1560"/>
            <w:tcBorders>
              <w:top w:val="single" w:color="3D7A35" w:sz="1"/>
              <w:left w:val="single" w:color="3D7A35" w:sz="1"/>
              <w:bottom w:val="single" w:color="3D7A35" w:sz="1"/>
              <w:right w:val="single" w:color="3D7A35" w:sz="1"/>
            </w:tcBorders>
            <w:shd w:fill="2D5A27"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Site Factor</w:t>
            </w:r>
          </w:p>
        </w:tc>
        <w:tc>
          <w:tcPr>
            <w:tcW w:type="dxa" w:w="2680"/>
            <w:tcBorders>
              <w:top w:val="single" w:color="3D7A35" w:sz="1"/>
              <w:left w:val="single" w:color="3D7A35" w:sz="1"/>
              <w:bottom w:val="single" w:color="3D7A35" w:sz="1"/>
              <w:right w:val="single" w:color="3D7A35" w:sz="1"/>
            </w:tcBorders>
            <w:shd w:fill="2D5A27"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Optimal Conditions</w:t>
            </w:r>
          </w:p>
        </w:tc>
        <w:tc>
          <w:tcPr>
            <w:tcW w:type="dxa" w:w="2480"/>
            <w:tcBorders>
              <w:top w:val="single" w:color="3D7A35" w:sz="1"/>
              <w:left w:val="single" w:color="3D7A35" w:sz="1"/>
              <w:bottom w:val="single" w:color="3D7A35" w:sz="1"/>
              <w:right w:val="single" w:color="3D7A35" w:sz="1"/>
            </w:tcBorders>
            <w:shd w:fill="2D5A27"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Acceptable Range</w:t>
            </w:r>
          </w:p>
        </w:tc>
        <w:tc>
          <w:tcPr>
            <w:tcW w:type="dxa" w:w="2640"/>
            <w:tcBorders>
              <w:top w:val="single" w:color="3D7A35" w:sz="1"/>
              <w:left w:val="single" w:color="3D7A35" w:sz="1"/>
              <w:bottom w:val="single" w:color="3D7A35" w:sz="1"/>
              <w:right w:val="single" w:color="3D7A35" w:sz="1"/>
            </w:tcBorders>
            <w:shd w:fill="2D5A27"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Problem Situations</w:t>
            </w:r>
          </w:p>
        </w:tc>
      </w:tr>
      <w:tr>
        <w:tc>
          <w:tcPr>
            <w:tcW w:type="dxa" w:w="15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Sunlight</w:t>
            </w:r>
          </w:p>
        </w:tc>
        <w:tc>
          <w:tcPr>
            <w:tcW w:type="dxa" w:w="26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Full sun (6+ hours direct) for most Mediterranean herbs (lavender, rosemary, thyme, sage, chamomile); partial shade (3–5 hours) for woodland herbs (goldenseal, black cohosh, wild ginger, Solomon's seal)</w:t>
            </w:r>
          </w:p>
        </w:tc>
        <w:tc>
          <w:tcPr>
            <w:tcW w:type="dxa" w:w="24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Most sun-lovers tolerate 4–5 hours; most shade-lovers can handle morning sun with afternoon shade</w:t>
            </w:r>
          </w:p>
        </w:tc>
        <w:tc>
          <w:tcPr>
            <w:tcW w:type="dxa" w:w="264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Deep shade produces weak, leggy plants with reduced essential oil content; harsh afternoon-only sun stresses shade-lovers</w:t>
            </w:r>
          </w:p>
        </w:tc>
      </w:tr>
      <w:tr>
        <w:tc>
          <w:tcPr>
            <w:tcW w:type="dxa" w:w="15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Soil drainage</w:t>
            </w:r>
          </w:p>
        </w:tc>
        <w:tc>
          <w:tcPr>
            <w:tcW w:type="dxa" w:w="26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Excellent drainage for Mediterranean herbs; consistently moist but well-drained for many woodland and meadow herbs; wet conditions for specialized herbs like skullcap, blue vervain, and marshmallow</w:t>
            </w:r>
          </w:p>
        </w:tc>
        <w:tc>
          <w:tcPr>
            <w:tcW w:type="dxa" w:w="24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Most herbs tolerate average garden drainage; poor drainage is the most common site failure</w:t>
            </w:r>
          </w:p>
        </w:tc>
        <w:tc>
          <w:tcPr>
            <w:tcW w:type="dxa" w:w="264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Waterlogged soil kills most medicinal herbs within weeks; raised beds solve drainage problems universally</w:t>
            </w:r>
          </w:p>
        </w:tc>
      </w:tr>
      <w:tr>
        <w:tc>
          <w:tcPr>
            <w:tcW w:type="dxa" w:w="15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Soil pH</w:t>
            </w:r>
          </w:p>
        </w:tc>
        <w:tc>
          <w:tcPr>
            <w:tcW w:type="dxa" w:w="26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6.0–7.0 for most herbs; lavender, rosemary, and thyme prefer 6.5–7.5; acid-loving plants like goldenseal prefer 5.5–6.5</w:t>
            </w:r>
          </w:p>
        </w:tc>
        <w:tc>
          <w:tcPr>
            <w:tcW w:type="dxa" w:w="24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Broad tolerance in the 5.5–7.5 range; extremes reduce nutrient availability and stress plants</w:t>
            </w:r>
          </w:p>
        </w:tc>
        <w:tc>
          <w:tcPr>
            <w:tcW w:type="dxa" w:w="264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Very alkaline soils (above 7.5) reduce iron availability; very acidic soils (below 5.0) are problematic for most herbs</w:t>
            </w:r>
          </w:p>
        </w:tc>
      </w:tr>
      <w:tr>
        <w:tc>
          <w:tcPr>
            <w:tcW w:type="dxa" w:w="15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Soil fertility</w:t>
            </w:r>
          </w:p>
        </w:tc>
        <w:tc>
          <w:tcPr>
            <w:tcW w:type="dxa" w:w="26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Moderate fertility — NOT excessively rich soil; overly fertile soil produces lush growth with lower essential oil content; Mediterranean herbs specifically prefer lean, well-drained soil</w:t>
            </w:r>
          </w:p>
        </w:tc>
        <w:tc>
          <w:tcPr>
            <w:tcW w:type="dxa" w:w="24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Add compost at planting for structure and micronutrients; avoid heavy fertilization</w:t>
            </w:r>
          </w:p>
        </w:tc>
        <w:tc>
          <w:tcPr>
            <w:tcW w:type="dxa" w:w="264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Overfertilized herbs produce beautiful-looking plants with dramatically reduced medicinal value; resist the temptation to fertilize heavily</w:t>
            </w:r>
          </w:p>
        </w:tc>
      </w:tr>
      <w:tr>
        <w:tc>
          <w:tcPr>
            <w:tcW w:type="dxa" w:w="15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Air circulation</w:t>
            </w:r>
          </w:p>
        </w:tc>
        <w:tc>
          <w:tcPr>
            <w:tcW w:type="dxa" w:w="26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Good airflow around plants reduces fungal disease pressure; lavender, chamomile, and echinacea are particularly prone to crown rot in still, humid air</w:t>
            </w:r>
          </w:p>
        </w:tc>
        <w:tc>
          <w:tcPr>
            <w:tcW w:type="dxa" w:w="24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Avoid planting in corners with no air movement</w:t>
            </w:r>
          </w:p>
        </w:tc>
        <w:tc>
          <w:tcPr>
            <w:tcW w:type="dxa" w:w="264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Still, humid microclimates promote powdery mildew, crown rot, and root rot — the primary disease problems in herb gardens</w:t>
            </w:r>
          </w:p>
        </w:tc>
      </w:tr>
    </w:tbl>
    <w:p>
      <w:pPr>
        <w:spacing w:before="200" w:after="0"/>
      </w:pPr>
      <w:r>
        <w:t xml:space="preserve"/>
      </w:r>
    </w:p>
    <w:p>
      <w:pPr>
        <w:pStyle w:val="Heading2"/>
        <w:spacing w:before="260" w:after="100"/>
      </w:pPr>
      <w:r>
        <w:rPr>
          <w:rFonts w:ascii="Arial" w:cs="Arial" w:eastAsia="Arial" w:hAnsi="Arial"/>
          <w:b/>
          <w:bCs/>
          <w:color w:val="1A6060"/>
          <w:sz w:val="28"/>
          <w:szCs w:val="28"/>
        </w:rPr>
        <w:t xml:space="preserve">Herb Garden Design by Space and Climate</w:t>
      </w:r>
    </w:p>
    <w:p>
      <w:pPr>
        <w:spacing w:before="70" w:after="70"/>
      </w:pPr>
      <w:r>
        <w:rPr>
          <w:rFonts w:ascii="Arial" w:cs="Arial" w:eastAsia="Arial" w:hAnsi="Arial"/>
          <w:color w:val="1A1A1A"/>
          <w:sz w:val="22"/>
          <w:szCs w:val="22"/>
        </w:rPr>
        <w:t xml:space="preserve">The traditional physic garden — a formal layout organizing herbs by medicinal use, enclosed by low hedges of boxwood or lavender — is beautiful but not necessary. Medicinal herbs can be grown in almost any configuration that meets their cultural requirements.</w:t>
      </w:r>
    </w:p>
    <w:p>
      <w:pPr>
        <w:spacing w:before="120" w:after="0"/>
      </w:pPr>
      <w:r>
        <w:t xml:space="preserve"/>
      </w:r>
    </w:p>
    <w:p>
      <w:pPr>
        <w:pStyle w:val="Heading3"/>
        <w:spacing w:before="180" w:after="70"/>
      </w:pPr>
      <w:r>
        <w:rPr>
          <w:rFonts w:ascii="Arial" w:cs="Arial" w:eastAsia="Arial" w:hAnsi="Arial"/>
          <w:b/>
          <w:bCs/>
          <w:color w:val="8C3A1A"/>
          <w:sz w:val="24"/>
          <w:szCs w:val="24"/>
        </w:rPr>
        <w:t xml:space="preserve">The Windowsill and Container Medicinal Garden</w:t>
      </w:r>
    </w:p>
    <w:p>
      <w:pPr>
        <w:spacing w:before="70" w:after="70"/>
      </w:pPr>
      <w:r>
        <w:rPr>
          <w:rFonts w:ascii="Arial" w:cs="Arial" w:eastAsia="Arial" w:hAnsi="Arial"/>
          <w:color w:val="1A1A1A"/>
          <w:sz w:val="22"/>
          <w:szCs w:val="22"/>
        </w:rPr>
        <w:t xml:space="preserve">For apartment dwellers, renters, or anyone with limited outdoor space, a surprisingly productive medicinal herb garden is possible in containers. The most medicinal-value-per-square-foot plants for container growing: chamomile (window box), peppermint (dedicated container — it spreads), lemon balm (large container), lavender (well-draining container in full sun), and basil and holy basil (tulsi) in warm months.</w:t>
      </w:r>
    </w:p>
    <w:p>
      <w:pPr>
        <w:pStyle w:val="ListParagraph"/>
        <w:numPr>
          <w:ilvl w:val="0"/>
          <w:numId w:val="3"/>
        </w:numPr>
        <w:spacing w:before="50" w:after="50"/>
      </w:pPr>
      <w:r>
        <w:rPr>
          <w:rFonts w:ascii="Arial" w:cs="Arial" w:eastAsia="Arial" w:hAnsi="Arial"/>
          <w:b/>
          <w:bCs/>
          <w:color w:val="1A1A1A"/>
          <w:sz w:val="22"/>
          <w:szCs w:val="22"/>
        </w:rPr>
        <w:t xml:space="preserve">Use containers 8–12 inches deep minimum for most herbs; 16+ inches for lemon balm and rosemary</w:t>
      </w:r>
    </w:p>
    <w:p>
      <w:pPr>
        <w:pStyle w:val="ListParagraph"/>
        <w:numPr>
          <w:ilvl w:val="0"/>
          <w:numId w:val="3"/>
        </w:numPr>
        <w:spacing w:before="50" w:after="50"/>
      </w:pPr>
      <w:r>
        <w:rPr>
          <w:rFonts w:ascii="Arial" w:cs="Arial" w:eastAsia="Arial" w:hAnsi="Arial"/>
          <w:b w:val="false"/>
          <w:bCs w:val="false"/>
          <w:color w:val="1A1A1A"/>
          <w:sz w:val="22"/>
          <w:szCs w:val="22"/>
        </w:rPr>
        <w:t xml:space="preserve">Ensure every container has drainage holes — no exceptions</w:t>
      </w:r>
    </w:p>
    <w:p>
      <w:pPr>
        <w:pStyle w:val="ListParagraph"/>
        <w:numPr>
          <w:ilvl w:val="0"/>
          <w:numId w:val="3"/>
        </w:numPr>
        <w:spacing w:before="50" w:after="50"/>
      </w:pPr>
      <w:r>
        <w:rPr>
          <w:rFonts w:ascii="Arial" w:cs="Arial" w:eastAsia="Arial" w:hAnsi="Arial"/>
          <w:b w:val="false"/>
          <w:bCs w:val="false"/>
          <w:color w:val="1A1A1A"/>
          <w:sz w:val="22"/>
          <w:szCs w:val="22"/>
        </w:rPr>
        <w:t xml:space="preserve">A 1:1 mix of quality potting mix and perlite serves most medicinal herbs well</w:t>
      </w:r>
    </w:p>
    <w:p>
      <w:pPr>
        <w:pStyle w:val="ListParagraph"/>
        <w:numPr>
          <w:ilvl w:val="0"/>
          <w:numId w:val="3"/>
        </w:numPr>
        <w:spacing w:before="50" w:after="50"/>
      </w:pPr>
      <w:r>
        <w:rPr>
          <w:rFonts w:ascii="Arial" w:cs="Arial" w:eastAsia="Arial" w:hAnsi="Arial"/>
          <w:b w:val="false"/>
          <w:bCs w:val="false"/>
          <w:color w:val="1A1A1A"/>
          <w:sz w:val="22"/>
          <w:szCs w:val="22"/>
        </w:rPr>
        <w:t xml:space="preserve">Grow lights (full spectrum LED, 14–16 hours daily) allow year-round production in northern climates</w:t>
      </w:r>
    </w:p>
    <w:p>
      <w:pPr>
        <w:spacing w:before="120" w:after="0"/>
      </w:pPr>
      <w:r>
        <w:t xml:space="preserve"/>
      </w:r>
    </w:p>
    <w:p>
      <w:pPr>
        <w:pStyle w:val="Heading3"/>
        <w:spacing w:before="180" w:after="70"/>
      </w:pPr>
      <w:r>
        <w:rPr>
          <w:rFonts w:ascii="Arial" w:cs="Arial" w:eastAsia="Arial" w:hAnsi="Arial"/>
          <w:b/>
          <w:bCs/>
          <w:color w:val="8C3A1A"/>
          <w:sz w:val="24"/>
          <w:szCs w:val="24"/>
        </w:rPr>
        <w:t xml:space="preserve">The Dedicated Raised Bed Medicinal Garden</w:t>
      </w:r>
    </w:p>
    <w:p>
      <w:pPr>
        <w:spacing w:before="70" w:after="70"/>
      </w:pPr>
      <w:r>
        <w:rPr>
          <w:rFonts w:ascii="Arial" w:cs="Arial" w:eastAsia="Arial" w:hAnsi="Arial"/>
          <w:color w:val="1A1A1A"/>
          <w:sz w:val="22"/>
          <w:szCs w:val="22"/>
        </w:rPr>
        <w:t xml:space="preserve">A 4x8 foot raised bed filled with a well-draining mix (50% quality topsoil, 30% compost, 20% coarse sand) is the most productive format for a beginner medicinal herb garden. It provides controlled soil conditions, excellent drainage, and manageable weed pressure while accommodating 8–12 different medicinal herbs at productive densities.</w:t>
      </w:r>
    </w:p>
    <w:p>
      <w:pPr>
        <w:spacing w:before="80" w:after="0"/>
      </w:pPr>
      <w:r>
        <w:t xml:space="preserve"/>
      </w:r>
    </w:p>
    <w:p>
      <w:pPr>
        <w:pStyle w:val="Heading3"/>
        <w:spacing w:before="180" w:after="70"/>
      </w:pPr>
      <w:r>
        <w:rPr>
          <w:rFonts w:ascii="Arial" w:cs="Arial" w:eastAsia="Arial" w:hAnsi="Arial"/>
          <w:b/>
          <w:bCs/>
          <w:color w:val="8C3A1A"/>
          <w:sz w:val="24"/>
          <w:szCs w:val="24"/>
        </w:rPr>
        <w:t xml:space="preserve">The Integrated Garden Approach</w:t>
      </w:r>
    </w:p>
    <w:p>
      <w:pPr>
        <w:spacing w:before="70" w:after="70"/>
      </w:pPr>
      <w:r>
        <w:rPr>
          <w:rFonts w:ascii="Arial" w:cs="Arial" w:eastAsia="Arial" w:hAnsi="Arial"/>
          <w:color w:val="1A1A1A"/>
          <w:sz w:val="22"/>
          <w:szCs w:val="22"/>
        </w:rPr>
        <w:t xml:space="preserve">Medicinal herbs need not be segregated into their own dedicated bed. Many medicinal herbs are beautiful enough for ornamental border planting — lavender, echinacea, calendula, black-eyed Susan, and yarrow are excellent perennial border plants that are also medicinally useful. This integration approach allows a much larger medicinal plant collection without dedicating specialized space.</w:t>
      </w:r>
    </w:p>
    <w:p>
      <w:pPr>
        <w:spacing w:before="160" w:after="0"/>
      </w:pPr>
      <w:r>
        <w:t xml:space="preserve"/>
      </w:r>
    </w:p>
    <w:p>
      <w:pPr>
        <w:pStyle w:val="Heading2"/>
        <w:spacing w:before="260" w:after="100"/>
      </w:pPr>
      <w:r>
        <w:rPr>
          <w:rFonts w:ascii="Arial" w:cs="Arial" w:eastAsia="Arial" w:hAnsi="Arial"/>
          <w:b/>
          <w:bCs/>
          <w:color w:val="1A6060"/>
          <w:sz w:val="28"/>
          <w:szCs w:val="28"/>
        </w:rPr>
        <w:t xml:space="preserve">Medicinal Herb Growing Across U.S. Climates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80"/>
        <w:gridCol w:w="2000"/>
        <w:gridCol w:w="2000"/>
        <w:gridCol w:w="2000"/>
        <w:gridCol w:w="1880"/>
      </w:tblGrid>
      <w:tr>
        <w:trPr>
          <w:tblHeader/>
        </w:trPr>
        <w:tc>
          <w:tcPr>
            <w:tcW w:type="dxa" w:w="1480"/>
            <w:tcBorders>
              <w:top w:val="single" w:color="3D7A35" w:sz="1"/>
              <w:left w:val="single" w:color="3D7A35" w:sz="1"/>
              <w:bottom w:val="single" w:color="3D7A35" w:sz="1"/>
              <w:right w:val="single" w:color="3D7A35" w:sz="1"/>
            </w:tcBorders>
            <w:shd w:fill="2D5A27"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Region / Zone</w:t>
            </w:r>
          </w:p>
        </w:tc>
        <w:tc>
          <w:tcPr>
            <w:tcW w:type="dxa" w:w="2000"/>
            <w:tcBorders>
              <w:top w:val="single" w:color="3D7A35" w:sz="1"/>
              <w:left w:val="single" w:color="3D7A35" w:sz="1"/>
              <w:bottom w:val="single" w:color="3D7A35" w:sz="1"/>
              <w:right w:val="single" w:color="3D7A35" w:sz="1"/>
            </w:tcBorders>
            <w:shd w:fill="2D5A27"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Opportunities</w:t>
            </w:r>
          </w:p>
        </w:tc>
        <w:tc>
          <w:tcPr>
            <w:tcW w:type="dxa" w:w="2000"/>
            <w:tcBorders>
              <w:top w:val="single" w:color="3D7A35" w:sz="1"/>
              <w:left w:val="single" w:color="3D7A35" w:sz="1"/>
              <w:bottom w:val="single" w:color="3D7A35" w:sz="1"/>
              <w:right w:val="single" w:color="3D7A35" w:sz="1"/>
            </w:tcBorders>
            <w:shd w:fill="2D5A27"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Challenges</w:t>
            </w:r>
          </w:p>
        </w:tc>
        <w:tc>
          <w:tcPr>
            <w:tcW w:type="dxa" w:w="2000"/>
            <w:tcBorders>
              <w:top w:val="single" w:color="3D7A35" w:sz="1"/>
              <w:left w:val="single" w:color="3D7A35" w:sz="1"/>
              <w:bottom w:val="single" w:color="3D7A35" w:sz="1"/>
              <w:right w:val="single" w:color="3D7A35" w:sz="1"/>
            </w:tcBorders>
            <w:shd w:fill="2D5A27"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Best Approach</w:t>
            </w:r>
          </w:p>
        </w:tc>
        <w:tc>
          <w:tcPr>
            <w:tcW w:type="dxa" w:w="1880"/>
            <w:tcBorders>
              <w:top w:val="single" w:color="3D7A35" w:sz="1"/>
              <w:left w:val="single" w:color="3D7A35" w:sz="1"/>
              <w:bottom w:val="single" w:color="3D7A35" w:sz="1"/>
              <w:right w:val="single" w:color="3D7A35" w:sz="1"/>
            </w:tcBorders>
            <w:shd w:fill="2D5A27"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Regional Stars</w:t>
            </w:r>
          </w:p>
        </w:tc>
      </w:tr>
      <w:tr>
        <w:tc>
          <w:tcPr>
            <w:tcW w:type="dxa" w:w="14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Pacific Northwest
(Zones 7–9, western)</w:t>
            </w:r>
          </w:p>
        </w:tc>
        <w:tc>
          <w:tcPr>
            <w:tcW w:type="dxa" w:w="20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Mild temperatures; consistent moisture; long growing season; excellent for most temperate herbs</w:t>
            </w:r>
          </w:p>
        </w:tc>
        <w:tc>
          <w:tcPr>
            <w:tcW w:type="dxa" w:w="20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Wet winters cause root rot in Mediterranean herbs; overcast winters reduce light for windowsill growing; slugs on tender plants</w:t>
            </w:r>
          </w:p>
        </w:tc>
        <w:tc>
          <w:tcPr>
            <w:tcW w:type="dxa" w:w="20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Raised beds with excellent drainage; gravel mulch around Mediterranean herbs; covered winter protection for lavender and rosemary in northern areas</w:t>
            </w:r>
          </w:p>
        </w:tc>
        <w:tc>
          <w:tcPr>
            <w:tcW w:type="dxa" w:w="18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Elderberry (native); California poppy; valerian; skullcap; lemon balm</w:t>
            </w:r>
          </w:p>
        </w:tc>
      </w:tr>
      <w:tr>
        <w:tc>
          <w:tcPr>
            <w:tcW w:type="dxa" w:w="14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California
(Zones 8–11)</w:t>
            </w:r>
          </w:p>
        </w:tc>
        <w:tc>
          <w:tcPr>
            <w:tcW w:type="dxa" w:w="20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Warm dry summers ideal for Mediterranean herbs; mild winters allow year-round growing; drought-adapted herbs need minimal irrigation after establishment</w:t>
            </w:r>
          </w:p>
        </w:tc>
        <w:tc>
          <w:tcPr>
            <w:tcW w:type="dxa" w:w="20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Summer drought stresses moisture-loving herbs without irrigation; fire-prone areas limit flammable aromatic herbs near structures</w:t>
            </w:r>
          </w:p>
        </w:tc>
        <w:tc>
          <w:tcPr>
            <w:tcW w:type="dxa" w:w="20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Drip irrigation; mulch heavily; plant California natives (California poppy, yerba santa) alongside Mediterranean and culinary herbs</w:t>
            </w:r>
          </w:p>
        </w:tc>
        <w:tc>
          <w:tcPr>
            <w:tcW w:type="dxa" w:w="18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Lavender; rosemary; California poppy; sage (Salvia apiana native); elderberry</w:t>
            </w:r>
          </w:p>
        </w:tc>
      </w:tr>
      <w:tr>
        <w:tc>
          <w:tcPr>
            <w:tcW w:type="dxa" w:w="14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Desert Southwest
(Zones 7–11)</w:t>
            </w:r>
          </w:p>
        </w:tc>
        <w:tc>
          <w:tcPr>
            <w:tcW w:type="dxa" w:w="20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Alkaline soils benefit some herbs; warm season long; monsoon rains can be harnessed; excellent for heat-adapted herbs</w:t>
            </w:r>
          </w:p>
        </w:tc>
        <w:tc>
          <w:tcPr>
            <w:tcW w:type="dxa" w:w="20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Extreme summer heat damages many temperate herbs; alkaline soil limits acid-preferring plants; intense UV; limited water</w:t>
            </w:r>
          </w:p>
        </w:tc>
        <w:tc>
          <w:tcPr>
            <w:tcW w:type="dxa" w:w="20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Morning sun / afternoon shade positioning; desert-adapted herbs (desert lavender, Mormon tea, palo verde); deep mulching; shade structures for vulnerable herbs in summer</w:t>
            </w:r>
          </w:p>
        </w:tc>
        <w:tc>
          <w:tcPr>
            <w:tcW w:type="dxa" w:w="18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Aloe vera; holy basil; rosemary; oregano; Mexican oregano; desert lavender</w:t>
            </w:r>
          </w:p>
        </w:tc>
      </w:tr>
      <w:tr>
        <w:tc>
          <w:tcPr>
            <w:tcW w:type="dxa" w:w="14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Mountain West
(Zones 4–7)</w:t>
            </w:r>
          </w:p>
        </w:tc>
        <w:tc>
          <w:tcPr>
            <w:tcW w:type="dxa" w:w="20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Cool summers ideal for many herbs; less humidity means fewer disease problems; intense sunshine increases essential oil content; excellent soil mineral diversity</w:t>
            </w:r>
          </w:p>
        </w:tc>
        <w:tc>
          <w:tcPr>
            <w:tcW w:type="dxa" w:w="20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Short growing season limits tender annuals; cold winters kill many zone-marginal plants; intense UV at altitude; hail risk</w:t>
            </w:r>
          </w:p>
        </w:tc>
        <w:tc>
          <w:tcPr>
            <w:tcW w:type="dxa" w:w="20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Cold-hardy herbs as perennial backbone; protect Zone 7 marginally hardy plants in Zone 5–6; extend season with row covers; choose cold-hardy cultivars</w:t>
            </w:r>
          </w:p>
        </w:tc>
        <w:tc>
          <w:tcPr>
            <w:tcW w:type="dxa" w:w="18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Echinacea; yarrow; elderberry; valerian; lemon balm; mint family</w:t>
            </w:r>
          </w:p>
        </w:tc>
      </w:tr>
      <w:tr>
        <w:tc>
          <w:tcPr>
            <w:tcW w:type="dxa" w:w="14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Great Plains
(Zones 4–7)</w:t>
            </w:r>
          </w:p>
        </w:tc>
        <w:tc>
          <w:tcPr>
            <w:tcW w:type="dxa" w:w="20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Prairie natives are superb medicinal herbs adapted to local conditions; good summer heat; adequate moisture in eastern plains</w:t>
            </w:r>
          </w:p>
        </w:tc>
        <w:tc>
          <w:tcPr>
            <w:tcW w:type="dxa" w:w="20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Wind desiccates many herbs; wide temperature swings; western plains drought; alkaline soils in the west; few nursery sources for native medicinals</w:t>
            </w:r>
          </w:p>
        </w:tc>
        <w:tc>
          <w:tcPr>
            <w:tcW w:type="dxa" w:w="20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Focus on native prairie medicinals (echinacea, black-eyed Susan, wild bergamot); windbreaks for tender herbs; drip irrigation in drier areas</w:t>
            </w:r>
          </w:p>
        </w:tc>
        <w:tc>
          <w:tcPr>
            <w:tcW w:type="dxa" w:w="18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Purple coneflower/echinacea; black-eyed Susan; wild bergamot; elderberry; yarrow</w:t>
            </w:r>
          </w:p>
        </w:tc>
      </w:tr>
      <w:tr>
        <w:tc>
          <w:tcPr>
            <w:tcW w:type="dxa" w:w="14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Midwest &amp; Great Lakes
(Zones 4–7)</w:t>
            </w:r>
          </w:p>
        </w:tc>
        <w:tc>
          <w:tcPr>
            <w:tcW w:type="dxa" w:w="20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Four distinct seasons support a wide range of medicinal herbs; excellent summer growing conditions; rich soils; abundant moisture in most years</w:t>
            </w:r>
          </w:p>
        </w:tc>
        <w:tc>
          <w:tcPr>
            <w:tcW w:type="dxa" w:w="20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Cold winters require winter protection for zone-marginal herbs; humid summers increase fungal disease pressure</w:t>
            </w:r>
          </w:p>
        </w:tc>
        <w:tc>
          <w:tcPr>
            <w:tcW w:type="dxa" w:w="20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Most medicinal herbs grow excellently; focus on good air circulation to reduce fungal issues; winter mulch for marginally hardy perennials</w:t>
            </w:r>
          </w:p>
        </w:tc>
        <w:tc>
          <w:tcPr>
            <w:tcW w:type="dxa" w:w="18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Echinacea; elderberry; goldenseal (shade garden); valerian; St. John's Wort; black cohosh</w:t>
            </w:r>
          </w:p>
        </w:tc>
      </w:tr>
      <w:tr>
        <w:tc>
          <w:tcPr>
            <w:tcW w:type="dxa" w:w="14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Mid-Atlantic &amp; Southeast
(Zones 6–9)</w:t>
            </w:r>
          </w:p>
        </w:tc>
        <w:tc>
          <w:tcPr>
            <w:tcW w:type="dxa" w:w="20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Long growing season; mild winters allow some herbs to overwinter as perennials; humid summers favor moisture-loving herbs</w:t>
            </w:r>
          </w:p>
        </w:tc>
        <w:tc>
          <w:tcPr>
            <w:tcW w:type="dxa" w:w="20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High humidity favors fungal diseases; heat and humidity stress Mediterranean herbs in midsummer; fire ant and pest pressure in southern areas</w:t>
            </w:r>
          </w:p>
        </w:tc>
        <w:tc>
          <w:tcPr>
            <w:tcW w:type="dxa" w:w="20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Emphasize heat-tolerant and moisture-loving herbs; provide afternoon shade for European herbs in Zone 8+; excellent drainage critical</w:t>
            </w:r>
          </w:p>
        </w:tc>
        <w:tc>
          <w:tcPr>
            <w:tcW w:type="dxa" w:w="18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Lemon balm; holy basil; passionflower; elderberry; tulsi; skullcap; St. John's Wort</w:t>
            </w:r>
          </w:p>
        </w:tc>
      </w:tr>
      <w:tr>
        <w:tc>
          <w:tcPr>
            <w:tcW w:type="dxa" w:w="14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New England &amp; Northeast
(Zones 4–6)</w:t>
            </w:r>
          </w:p>
        </w:tc>
        <w:tc>
          <w:tcPr>
            <w:tcW w:type="dxa" w:w="20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Cool temperatures produce excellent essential oil development in many herbs; adequate moisture; good soil for woodland medicinals</w:t>
            </w:r>
          </w:p>
        </w:tc>
        <w:tc>
          <w:tcPr>
            <w:tcW w:type="dxa" w:w="20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Short growing season for tender annuals; cold winters kill marginal species; late spring frosts delay planting</w:t>
            </w:r>
          </w:p>
        </w:tc>
        <w:tc>
          <w:tcPr>
            <w:tcW w:type="dxa" w:w="20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Start annuals indoors 6–8 weeks before last frost; focus on cold-hardy perennial herbs; protect marginally hardy herbs with heavy mulch</w:t>
            </w:r>
          </w:p>
        </w:tc>
        <w:tc>
          <w:tcPr>
            <w:tcW w:type="dxa" w:w="18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Echinacea; yarrow; valerian; lemon balm; elderberry; goldenseal (shade); boneset; wild bergamot</w:t>
            </w:r>
          </w:p>
        </w:tc>
      </w:tr>
    </w:tbl>
    <w:p>
      <w:pPr>
        <w:spacing w:before="200" w:after="0"/>
      </w:pPr>
      <w:r>
        <w:t xml:space="preserve"/>
      </w:r>
    </w:p>
    <w:p>
      <w:pPr>
        <w:pStyle w:val="Heading2"/>
        <w:spacing w:before="260" w:after="100"/>
      </w:pPr>
      <w:r>
        <w:rPr>
          <w:rFonts w:ascii="Arial" w:cs="Arial" w:eastAsia="Arial" w:hAnsi="Arial"/>
          <w:b/>
          <w:bCs/>
          <w:color w:val="1A6060"/>
          <w:sz w:val="28"/>
          <w:szCs w:val="28"/>
        </w:rPr>
        <w:t xml:space="preserve">Soil Preparation for Medicinal Herbs</w:t>
      </w:r>
    </w:p>
    <w:p>
      <w:pPr>
        <w:spacing w:before="70" w:after="70"/>
      </w:pPr>
      <w:r>
        <w:rPr>
          <w:rFonts w:ascii="Arial" w:cs="Arial" w:eastAsia="Arial" w:hAnsi="Arial"/>
          <w:color w:val="1A1A1A"/>
          <w:sz w:val="22"/>
          <w:szCs w:val="22"/>
        </w:rPr>
        <w:t xml:space="preserve">Soil preparation for medicinal herbs differs from vegetable garden preparation in one important way: do not overfertilize. Many medicinal plants — especially the Mediterranean aromatics (lavender, thyme, oregano, rosemary, sage) — produce their highest essential oil content when grown in lean, well-drained soil with modest fertility. Pampering these herbs with rich garden soil produces beautiful, lush plants that smell less and heal less.</w:t>
      </w:r>
    </w:p>
    <w:p>
      <w:pPr>
        <w:spacing w:before="120" w:after="0"/>
      </w:pPr>
      <w:r>
        <w:t xml:space="preserve"/>
      </w:r>
    </w:p>
    <w:p>
      <w:pPr>
        <w:pStyle w:val="ListParagraph"/>
        <w:numPr>
          <w:ilvl w:val="0"/>
          <w:numId w:val="3"/>
        </w:numPr>
        <w:spacing w:before="50" w:after="50"/>
      </w:pPr>
      <w:r>
        <w:rPr>
          <w:rFonts w:ascii="Arial" w:cs="Arial" w:eastAsia="Arial" w:hAnsi="Arial"/>
          <w:b/>
          <w:bCs/>
          <w:color w:val="1A1A1A"/>
          <w:sz w:val="22"/>
          <w:szCs w:val="22"/>
        </w:rPr>
        <w:t xml:space="preserve">For Mediterranean herbs (lavender, thyme, oregano, rosemary, sage): Add coarse sand or pea gravel to improve drainage; avoid heavy compost additions; pH 6.5–7.5; no high-nitrogen fertilizers</w:t>
      </w:r>
    </w:p>
    <w:p>
      <w:pPr>
        <w:pStyle w:val="ListParagraph"/>
        <w:numPr>
          <w:ilvl w:val="0"/>
          <w:numId w:val="3"/>
        </w:numPr>
        <w:spacing w:before="50" w:after="50"/>
      </w:pPr>
      <w:r>
        <w:rPr>
          <w:rFonts w:ascii="Arial" w:cs="Arial" w:eastAsia="Arial" w:hAnsi="Arial"/>
          <w:b w:val="false"/>
          <w:bCs w:val="false"/>
          <w:color w:val="1A1A1A"/>
          <w:sz w:val="22"/>
          <w:szCs w:val="22"/>
        </w:rPr>
        <w:t xml:space="preserve">For woodland herbs (goldenseal, black cohosh, Solomon's seal, wild ginger): Incorporate leaf mold and compost generously; acidic pH 5.5–6.5; consistently moist but well-draining; dappled shade</w:t>
      </w:r>
    </w:p>
    <w:p>
      <w:pPr>
        <w:pStyle w:val="ListParagraph"/>
        <w:numPr>
          <w:ilvl w:val="0"/>
          <w:numId w:val="3"/>
        </w:numPr>
        <w:spacing w:before="50" w:after="50"/>
      </w:pPr>
      <w:r>
        <w:rPr>
          <w:rFonts w:ascii="Arial" w:cs="Arial" w:eastAsia="Arial" w:hAnsi="Arial"/>
          <w:b w:val="false"/>
          <w:bCs w:val="false"/>
          <w:color w:val="1A1A1A"/>
          <w:sz w:val="22"/>
          <w:szCs w:val="22"/>
        </w:rPr>
        <w:t xml:space="preserve">For meadow and prairie herbs (echinacea, yarrow, black-eyed Susan, wild bergamot): Average garden soil with good drainage; moderate compost; these are native prairie plants that do not need rich soil</w:t>
      </w:r>
    </w:p>
    <w:p>
      <w:pPr>
        <w:pStyle w:val="ListParagraph"/>
        <w:numPr>
          <w:ilvl w:val="0"/>
          <w:numId w:val="3"/>
        </w:numPr>
        <w:spacing w:before="50" w:after="50"/>
      </w:pPr>
      <w:r>
        <w:rPr>
          <w:rFonts w:ascii="Arial" w:cs="Arial" w:eastAsia="Arial" w:hAnsi="Arial"/>
          <w:b w:val="false"/>
          <w:bCs w:val="false"/>
          <w:color w:val="1A1A1A"/>
          <w:sz w:val="22"/>
          <w:szCs w:val="22"/>
        </w:rPr>
        <w:t xml:space="preserve">For moisture-loving herbs (skullcap, blue vervain, marshmallow, meadowsweet): Rich, consistently moist soil; compost heavily; will tolerate heavy soils better than most herbs</w:t>
      </w:r>
    </w:p>
    <w:p>
      <w:pPr>
        <w:pStyle w:val="ListParagraph"/>
        <w:numPr>
          <w:ilvl w:val="0"/>
          <w:numId w:val="3"/>
        </w:numPr>
        <w:spacing w:before="50" w:after="50"/>
      </w:pPr>
      <w:r>
        <w:rPr>
          <w:rFonts w:ascii="Arial" w:cs="Arial" w:eastAsia="Arial" w:hAnsi="Arial"/>
          <w:b w:val="false"/>
          <w:bCs w:val="false"/>
          <w:color w:val="1A1A1A"/>
          <w:sz w:val="22"/>
          <w:szCs w:val="22"/>
        </w:rPr>
        <w:t xml:space="preserve">Universal principle: Excellent drainage is more important than fertility for most medicinal herbs; a raised bed prevents the waterlogging that kills more medicinal herbs than any other single cause</w:t>
      </w:r>
    </w:p>
    <w:p>
      <w:pPr>
        <w:spacing w:before="240" w:after="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07010" w:sz="2"/>
              <w:left w:val="single" w:color="A07010" w:sz="2"/>
              <w:bottom w:val="single" w:color="A07010" w:sz="2"/>
              <w:right w:val="single" w:color="A07010" w:sz="2"/>
            </w:tcBorders>
            <w:shd w:fill="A07010" w:val="clear"/>
            <w:tcMar>
              <w:top w:type="dxa" w:w="220"/>
              <w:left w:type="dxa" w:w="360"/>
              <w:bottom w:type="dxa" w:w="180"/>
              <w:right w:type="dxa" w:w="360"/>
            </w:tcMar>
          </w:tcPr>
          <w:p>
            <w:pPr>
              <w:spacing w:before="0" w:after="60"/>
              <w:jc w:val="center"/>
            </w:pPr>
            <w:r>
              <w:rPr>
                <w:rFonts w:ascii="Arial" w:cs="Arial" w:eastAsia="Arial" w:hAnsi="Arial"/>
                <w:b/>
                <w:bCs/>
                <w:color w:val="FFFFFF"/>
                <w:sz w:val="46"/>
                <w:szCs w:val="46"/>
              </w:rPr>
              <w:t xml:space="preserve">🌾  SECTION 3: HARVESTING, DRYING &amp; PRESERVATION</w:t>
            </w:r>
          </w:p>
          <w:p>
            <w:pPr>
              <w:spacing w:before="0" w:after="0"/>
              <w:jc w:val="center"/>
            </w:pPr>
            <w:r>
              <w:rPr>
                <w:rFonts w:ascii="Arial" w:cs="Arial" w:eastAsia="Arial" w:hAnsi="Arial"/>
                <w:i/>
                <w:iCs/>
                <w:color w:val="F0F5EE"/>
                <w:sz w:val="24"/>
                <w:szCs w:val="24"/>
              </w:rPr>
              <w:t xml:space="preserve">Capturing peak medicinal quality — when, how, and by which method</w:t>
            </w:r>
          </w:p>
        </w:tc>
      </w:tr>
    </w:tbl>
    <w:p>
      <w:pPr>
        <w:spacing w:before="240" w:after="0"/>
      </w:pPr>
      <w:r>
        <w:t xml:space="preserve"/>
      </w:r>
    </w:p>
    <w:p>
      <w:pPr>
        <w:pStyle w:val="Heading1"/>
        <w:pBdr>
          <w:bottom w:val="single" w:color="2D5A27" w:sz="10" w:space="4"/>
        </w:pBdr>
        <w:spacing w:before="320" w:after="140"/>
      </w:pPr>
      <w:r>
        <w:rPr>
          <w:rFonts w:ascii="Arial" w:cs="Arial" w:eastAsia="Arial" w:hAnsi="Arial"/>
          <w:b/>
          <w:bCs/>
          <w:color w:val="2D5A27"/>
          <w:sz w:val="36"/>
          <w:szCs w:val="36"/>
        </w:rPr>
        <w:t xml:space="preserve">Harvesting Medicinal Herbs at Peak Potency</w:t>
      </w:r>
    </w:p>
    <w:p>
      <w:pPr>
        <w:spacing w:before="70" w:after="70"/>
      </w:pPr>
      <w:r>
        <w:rPr>
          <w:rFonts w:ascii="Arial" w:cs="Arial" w:eastAsia="Arial" w:hAnsi="Arial"/>
          <w:color w:val="1A1A1A"/>
          <w:sz w:val="22"/>
          <w:szCs w:val="22"/>
        </w:rPr>
        <w:t xml:space="preserve">Harvesting at the right time is the most underappreciated aspect of home herbalism. The same plant harvested at peak potency versus off-peak can have dramatically different concentrations of active compounds — differences that can exceed 50% in studies of timed harvesting. Getting this right means the difference between herbs with real medicinal value and herbs that are essentially dried plant material.</w:t>
      </w:r>
    </w:p>
    <w:p>
      <w:pPr>
        <w:spacing w:before="160" w:after="0"/>
      </w:pPr>
      <w:r>
        <w:t xml:space="preserve"/>
      </w:r>
    </w:p>
    <w:p>
      <w:pPr>
        <w:pStyle w:val="Heading2"/>
        <w:spacing w:before="260" w:after="100"/>
      </w:pPr>
      <w:r>
        <w:rPr>
          <w:rFonts w:ascii="Arial" w:cs="Arial" w:eastAsia="Arial" w:hAnsi="Arial"/>
          <w:b/>
          <w:bCs/>
          <w:color w:val="1A6060"/>
          <w:sz w:val="28"/>
          <w:szCs w:val="28"/>
        </w:rPr>
        <w:t xml:space="preserve">The General Rules of Medicinal Harvesting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960"/>
      </w:tblGrid>
      <w:tr>
        <w:trPr>
          <w:tblHeader/>
        </w:trPr>
        <w:tc>
          <w:tcPr>
            <w:tcW w:type="dxa" w:w="1600"/>
            <w:tcBorders>
              <w:top w:val="single" w:color="A07010" w:sz="1"/>
              <w:left w:val="single" w:color="A07010" w:sz="1"/>
              <w:bottom w:val="single" w:color="A07010" w:sz="1"/>
              <w:right w:val="single" w:color="A07010" w:sz="1"/>
            </w:tcBorders>
            <w:shd w:fill="A07010"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Plant Part</w:t>
            </w:r>
          </w:p>
        </w:tc>
        <w:tc>
          <w:tcPr>
            <w:tcW w:type="dxa" w:w="2400"/>
            <w:tcBorders>
              <w:top w:val="single" w:color="A07010" w:sz="1"/>
              <w:left w:val="single" w:color="A07010" w:sz="1"/>
              <w:bottom w:val="single" w:color="A07010" w:sz="1"/>
              <w:right w:val="single" w:color="A07010" w:sz="1"/>
            </w:tcBorders>
            <w:shd w:fill="A07010"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Best Time to Harvest</w:t>
            </w:r>
          </w:p>
        </w:tc>
        <w:tc>
          <w:tcPr>
            <w:tcW w:type="dxa" w:w="2400"/>
            <w:tcBorders>
              <w:top w:val="single" w:color="A07010" w:sz="1"/>
              <w:left w:val="single" w:color="A07010" w:sz="1"/>
              <w:bottom w:val="single" w:color="A07010" w:sz="1"/>
              <w:right w:val="single" w:color="A07010" w:sz="1"/>
            </w:tcBorders>
            <w:shd w:fill="A07010"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Indicators of Peak Potency</w:t>
            </w:r>
          </w:p>
        </w:tc>
        <w:tc>
          <w:tcPr>
            <w:tcW w:type="dxa" w:w="2960"/>
            <w:tcBorders>
              <w:top w:val="single" w:color="A07010" w:sz="1"/>
              <w:left w:val="single" w:color="A07010" w:sz="1"/>
              <w:bottom w:val="single" w:color="A07010" w:sz="1"/>
              <w:right w:val="single" w:color="A07010" w:sz="1"/>
            </w:tcBorders>
            <w:shd w:fill="A07010"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Practical Method</w:t>
            </w:r>
          </w:p>
        </w:tc>
      </w:tr>
      <w:tr>
        <w:tc>
          <w:tcPr>
            <w:tcW w:type="dxa" w:w="1600"/>
            <w:tcBorders>
              <w:top w:val="single" w:color="A07010" w:sz="1"/>
              <w:left w:val="single" w:color="A07010" w:sz="1"/>
              <w:bottom w:val="single" w:color="A07010" w:sz="1"/>
              <w:right w:val="single" w:color="A0701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Aerial parts
(leaves, stems, flowers together)</w:t>
            </w:r>
          </w:p>
        </w:tc>
        <w:tc>
          <w:tcPr>
            <w:tcW w:type="dxa" w:w="2400"/>
            <w:tcBorders>
              <w:top w:val="single" w:color="A07010" w:sz="1"/>
              <w:left w:val="single" w:color="A07010" w:sz="1"/>
              <w:bottom w:val="single" w:color="A07010" w:sz="1"/>
              <w:right w:val="single" w:color="A0701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Just before or during early bloom, when the plant has reached full vegetative development but has not yet committed its energy to seed production</w:t>
            </w:r>
          </w:p>
        </w:tc>
        <w:tc>
          <w:tcPr>
            <w:tcW w:type="dxa" w:w="2400"/>
            <w:tcBorders>
              <w:top w:val="single" w:color="A07010" w:sz="1"/>
              <w:left w:val="single" w:color="A07010" w:sz="1"/>
              <w:bottom w:val="single" w:color="A07010" w:sz="1"/>
              <w:right w:val="single" w:color="A0701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Buds forming or first flowers opening; leaves at full size and vibrant green; maximum essential oil aroma</w:t>
            </w:r>
          </w:p>
        </w:tc>
        <w:tc>
          <w:tcPr>
            <w:tcW w:type="dxa" w:w="2960"/>
            <w:tcBorders>
              <w:top w:val="single" w:color="A07010" w:sz="1"/>
              <w:left w:val="single" w:color="A07010" w:sz="1"/>
              <w:bottom w:val="single" w:color="A07010" w:sz="1"/>
              <w:right w:val="single" w:color="A0701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Cut stems to 1/3–1/2 of plant height in morning after dew dries but before afternoon heat; use clean sharp scissors or pruning shears; do not pull or tear</w:t>
            </w:r>
          </w:p>
        </w:tc>
      </w:tr>
      <w:tr>
        <w:tc>
          <w:tcPr>
            <w:tcW w:type="dxa" w:w="1600"/>
            <w:tcBorders>
              <w:top w:val="single" w:color="A07010" w:sz="1"/>
              <w:left w:val="single" w:color="A07010" w:sz="1"/>
              <w:bottom w:val="single" w:color="A07010" w:sz="1"/>
              <w:right w:val="single" w:color="A0701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Leaves only</w:t>
            </w:r>
          </w:p>
        </w:tc>
        <w:tc>
          <w:tcPr>
            <w:tcW w:type="dxa" w:w="2400"/>
            <w:tcBorders>
              <w:top w:val="single" w:color="A07010" w:sz="1"/>
              <w:left w:val="single" w:color="A07010" w:sz="1"/>
              <w:bottom w:val="single" w:color="A07010" w:sz="1"/>
              <w:right w:val="single" w:color="A0701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Before flowering for most medicinal herbs; the plant's energy and chemistry is focused in leaves before it shifts to reproduction</w:t>
            </w:r>
          </w:p>
        </w:tc>
        <w:tc>
          <w:tcPr>
            <w:tcW w:type="dxa" w:w="2400"/>
            <w:tcBorders>
              <w:top w:val="single" w:color="A07010" w:sz="1"/>
              <w:left w:val="single" w:color="A07010" w:sz="1"/>
              <w:bottom w:val="single" w:color="A07010" w:sz="1"/>
              <w:right w:val="single" w:color="A0701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Leaves fully expanded but still vibrant and unblemished; before flowering stalks elongate</w:t>
            </w:r>
          </w:p>
        </w:tc>
        <w:tc>
          <w:tcPr>
            <w:tcW w:type="dxa" w:w="2960"/>
            <w:tcBorders>
              <w:top w:val="single" w:color="A07010" w:sz="1"/>
              <w:left w:val="single" w:color="A07010" w:sz="1"/>
              <w:bottom w:val="single" w:color="A07010" w:sz="1"/>
              <w:right w:val="single" w:color="A0701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Harvest individual leaves or full stems; strip dried or yellowing leaves; harvest outer leaves first on rosette plants</w:t>
            </w:r>
          </w:p>
        </w:tc>
      </w:tr>
      <w:tr>
        <w:tc>
          <w:tcPr>
            <w:tcW w:type="dxa" w:w="1600"/>
            <w:tcBorders>
              <w:top w:val="single" w:color="A07010" w:sz="1"/>
              <w:left w:val="single" w:color="A07010" w:sz="1"/>
              <w:bottom w:val="single" w:color="A07010" w:sz="1"/>
              <w:right w:val="single" w:color="A0701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Flowers</w:t>
            </w:r>
          </w:p>
        </w:tc>
        <w:tc>
          <w:tcPr>
            <w:tcW w:type="dxa" w:w="2400"/>
            <w:tcBorders>
              <w:top w:val="single" w:color="A07010" w:sz="1"/>
              <w:left w:val="single" w:color="A07010" w:sz="1"/>
              <w:bottom w:val="single" w:color="A07010" w:sz="1"/>
              <w:right w:val="single" w:color="A0701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At first opening or when just fully opened — the precise moment varies by plant but the general rule is harvest before pollen is released and before any browning begins</w:t>
            </w:r>
          </w:p>
        </w:tc>
        <w:tc>
          <w:tcPr>
            <w:tcW w:type="dxa" w:w="2400"/>
            <w:tcBorders>
              <w:top w:val="single" w:color="A07010" w:sz="1"/>
              <w:left w:val="single" w:color="A07010" w:sz="1"/>
              <w:bottom w:val="single" w:color="A07010" w:sz="1"/>
              <w:right w:val="single" w:color="A0701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Petals fully open; color vibrant; pollen not yet scattered (anthers still closed or just opening); no browning at petal edges</w:t>
            </w:r>
          </w:p>
        </w:tc>
        <w:tc>
          <w:tcPr>
            <w:tcW w:type="dxa" w:w="2960"/>
            <w:tcBorders>
              <w:top w:val="single" w:color="A07010" w:sz="1"/>
              <w:left w:val="single" w:color="A07010" w:sz="1"/>
              <w:bottom w:val="single" w:color="A07010" w:sz="1"/>
              <w:right w:val="single" w:color="A0701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Harvest by hand or with scissors; harvesting into a wide shallow basket preserves flower structure; avoid harvesting in heavy dew (mold risk)</w:t>
            </w:r>
          </w:p>
        </w:tc>
      </w:tr>
      <w:tr>
        <w:tc>
          <w:tcPr>
            <w:tcW w:type="dxa" w:w="1600"/>
            <w:tcBorders>
              <w:top w:val="single" w:color="A07010" w:sz="1"/>
              <w:left w:val="single" w:color="A07010" w:sz="1"/>
              <w:bottom w:val="single" w:color="A07010" w:sz="1"/>
              <w:right w:val="single" w:color="A0701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Roots</w:t>
            </w:r>
          </w:p>
        </w:tc>
        <w:tc>
          <w:tcPr>
            <w:tcW w:type="dxa" w:w="2400"/>
            <w:tcBorders>
              <w:top w:val="single" w:color="A07010" w:sz="1"/>
              <w:left w:val="single" w:color="A07010" w:sz="1"/>
              <w:bottom w:val="single" w:color="A07010" w:sz="1"/>
              <w:right w:val="single" w:color="A0701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In fall for perennials (after aerial parts have died back and the plant has moved its energy reserves into roots) or in very early spring before growth resumes</w:t>
            </w:r>
          </w:p>
        </w:tc>
        <w:tc>
          <w:tcPr>
            <w:tcW w:type="dxa" w:w="2400"/>
            <w:tcBorders>
              <w:top w:val="single" w:color="A07010" w:sz="1"/>
              <w:left w:val="single" w:color="A07010" w:sz="1"/>
              <w:bottom w:val="single" w:color="A07010" w:sz="1"/>
              <w:right w:val="single" w:color="A0701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Autumn: after first frost, stems brown and fallen; spring: before shoots emerge from ground; roots typically contain highest compound concentration at these times</w:t>
            </w:r>
          </w:p>
        </w:tc>
        <w:tc>
          <w:tcPr>
            <w:tcW w:type="dxa" w:w="2960"/>
            <w:tcBorders>
              <w:top w:val="single" w:color="A07010" w:sz="1"/>
              <w:left w:val="single" w:color="A07010" w:sz="1"/>
              <w:bottom w:val="single" w:color="A07010" w:sz="1"/>
              <w:right w:val="single" w:color="A0701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Dig carefully with a digging fork or hand fork; wash soil off roots; for perennial plants, harvest only a portion (1/3 or less) of root system to allow plant recovery; for annuals, harvest the full root at plant's end of life</w:t>
            </w:r>
          </w:p>
        </w:tc>
      </w:tr>
      <w:tr>
        <w:tc>
          <w:tcPr>
            <w:tcW w:type="dxa" w:w="1600"/>
            <w:tcBorders>
              <w:top w:val="single" w:color="A07010" w:sz="1"/>
              <w:left w:val="single" w:color="A07010" w:sz="1"/>
              <w:bottom w:val="single" w:color="A07010" w:sz="1"/>
              <w:right w:val="single" w:color="A0701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Bark</w:t>
            </w:r>
          </w:p>
        </w:tc>
        <w:tc>
          <w:tcPr>
            <w:tcW w:type="dxa" w:w="2400"/>
            <w:tcBorders>
              <w:top w:val="single" w:color="A07010" w:sz="1"/>
              <w:left w:val="single" w:color="A07010" w:sz="1"/>
              <w:bottom w:val="single" w:color="A07010" w:sz="1"/>
              <w:right w:val="single" w:color="A0701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Spring (cambium most active, easiest to peel) or fall; from branches removed by pruning rather than from trunk (to protect plant health)</w:t>
            </w:r>
          </w:p>
        </w:tc>
        <w:tc>
          <w:tcPr>
            <w:tcW w:type="dxa" w:w="2400"/>
            <w:tcBorders>
              <w:top w:val="single" w:color="A07010" w:sz="1"/>
              <w:left w:val="single" w:color="A07010" w:sz="1"/>
              <w:bottom w:val="single" w:color="A07010" w:sz="1"/>
              <w:right w:val="single" w:color="A0701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Cambium layer is bright and moist; inner bark has characteristic color and aroma of the species</w:t>
            </w:r>
          </w:p>
        </w:tc>
        <w:tc>
          <w:tcPr>
            <w:tcW w:type="dxa" w:w="2960"/>
            <w:tcBorders>
              <w:top w:val="single" w:color="A07010" w:sz="1"/>
              <w:left w:val="single" w:color="A07010" w:sz="1"/>
              <w:bottom w:val="single" w:color="A07010" w:sz="1"/>
              <w:right w:val="single" w:color="A0701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Strip from pruned branches 1–3 inches in diameter; never girdle a living tree by removing bark all the way around (kills the tree); scrape off outer rough bark to reach the medicinally active inner bark (cambium layer)</w:t>
            </w:r>
          </w:p>
        </w:tc>
      </w:tr>
      <w:tr>
        <w:tc>
          <w:tcPr>
            <w:tcW w:type="dxa" w:w="1600"/>
            <w:tcBorders>
              <w:top w:val="single" w:color="A07010" w:sz="1"/>
              <w:left w:val="single" w:color="A07010" w:sz="1"/>
              <w:bottom w:val="single" w:color="A07010" w:sz="1"/>
              <w:right w:val="single" w:color="A0701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Seeds and berries</w:t>
            </w:r>
          </w:p>
        </w:tc>
        <w:tc>
          <w:tcPr>
            <w:tcW w:type="dxa" w:w="2400"/>
            <w:tcBorders>
              <w:top w:val="single" w:color="A07010" w:sz="1"/>
              <w:left w:val="single" w:color="A07010" w:sz="1"/>
              <w:bottom w:val="single" w:color="A07010" w:sz="1"/>
              <w:right w:val="single" w:color="A0701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At full maturity — seeds fully formed, berries deeply colored; some seeds are harvested slightly before full maturity to prevent shattering</w:t>
            </w:r>
          </w:p>
        </w:tc>
        <w:tc>
          <w:tcPr>
            <w:tcW w:type="dxa" w:w="2400"/>
            <w:tcBorders>
              <w:top w:val="single" w:color="A07010" w:sz="1"/>
              <w:left w:val="single" w:color="A07010" w:sz="1"/>
              <w:bottom w:val="single" w:color="A07010" w:sz="1"/>
              <w:right w:val="single" w:color="A0701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Seeds: brown, firm, and separating from seed head; berries: full color, firm-to-soft depending on species</w:t>
            </w:r>
          </w:p>
        </w:tc>
        <w:tc>
          <w:tcPr>
            <w:tcW w:type="dxa" w:w="2960"/>
            <w:tcBorders>
              <w:top w:val="single" w:color="A07010" w:sz="1"/>
              <w:left w:val="single" w:color="A07010" w:sz="1"/>
              <w:bottom w:val="single" w:color="A07010" w:sz="1"/>
              <w:right w:val="single" w:color="A0701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For small seeds: cut whole seed heads into paper bags and allow to dry further; for berries: hand-pick at ripeness; test a few by cutting open to verify seed development</w:t>
            </w:r>
          </w:p>
        </w:tc>
      </w:tr>
      <w:tr>
        <w:tc>
          <w:tcPr>
            <w:tcW w:type="dxa" w:w="1600"/>
            <w:tcBorders>
              <w:top w:val="single" w:color="A07010" w:sz="1"/>
              <w:left w:val="single" w:color="A07010" w:sz="1"/>
              <w:bottom w:val="single" w:color="A07010" w:sz="1"/>
              <w:right w:val="single" w:color="A0701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Resin / gum</w:t>
            </w:r>
          </w:p>
        </w:tc>
        <w:tc>
          <w:tcPr>
            <w:tcW w:type="dxa" w:w="2400"/>
            <w:tcBorders>
              <w:top w:val="single" w:color="A07010" w:sz="1"/>
              <w:left w:val="single" w:color="A07010" w:sz="1"/>
              <w:bottom w:val="single" w:color="A07010" w:sz="1"/>
              <w:right w:val="single" w:color="A0701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Typically harvested in fall or spring when flow is active; from cuts in bark that allow resin to accumulate</w:t>
            </w:r>
          </w:p>
        </w:tc>
        <w:tc>
          <w:tcPr>
            <w:tcW w:type="dxa" w:w="2400"/>
            <w:tcBorders>
              <w:top w:val="single" w:color="A07010" w:sz="1"/>
              <w:left w:val="single" w:color="A07010" w:sz="1"/>
              <w:bottom w:val="single" w:color="A07010" w:sz="1"/>
              <w:right w:val="single" w:color="A0701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Resin flowing freely from natural wounds or cuts; high aromatic quality</w:t>
            </w:r>
          </w:p>
        </w:tc>
        <w:tc>
          <w:tcPr>
            <w:tcW w:type="dxa" w:w="2960"/>
            <w:tcBorders>
              <w:top w:val="single" w:color="A07010" w:sz="1"/>
              <w:left w:val="single" w:color="A07010" w:sz="1"/>
              <w:bottom w:val="single" w:color="A07010" w:sz="1"/>
              <w:right w:val="single" w:color="A0701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Make small cuts in bark; collect accumulated resin; allow 1–2 weeks between harvests from the same site; applicable to specific trees and shrubs (pine, myrrh, calendula flowers excrete resin)</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07010" w:sz="1"/>
              <w:left w:val="single" w:color="A07010" w:sz="24"/>
              <w:bottom w:val="single" w:color="A07010" w:sz="1"/>
              <w:right w:val="single" w:color="A07010" w:sz="1"/>
            </w:tcBorders>
            <w:shd w:fill="F5EDCC" w:val="clear"/>
            <w:tcMar>
              <w:top w:type="dxa" w:w="120"/>
              <w:left w:type="dxa" w:w="220"/>
              <w:bottom w:type="dxa" w:w="120"/>
              <w:right w:type="dxa" w:w="160"/>
            </w:tcMar>
          </w:tcPr>
          <w:p>
            <w:pPr>
              <w:spacing w:before="0" w:after="0"/>
            </w:pPr>
            <w:r>
              <w:rPr>
                <w:rFonts w:ascii="Arial" w:cs="Arial" w:eastAsia="Arial" w:hAnsi="Arial"/>
                <w:b/>
                <w:bCs/>
                <w:color w:val="A07010"/>
                <w:sz w:val="22"/>
                <w:szCs w:val="22"/>
              </w:rPr>
              <w:t xml:space="preserve">⏰  Time of Day Matters:  </w:t>
            </w:r>
            <w:r>
              <w:rPr>
                <w:rFonts w:ascii="Arial" w:cs="Arial" w:eastAsia="Arial" w:hAnsi="Arial"/>
                <w:color w:val="444444"/>
                <w:sz w:val="22"/>
                <w:szCs w:val="22"/>
              </w:rPr>
              <w:t xml:space="preserve">Harvest most aerial parts (leaves, flowers, stems) in the morning after the dew has dried but before the afternoon heat drives off essential oils — typically 9 AM to noon. This is when essential oil content is highest. Root harvesting time of day matters less than season. Avoid harvesting any part immediately after rain (diluted compounds, mold risk) or during extreme heat (volatile oils dissipate rapidly).</w:t>
            </w:r>
          </w:p>
        </w:tc>
      </w:tr>
    </w:tbl>
    <w:p>
      <w:pPr>
        <w:spacing w:before="200" w:after="0"/>
      </w:pPr>
      <w:r>
        <w:t xml:space="preserve"/>
      </w:r>
    </w:p>
    <w:p>
      <w:pPr>
        <w:pStyle w:val="Heading2"/>
        <w:spacing w:before="260" w:after="100"/>
      </w:pPr>
      <w:r>
        <w:rPr>
          <w:rFonts w:ascii="Arial" w:cs="Arial" w:eastAsia="Arial" w:hAnsi="Arial"/>
          <w:b/>
          <w:bCs/>
          <w:color w:val="1A6060"/>
          <w:sz w:val="28"/>
          <w:szCs w:val="28"/>
        </w:rPr>
        <w:t xml:space="preserve">Drying Methods for Medicinal Quality</w:t>
      </w:r>
    </w:p>
    <w:p>
      <w:pPr>
        <w:spacing w:before="70" w:after="70"/>
      </w:pPr>
      <w:r>
        <w:rPr>
          <w:rFonts w:ascii="Arial" w:cs="Arial" w:eastAsia="Arial" w:hAnsi="Arial"/>
          <w:color w:val="1A1A1A"/>
          <w:sz w:val="22"/>
          <w:szCs w:val="22"/>
        </w:rPr>
        <w:t xml:space="preserve">Drying is the transformation point where fresh plant material becomes a stable, preservable medicine. Done correctly, drying preserves most of the plant's active compounds. Done poorly — too slow, too hot, or with too much light — drying degrades the very compounds you're trying to preserve.</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20"/>
        <w:gridCol w:w="1440"/>
        <w:gridCol w:w="1120"/>
        <w:gridCol w:w="1920"/>
        <w:gridCol w:w="1400"/>
      </w:tblGrid>
      <w:tr>
        <w:trPr>
          <w:tblHeader/>
        </w:trPr>
        <w:tc>
          <w:tcPr>
            <w:tcW w:type="dxa" w:w="1560"/>
            <w:tcBorders>
              <w:top w:val="single" w:color="1A6060" w:sz="1"/>
              <w:left w:val="single" w:color="1A6060" w:sz="1"/>
              <w:bottom w:val="single" w:color="1A6060" w:sz="1"/>
              <w:right w:val="single" w:color="1A6060" w:sz="1"/>
            </w:tcBorders>
            <w:shd w:fill="1A6060"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Drying Method</w:t>
            </w:r>
          </w:p>
        </w:tc>
        <w:tc>
          <w:tcPr>
            <w:tcW w:type="dxa" w:w="1920"/>
            <w:tcBorders>
              <w:top w:val="single" w:color="1A6060" w:sz="1"/>
              <w:left w:val="single" w:color="1A6060" w:sz="1"/>
              <w:bottom w:val="single" w:color="1A6060" w:sz="1"/>
              <w:right w:val="single" w:color="1A6060" w:sz="1"/>
            </w:tcBorders>
            <w:shd w:fill="1A6060"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Best For</w:t>
            </w:r>
          </w:p>
        </w:tc>
        <w:tc>
          <w:tcPr>
            <w:tcW w:type="dxa" w:w="1440"/>
            <w:tcBorders>
              <w:top w:val="single" w:color="1A6060" w:sz="1"/>
              <w:left w:val="single" w:color="1A6060" w:sz="1"/>
              <w:bottom w:val="single" w:color="1A6060" w:sz="1"/>
              <w:right w:val="single" w:color="1A6060" w:sz="1"/>
            </w:tcBorders>
            <w:shd w:fill="1A6060"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Temperature</w:t>
            </w:r>
          </w:p>
        </w:tc>
        <w:tc>
          <w:tcPr>
            <w:tcW w:type="dxa" w:w="1120"/>
            <w:tcBorders>
              <w:top w:val="single" w:color="1A6060" w:sz="1"/>
              <w:left w:val="single" w:color="1A6060" w:sz="1"/>
              <w:bottom w:val="single" w:color="1A6060" w:sz="1"/>
              <w:right w:val="single" w:color="1A6060" w:sz="1"/>
            </w:tcBorders>
            <w:shd w:fill="1A6060"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Drying Time</w:t>
            </w:r>
          </w:p>
        </w:tc>
        <w:tc>
          <w:tcPr>
            <w:tcW w:type="dxa" w:w="1920"/>
            <w:tcBorders>
              <w:top w:val="single" w:color="1A6060" w:sz="1"/>
              <w:left w:val="single" w:color="1A6060" w:sz="1"/>
              <w:bottom w:val="single" w:color="1A6060" w:sz="1"/>
              <w:right w:val="single" w:color="1A6060" w:sz="1"/>
            </w:tcBorders>
            <w:shd w:fill="1A6060"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Advantages</w:t>
            </w:r>
          </w:p>
        </w:tc>
        <w:tc>
          <w:tcPr>
            <w:tcW w:type="dxa" w:w="1400"/>
            <w:tcBorders>
              <w:top w:val="single" w:color="1A6060" w:sz="1"/>
              <w:left w:val="single" w:color="1A6060" w:sz="1"/>
              <w:bottom w:val="single" w:color="1A6060" w:sz="1"/>
              <w:right w:val="single" w:color="1A6060" w:sz="1"/>
            </w:tcBorders>
            <w:shd w:fill="1A6060"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Watch Out For</w:t>
            </w:r>
          </w:p>
        </w:tc>
      </w:tr>
      <w:tr>
        <w:tc>
          <w:tcPr>
            <w:tcW w:type="dxa" w:w="156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Hanging bunches
(air drying)</w:t>
            </w:r>
          </w:p>
        </w:tc>
        <w:tc>
          <w:tcPr>
            <w:tcW w:type="dxa" w:w="192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Robust herbs with low moisture content: lavender, rosemary, thyme, oregano, sage, yarrow, St. John's Wort; aerial parts generally</w:t>
            </w:r>
          </w:p>
        </w:tc>
        <w:tc>
          <w:tcPr>
            <w:tcW w:type="dxa" w:w="144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65–90°F in dry conditions; below 90°F to preserve volatile oils</w:t>
            </w:r>
          </w:p>
        </w:tc>
        <w:tc>
          <w:tcPr>
            <w:tcW w:type="dxa" w:w="112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1–3 weeks depending on humidity and plant moisture content</w:t>
            </w:r>
          </w:p>
        </w:tc>
        <w:tc>
          <w:tcPr>
            <w:tcW w:type="dxa" w:w="192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Free; no equipment; maintains beautiful form for ornamental value; no heat damage to volatile oils</w:t>
            </w:r>
          </w:p>
        </w:tc>
        <w:tc>
          <w:tcPr>
            <w:tcW w:type="dxa" w:w="140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Requires low humidity (below 60% RH); in humid climates, hanging bunches may mold before drying; dust accumulation; slow</w:t>
            </w:r>
          </w:p>
        </w:tc>
      </w:tr>
      <w:tr>
        <w:tc>
          <w:tcPr>
            <w:tcW w:type="dxa" w:w="156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Screen or mesh rack drying</w:t>
            </w:r>
          </w:p>
        </w:tc>
        <w:tc>
          <w:tcPr>
            <w:tcW w:type="dxa" w:w="192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Flowers (lay flat in a single layer); roots (sliced thin); any plant material in humid climates where hanging risks mold; high-moisture herbs (lemon balm, basil)</w:t>
            </w:r>
          </w:p>
        </w:tc>
        <w:tc>
          <w:tcPr>
            <w:tcW w:type="dxa" w:w="144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65–90°F with good air circulation; elevate screens for airflow beneath</w:t>
            </w:r>
          </w:p>
        </w:tc>
        <w:tc>
          <w:tcPr>
            <w:tcW w:type="dxa" w:w="112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1–2 weeks typically; flowers often faster</w:t>
            </w:r>
          </w:p>
        </w:tc>
        <w:tc>
          <w:tcPr>
            <w:tcW w:type="dxa" w:w="192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Better air circulation than hanging; allows monitoring of each piece; ideal for flowers; faster in humid climates</w:t>
            </w:r>
          </w:p>
        </w:tc>
        <w:tc>
          <w:tcPr>
            <w:tcW w:type="dxa" w:w="140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Needs rack or screen equipment; flowers can stick to screens if not turned; needs dedicated space</w:t>
            </w:r>
          </w:p>
        </w:tc>
      </w:tr>
      <w:tr>
        <w:tc>
          <w:tcPr>
            <w:tcW w:type="dxa" w:w="156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Dehydrator</w:t>
            </w:r>
          </w:p>
        </w:tc>
        <w:tc>
          <w:tcPr>
            <w:tcW w:type="dxa" w:w="192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Any part; especially good for thick roots, high-moisture herbs (comfrey, marshmallow root), and in high-humidity climates; fastest reliable method</w:t>
            </w:r>
          </w:p>
        </w:tc>
        <w:tc>
          <w:tcPr>
            <w:tcW w:type="dxa" w:w="144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95–115°F maximum for herb leaves and flowers; 115–125°F for roots and bark; NEVER higher — destroys active compounds</w:t>
            </w:r>
          </w:p>
        </w:tc>
        <w:tc>
          <w:tcPr>
            <w:tcW w:type="dxa" w:w="112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2–12 hours depending on part and moisture content</w:t>
            </w:r>
          </w:p>
        </w:tc>
        <w:tc>
          <w:tcPr>
            <w:tcW w:type="dxa" w:w="192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Consistent results; fast; works in any climate and weather; reduces mold risk dramatically; year-round use</w:t>
            </w:r>
          </w:p>
        </w:tc>
        <w:tc>
          <w:tcPr>
            <w:tcW w:type="dxa" w:w="140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Equipment cost ($40–200 for quality dehydrator); electricity cost; check temperature carefully — many dehydrators run hotter than labeled</w:t>
            </w:r>
          </w:p>
        </w:tc>
      </w:tr>
      <w:tr>
        <w:tc>
          <w:tcPr>
            <w:tcW w:type="dxa" w:w="156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Oven drying
(lowest setting)</w:t>
            </w:r>
          </w:p>
        </w:tc>
        <w:tc>
          <w:tcPr>
            <w:tcW w:type="dxa" w:w="192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Emergency drying only; not recommended for aromatic herbs</w:t>
            </w:r>
          </w:p>
        </w:tc>
        <w:tc>
          <w:tcPr>
            <w:tcW w:type="dxa" w:w="144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Lowest possible oven setting, typically 170–200°F — too hot for most active compounds; use only with door propped open</w:t>
            </w:r>
          </w:p>
        </w:tc>
        <w:tc>
          <w:tcPr>
            <w:tcW w:type="dxa" w:w="112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1–4 hours</w:t>
            </w:r>
          </w:p>
        </w:tc>
        <w:tc>
          <w:tcPr>
            <w:tcW w:type="dxa" w:w="192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Everyone has an oven; fast</w:t>
            </w:r>
          </w:p>
        </w:tc>
        <w:tc>
          <w:tcPr>
            <w:tcW w:type="dxa" w:w="140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Most ovens run too hot for proper herb drying; destroys many volatile oils and heat-sensitive compounds; poor results for aromatic or volatile-compound-rich herbs; use a dehydrator instead</w:t>
            </w:r>
          </w:p>
        </w:tc>
      </w:tr>
      <w:tr>
        <w:tc>
          <w:tcPr>
            <w:tcW w:type="dxa" w:w="156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Microwave drying
(short duration)</w:t>
            </w:r>
          </w:p>
        </w:tc>
        <w:tc>
          <w:tcPr>
            <w:tcW w:type="dxa" w:w="192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Small batches of leaves only; for quick drying, not for compounds sensitive to heat or microwave radiation</w:t>
            </w:r>
          </w:p>
        </w:tc>
        <w:tc>
          <w:tcPr>
            <w:tcW w:type="dxa" w:w="144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Microwave heat — not ideal for most medicinal purposes</w:t>
            </w:r>
          </w:p>
        </w:tc>
        <w:tc>
          <w:tcPr>
            <w:tcW w:type="dxa" w:w="112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30–90 seconds in bursts with cooling</w:t>
            </w:r>
          </w:p>
        </w:tc>
        <w:tc>
          <w:tcPr>
            <w:tcW w:type="dxa" w:w="192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Fast; convenient for small amounts</w:t>
            </w:r>
          </w:p>
        </w:tc>
        <w:tc>
          <w:tcPr>
            <w:tcW w:type="dxa" w:w="140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Degrades heat-sensitive and microwave-sensitive compounds; not appropriate for roots or roots; only for small convenience drying, not medicinal quality production</w:t>
            </w:r>
          </w:p>
        </w:tc>
      </w:tr>
      <w:tr>
        <w:tc>
          <w:tcPr>
            <w:tcW w:type="dxa" w:w="156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Freeze drying
(commercial method)</w:t>
            </w:r>
          </w:p>
        </w:tc>
        <w:tc>
          <w:tcPr>
            <w:tcW w:type="dxa" w:w="192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Any plant material; preserves highest percentage of active compounds of any drying method</w:t>
            </w:r>
          </w:p>
        </w:tc>
        <w:tc>
          <w:tcPr>
            <w:tcW w:type="dxa" w:w="144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Freezing temperatures (below 0°F) with vacuum; not practical for home use</w:t>
            </w:r>
          </w:p>
        </w:tc>
        <w:tc>
          <w:tcPr>
            <w:tcW w:type="dxa" w:w="112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Hours to days in commercial equipment</w:t>
            </w:r>
          </w:p>
        </w:tc>
        <w:tc>
          <w:tcPr>
            <w:tcW w:type="dxa" w:w="192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Superior compound preservation; excellent color and aroma retention; longest shelf life</w:t>
            </w:r>
          </w:p>
        </w:tc>
        <w:tc>
          <w:tcPr>
            <w:tcW w:type="dxa" w:w="140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Expensive specialized equipment ($2,000+); impractical for home use; buy freeze-dried products from quality suppliers if this quality level is needed</w:t>
            </w:r>
          </w:p>
        </w:tc>
      </w:tr>
    </w:tbl>
    <w:p>
      <w:pPr>
        <w:spacing w:before="160" w:after="0"/>
      </w:pPr>
      <w:r>
        <w:t xml:space="preserve"/>
      </w:r>
    </w:p>
    <w:p>
      <w:pPr>
        <w:pStyle w:val="Heading2"/>
        <w:spacing w:before="260" w:after="100"/>
      </w:pPr>
      <w:r>
        <w:rPr>
          <w:rFonts w:ascii="Arial" w:cs="Arial" w:eastAsia="Arial" w:hAnsi="Arial"/>
          <w:b/>
          <w:bCs/>
          <w:color w:val="1A6060"/>
          <w:sz w:val="28"/>
          <w:szCs w:val="28"/>
        </w:rPr>
        <w:t xml:space="preserve">Storage for Medicinal Longevity</w:t>
      </w:r>
    </w:p>
    <w:p>
      <w:pPr>
        <w:spacing w:before="70" w:after="70"/>
      </w:pPr>
      <w:r>
        <w:rPr>
          <w:rFonts w:ascii="Arial" w:cs="Arial" w:eastAsia="Arial" w:hAnsi="Arial"/>
          <w:color w:val="1A1A1A"/>
          <w:sz w:val="22"/>
          <w:szCs w:val="22"/>
        </w:rPr>
        <w:t xml:space="preserve">Properly dried and stored medicinal herbs retain most of their potency for 1–3 years depending on the plant part and storage conditions. The three enemies of herb potency are light, heat, and moisture — design your storage system to exclude all three.</w:t>
      </w:r>
    </w:p>
    <w:p>
      <w:pPr>
        <w:spacing w:before="120" w:after="0"/>
      </w:pPr>
      <w:r>
        <w:t xml:space="preserve"/>
      </w:r>
    </w:p>
    <w:p>
      <w:pPr>
        <w:pStyle w:val="ListParagraph"/>
        <w:numPr>
          <w:ilvl w:val="0"/>
          <w:numId w:val="3"/>
        </w:numPr>
        <w:spacing w:before="50" w:after="50"/>
      </w:pPr>
      <w:r>
        <w:rPr>
          <w:rFonts w:ascii="Arial" w:cs="Arial" w:eastAsia="Arial" w:hAnsi="Arial"/>
          <w:b/>
          <w:bCs/>
          <w:color w:val="1A1A1A"/>
          <w:sz w:val="22"/>
          <w:szCs w:val="22"/>
        </w:rPr>
        <w:t xml:space="preserve">Containers: Amber glass jars with tight-fitting lids are ideal — they block UV light while allowing you to see the contents; clear glass must be stored in a dark location; never store herbs long-term in plastic (plastic is gas-permeable; aromatic compounds escape; some plastics leach into herbs)</w:t>
      </w:r>
    </w:p>
    <w:p>
      <w:pPr>
        <w:pStyle w:val="ListParagraph"/>
        <w:numPr>
          <w:ilvl w:val="0"/>
          <w:numId w:val="3"/>
        </w:numPr>
        <w:spacing w:before="50" w:after="50"/>
      </w:pPr>
      <w:r>
        <w:rPr>
          <w:rFonts w:ascii="Arial" w:cs="Arial" w:eastAsia="Arial" w:hAnsi="Arial"/>
          <w:b w:val="false"/>
          <w:bCs w:val="false"/>
          <w:color w:val="1A1A1A"/>
          <w:sz w:val="22"/>
          <w:szCs w:val="22"/>
        </w:rPr>
        <w:t xml:space="preserve">Location: Cool, dark, and dry — pantry shelves away from the stove; a dedicated herb cabinet; a drawer or cupboard. Kitchen windowsills look beautiful but are the worst possible location — they expose herbs to light, heat, and steam from cooking.</w:t>
      </w:r>
    </w:p>
    <w:p>
      <w:pPr>
        <w:pStyle w:val="ListParagraph"/>
        <w:numPr>
          <w:ilvl w:val="0"/>
          <w:numId w:val="3"/>
        </w:numPr>
        <w:spacing w:before="50" w:after="50"/>
      </w:pPr>
      <w:r>
        <w:rPr>
          <w:rFonts w:ascii="Arial" w:cs="Arial" w:eastAsia="Arial" w:hAnsi="Arial"/>
          <w:b w:val="false"/>
          <w:bCs w:val="false"/>
          <w:color w:val="1A1A1A"/>
          <w:sz w:val="22"/>
          <w:szCs w:val="22"/>
        </w:rPr>
        <w:t xml:space="preserve">Labeling: Label every container with herb name, part used, harvest date, and source (homegrown, wild-harvested, purchased). This is not optional — six months from now you will not remember which unlabeled jar is marshmallow root and which is dandelion root.</w:t>
      </w:r>
    </w:p>
    <w:p>
      <w:pPr>
        <w:pStyle w:val="ListParagraph"/>
        <w:numPr>
          <w:ilvl w:val="0"/>
          <w:numId w:val="3"/>
        </w:numPr>
        <w:spacing w:before="50" w:after="50"/>
      </w:pPr>
      <w:r>
        <w:rPr>
          <w:rFonts w:ascii="Arial" w:cs="Arial" w:eastAsia="Arial" w:hAnsi="Arial"/>
          <w:b w:val="false"/>
          <w:bCs w:val="false"/>
          <w:color w:val="1A1A1A"/>
          <w:sz w:val="22"/>
          <w:szCs w:val="22"/>
        </w:rPr>
        <w:t xml:space="preserve">Shelf life guidelines: Volatile oil-rich herbs (lavender, rosemary, thyme) retain potency 1–2 years; most dried leaves and flowers 1–2 years; roots and bark 2–3 years; seeds 2–4 years. Mark jars with a "use by" date at time of storage.</w:t>
      </w:r>
    </w:p>
    <w:p>
      <w:pPr>
        <w:pStyle w:val="ListParagraph"/>
        <w:numPr>
          <w:ilvl w:val="0"/>
          <w:numId w:val="3"/>
        </w:numPr>
        <w:spacing w:before="50" w:after="50"/>
      </w:pPr>
      <w:r>
        <w:rPr>
          <w:rFonts w:ascii="Arial" w:cs="Arial" w:eastAsia="Arial" w:hAnsi="Arial"/>
          <w:b w:val="false"/>
          <w:bCs w:val="false"/>
          <w:color w:val="1A1A1A"/>
          <w:sz w:val="22"/>
          <w:szCs w:val="22"/>
        </w:rPr>
        <w:t xml:space="preserve">Testing potency: Crush a small amount between your fingers — dried herbs should still release a clear aroma. Taste a small amount — taste should be present and characteristic. If herb is odorless and tasteless, it has lost potency and should be composted and replaced.</w:t>
      </w:r>
    </w:p>
    <w:p>
      <w:pPr>
        <w:spacing w:before="240" w:after="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C4A8C" w:sz="2"/>
              <w:left w:val="single" w:color="5C4A8C" w:sz="2"/>
              <w:bottom w:val="single" w:color="5C4A8C" w:sz="2"/>
              <w:right w:val="single" w:color="5C4A8C" w:sz="2"/>
            </w:tcBorders>
            <w:shd w:fill="5C4A8C" w:val="clear"/>
            <w:tcMar>
              <w:top w:type="dxa" w:w="220"/>
              <w:left w:type="dxa" w:w="360"/>
              <w:bottom w:type="dxa" w:w="180"/>
              <w:right w:type="dxa" w:w="360"/>
            </w:tcMar>
          </w:tcPr>
          <w:p>
            <w:pPr>
              <w:spacing w:before="0" w:after="60"/>
              <w:jc w:val="center"/>
            </w:pPr>
            <w:r>
              <w:rPr>
                <w:rFonts w:ascii="Arial" w:cs="Arial" w:eastAsia="Arial" w:hAnsi="Arial"/>
                <w:b/>
                <w:bCs/>
                <w:color w:val="FFFFFF"/>
                <w:sz w:val="46"/>
                <w:szCs w:val="46"/>
              </w:rPr>
              <w:t xml:space="preserve">🫚  SECTION 4: PREPARING HERBAL REMEDIES</w:t>
            </w:r>
          </w:p>
          <w:p>
            <w:pPr>
              <w:spacing w:before="0" w:after="0"/>
              <w:jc w:val="center"/>
            </w:pPr>
            <w:r>
              <w:rPr>
                <w:rFonts w:ascii="Arial" w:cs="Arial" w:eastAsia="Arial" w:hAnsi="Arial"/>
                <w:i/>
                <w:iCs/>
                <w:color w:val="F0F5EE"/>
                <w:sz w:val="24"/>
                <w:szCs w:val="24"/>
              </w:rPr>
              <w:t xml:space="preserve">Teas, tinctures, infused oils, salves, capsules, and every preparation method</w:t>
            </w:r>
          </w:p>
        </w:tc>
      </w:tr>
    </w:tbl>
    <w:p>
      <w:pPr>
        <w:spacing w:before="240" w:after="0"/>
      </w:pPr>
      <w:r>
        <w:t xml:space="preserve"/>
      </w:r>
    </w:p>
    <w:p>
      <w:pPr>
        <w:pStyle w:val="Heading1"/>
        <w:pBdr>
          <w:bottom w:val="single" w:color="2D5A27" w:sz="10" w:space="4"/>
        </w:pBdr>
        <w:spacing w:before="320" w:after="140"/>
      </w:pPr>
      <w:r>
        <w:rPr>
          <w:rFonts w:ascii="Arial" w:cs="Arial" w:eastAsia="Arial" w:hAnsi="Arial"/>
          <w:b/>
          <w:bCs/>
          <w:color w:val="2D5A27"/>
          <w:sz w:val="36"/>
          <w:szCs w:val="36"/>
        </w:rPr>
        <w:t xml:space="preserve">Making Herbal Preparations at Home</w:t>
      </w:r>
    </w:p>
    <w:p>
      <w:pPr>
        <w:spacing w:before="70" w:after="70"/>
      </w:pPr>
      <w:r>
        <w:rPr>
          <w:rFonts w:ascii="Arial" w:cs="Arial" w:eastAsia="Arial" w:hAnsi="Arial"/>
          <w:color w:val="1A1A1A"/>
          <w:sz w:val="22"/>
          <w:szCs w:val="22"/>
        </w:rPr>
        <w:t xml:space="preserve">The gap between a jar of dried herbs and a usable herbal remedy is the art of preparation. Different plant compounds are extracted by different solvents — some are water-soluble (extracted by tea or decoction), others are alcohol-soluble (extracted by tinctures), others are fat-soluble (extracted by infused oils). Understanding which extraction method suits which herb and which application is the practical foundation of home herbalism.</w:t>
      </w:r>
    </w:p>
    <w:p>
      <w:pPr>
        <w:spacing w:before="160" w:after="0"/>
      </w:pPr>
      <w:r>
        <w:t xml:space="preserve"/>
      </w:r>
    </w:p>
    <w:p>
      <w:pPr>
        <w:pStyle w:val="Heading2"/>
        <w:spacing w:before="260" w:after="100"/>
      </w:pPr>
      <w:r>
        <w:rPr>
          <w:rFonts w:ascii="Arial" w:cs="Arial" w:eastAsia="Arial" w:hAnsi="Arial"/>
          <w:b/>
          <w:bCs/>
          <w:color w:val="1A6060"/>
          <w:sz w:val="28"/>
          <w:szCs w:val="28"/>
        </w:rPr>
        <w:t xml:space="preserve">Herbal Teas and Infusions</w:t>
      </w:r>
    </w:p>
    <w:p>
      <w:pPr>
        <w:spacing w:before="70" w:after="70"/>
      </w:pPr>
      <w:r>
        <w:rPr>
          <w:rFonts w:ascii="Arial" w:cs="Arial" w:eastAsia="Arial" w:hAnsi="Arial"/>
          <w:color w:val="1A1A1A"/>
          <w:sz w:val="22"/>
          <w:szCs w:val="22"/>
        </w:rPr>
        <w:t xml:space="preserve">An infusion — what most people call herbal tea — is the simplest and one of the most effective herbal preparations for delicate plant parts like leaves and flowers. It extracts water-soluble compounds including volatile essential oils, water-soluble vitamins, and many active constituents.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5C4A8C" w:sz="1"/>
              <w:left w:val="single" w:color="5C4A8C" w:sz="1"/>
              <w:bottom w:val="single" w:color="5C4A8C" w:sz="1"/>
              <w:right w:val="single" w:color="5C4A8C" w:sz="1"/>
            </w:tcBorders>
            <w:shd w:fill="EDE8F8" w:val="clear"/>
            <w:tcMar>
              <w:top w:type="dxa" w:w="80"/>
              <w:left w:type="dxa" w:w="120"/>
              <w:bottom w:type="dxa" w:w="80"/>
              <w:right w:type="dxa" w:w="120"/>
            </w:tcMar>
          </w:tcPr>
          <w:p>
            <w:r>
              <w:rPr>
                <w:rFonts w:ascii="Arial" w:cs="Arial" w:eastAsia="Arial" w:hAnsi="Arial"/>
                <w:b/>
                <w:bCs/>
                <w:color w:val="5C4A8C"/>
                <w:sz w:val="19"/>
                <w:szCs w:val="19"/>
              </w:rPr>
              <w:t xml:space="preserve">Standard infusion (tea)</w:t>
            </w:r>
          </w:p>
        </w:tc>
        <w:tc>
          <w:tcPr>
            <w:tcW w:type="dxa" w:w="7160"/>
            <w:tcBorders>
              <w:top w:val="single" w:color="5C4A8C" w:sz="1"/>
              <w:left w:val="single" w:color="5C4A8C" w:sz="1"/>
              <w:bottom w:val="single" w:color="5C4A8C" w:sz="1"/>
              <w:right w:val="single" w:color="5C4A8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Steep 1–2 teaspoons dried herb (or 2–4 teaspoons fresh herb) per cup of just-boiled water, covered, for 5–15 minutes. The cover is important — it traps volatile essential oils that would otherwise evaporate. Strain and drink. Best for leaves, flowers, and soft aerial parts.</w:t>
            </w:r>
          </w:p>
        </w:tc>
      </w:tr>
      <w:tr>
        <w:tc>
          <w:tcPr>
            <w:tcW w:type="dxa" w:w="2200"/>
            <w:tcBorders>
              <w:top w:val="single" w:color="5C4A8C" w:sz="1"/>
              <w:left w:val="single" w:color="5C4A8C" w:sz="1"/>
              <w:bottom w:val="single" w:color="5C4A8C" w:sz="1"/>
              <w:right w:val="single" w:color="5C4A8C" w:sz="1"/>
            </w:tcBorders>
            <w:shd w:fill="EEEEEE" w:val="clear"/>
            <w:tcMar>
              <w:top w:type="dxa" w:w="80"/>
              <w:left w:type="dxa" w:w="120"/>
              <w:bottom w:type="dxa" w:w="80"/>
              <w:right w:type="dxa" w:w="120"/>
            </w:tcMar>
          </w:tcPr>
          <w:p>
            <w:r>
              <w:rPr>
                <w:rFonts w:ascii="Arial" w:cs="Arial" w:eastAsia="Arial" w:hAnsi="Arial"/>
                <w:b/>
                <w:bCs/>
                <w:color w:val="5C4A8C"/>
                <w:sz w:val="19"/>
                <w:szCs w:val="19"/>
              </w:rPr>
              <w:t xml:space="preserve">Long infusion (nourishing infusion)</w:t>
            </w:r>
          </w:p>
        </w:tc>
        <w:tc>
          <w:tcPr>
            <w:tcW w:type="dxa" w:w="7160"/>
            <w:tcBorders>
              <w:top w:val="single" w:color="5C4A8C" w:sz="1"/>
              <w:left w:val="single" w:color="5C4A8C" w:sz="1"/>
              <w:bottom w:val="single" w:color="5C4A8C" w:sz="1"/>
              <w:right w:val="single" w:color="5C4A8C" w:sz="1"/>
            </w:tcBorders>
            <w:shd w:fill="F8F8F8" w:val="clear"/>
            <w:tcMar>
              <w:top w:type="dxa" w:w="80"/>
              <w:left w:type="dxa" w:w="120"/>
              <w:bottom w:type="dxa" w:w="80"/>
              <w:right w:type="dxa" w:w="120"/>
            </w:tcMar>
          </w:tcPr>
          <w:p>
            <w:r>
              <w:rPr>
                <w:rFonts w:ascii="Arial" w:cs="Arial" w:eastAsia="Arial" w:hAnsi="Arial"/>
                <w:color w:val="1A1A1A"/>
                <w:sz w:val="19"/>
                <w:szCs w:val="19"/>
              </w:rPr>
              <w:t xml:space="preserve">Steep 1 ounce dried herb per quart of just-boiled water, covered and sealed, for 4–8 hours or overnight. This "nourishing" or "medicinal infusion" extracts a much higher concentration of minerals, water-soluble vitamins, and other compounds than a brief tea. Developed by herbalist Susun Weed. Best for nutritive herbs: nettles, oatstraw, red clover, comfrey leaf. Drink 1–2 cups daily.</w:t>
            </w:r>
          </w:p>
        </w:tc>
      </w:tr>
      <w:tr>
        <w:tc>
          <w:tcPr>
            <w:tcW w:type="dxa" w:w="2200"/>
            <w:tcBorders>
              <w:top w:val="single" w:color="5C4A8C" w:sz="1"/>
              <w:left w:val="single" w:color="5C4A8C" w:sz="1"/>
              <w:bottom w:val="single" w:color="5C4A8C" w:sz="1"/>
              <w:right w:val="single" w:color="5C4A8C" w:sz="1"/>
            </w:tcBorders>
            <w:shd w:fill="EDE8F8" w:val="clear"/>
            <w:tcMar>
              <w:top w:type="dxa" w:w="80"/>
              <w:left w:type="dxa" w:w="120"/>
              <w:bottom w:type="dxa" w:w="80"/>
              <w:right w:type="dxa" w:w="120"/>
            </w:tcMar>
          </w:tcPr>
          <w:p>
            <w:r>
              <w:rPr>
                <w:rFonts w:ascii="Arial" w:cs="Arial" w:eastAsia="Arial" w:hAnsi="Arial"/>
                <w:b/>
                <w:bCs/>
                <w:color w:val="5C4A8C"/>
                <w:sz w:val="19"/>
                <w:szCs w:val="19"/>
              </w:rPr>
              <w:t xml:space="preserve">Decoction</w:t>
            </w:r>
          </w:p>
        </w:tc>
        <w:tc>
          <w:tcPr>
            <w:tcW w:type="dxa" w:w="7160"/>
            <w:tcBorders>
              <w:top w:val="single" w:color="5C4A8C" w:sz="1"/>
              <w:left w:val="single" w:color="5C4A8C" w:sz="1"/>
              <w:bottom w:val="single" w:color="5C4A8C" w:sz="1"/>
              <w:right w:val="single" w:color="5C4A8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Simmer hard plant materials (roots, bark, seeds, dense berries) in water at a gentle simmer for 20–45 minutes; the longer and harder simmering extracts compounds that boiling water alone cannot. Use 1 tablespoon dried material per cup water; begin with cold water; bring to gentle simmer; simmer covered; strain. Best for: elderberry, astragalus, licorice root, burdock root, valerian root, cinnamon.</w:t>
            </w:r>
          </w:p>
        </w:tc>
      </w:tr>
      <w:tr>
        <w:tc>
          <w:tcPr>
            <w:tcW w:type="dxa" w:w="2200"/>
            <w:tcBorders>
              <w:top w:val="single" w:color="5C4A8C" w:sz="1"/>
              <w:left w:val="single" w:color="5C4A8C" w:sz="1"/>
              <w:bottom w:val="single" w:color="5C4A8C" w:sz="1"/>
              <w:right w:val="single" w:color="5C4A8C" w:sz="1"/>
            </w:tcBorders>
            <w:shd w:fill="EEEEEE" w:val="clear"/>
            <w:tcMar>
              <w:top w:type="dxa" w:w="80"/>
              <w:left w:type="dxa" w:w="120"/>
              <w:bottom w:type="dxa" w:w="80"/>
              <w:right w:type="dxa" w:w="120"/>
            </w:tcMar>
          </w:tcPr>
          <w:p>
            <w:r>
              <w:rPr>
                <w:rFonts w:ascii="Arial" w:cs="Arial" w:eastAsia="Arial" w:hAnsi="Arial"/>
                <w:b/>
                <w:bCs/>
                <w:color w:val="5C4A8C"/>
                <w:sz w:val="19"/>
                <w:szCs w:val="19"/>
              </w:rPr>
              <w:t xml:space="preserve">Sun tea</w:t>
            </w:r>
          </w:p>
        </w:tc>
        <w:tc>
          <w:tcPr>
            <w:tcW w:type="dxa" w:w="7160"/>
            <w:tcBorders>
              <w:top w:val="single" w:color="5C4A8C" w:sz="1"/>
              <w:left w:val="single" w:color="5C4A8C" w:sz="1"/>
              <w:bottom w:val="single" w:color="5C4A8C" w:sz="1"/>
              <w:right w:val="single" w:color="5C4A8C" w:sz="1"/>
            </w:tcBorders>
            <w:shd w:fill="F8F8F8" w:val="clear"/>
            <w:tcMar>
              <w:top w:type="dxa" w:w="80"/>
              <w:left w:type="dxa" w:w="120"/>
              <w:bottom w:type="dxa" w:w="80"/>
              <w:right w:type="dxa" w:w="120"/>
            </w:tcMar>
          </w:tcPr>
          <w:p>
            <w:r>
              <w:rPr>
                <w:rFonts w:ascii="Arial" w:cs="Arial" w:eastAsia="Arial" w:hAnsi="Arial"/>
                <w:color w:val="1A1A1A"/>
                <w:sz w:val="19"/>
                <w:szCs w:val="19"/>
              </w:rPr>
              <w:t xml:space="preserve">Place herbs in cold water in a clear jar and set in full sun for 4–6 hours; suitable for delicate herbs and a pleasant cold preparation; limited extraction of volatile oils compared to hot infusion; best for culinary enjoyment rather than medicinal potency; risk of bacterial growth in warm water — consume the same day.</w:t>
            </w:r>
          </w:p>
        </w:tc>
      </w:tr>
      <w:tr>
        <w:tc>
          <w:tcPr>
            <w:tcW w:type="dxa" w:w="2200"/>
            <w:tcBorders>
              <w:top w:val="single" w:color="5C4A8C" w:sz="1"/>
              <w:left w:val="single" w:color="5C4A8C" w:sz="1"/>
              <w:bottom w:val="single" w:color="5C4A8C" w:sz="1"/>
              <w:right w:val="single" w:color="5C4A8C" w:sz="1"/>
            </w:tcBorders>
            <w:shd w:fill="EDE8F8" w:val="clear"/>
            <w:tcMar>
              <w:top w:type="dxa" w:w="80"/>
              <w:left w:type="dxa" w:w="120"/>
              <w:bottom w:type="dxa" w:w="80"/>
              <w:right w:type="dxa" w:w="120"/>
            </w:tcMar>
          </w:tcPr>
          <w:p>
            <w:r>
              <w:rPr>
                <w:rFonts w:ascii="Arial" w:cs="Arial" w:eastAsia="Arial" w:hAnsi="Arial"/>
                <w:b/>
                <w:bCs/>
                <w:color w:val="5C4A8C"/>
                <w:sz w:val="19"/>
                <w:szCs w:val="19"/>
              </w:rPr>
              <w:t xml:space="preserve">Cold infusion</w:t>
            </w:r>
          </w:p>
        </w:tc>
        <w:tc>
          <w:tcPr>
            <w:tcW w:type="dxa" w:w="7160"/>
            <w:tcBorders>
              <w:top w:val="single" w:color="5C4A8C" w:sz="1"/>
              <w:left w:val="single" w:color="5C4A8C" w:sz="1"/>
              <w:bottom w:val="single" w:color="5C4A8C" w:sz="1"/>
              <w:right w:val="single" w:color="5C4A8C"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Some constituents are better preserved by cold water extraction: mucilaginous herbs like marshmallow root are best cold-infused (overnight in cold water) to preserve intact mucilaginous compounds that hot water can partially degrade. Standard exception to the hot infusion rule.</w:t>
            </w:r>
          </w:p>
        </w:tc>
      </w:tr>
      <w:tr>
        <w:tc>
          <w:tcPr>
            <w:tcW w:type="dxa" w:w="2200"/>
            <w:tcBorders>
              <w:top w:val="single" w:color="5C4A8C" w:sz="1"/>
              <w:left w:val="single" w:color="5C4A8C" w:sz="1"/>
              <w:bottom w:val="single" w:color="5C4A8C" w:sz="1"/>
              <w:right w:val="single" w:color="5C4A8C" w:sz="1"/>
            </w:tcBorders>
            <w:shd w:fill="EEEEEE" w:val="clear"/>
            <w:tcMar>
              <w:top w:type="dxa" w:w="80"/>
              <w:left w:type="dxa" w:w="120"/>
              <w:bottom w:type="dxa" w:w="80"/>
              <w:right w:type="dxa" w:w="120"/>
            </w:tcMar>
          </w:tcPr>
          <w:p>
            <w:r>
              <w:rPr>
                <w:rFonts w:ascii="Arial" w:cs="Arial" w:eastAsia="Arial" w:hAnsi="Arial"/>
                <w:b/>
                <w:bCs/>
                <w:color w:val="5C4A8C"/>
                <w:sz w:val="19"/>
                <w:szCs w:val="19"/>
              </w:rPr>
              <w:t xml:space="preserve">Dosage for tea</w:t>
            </w:r>
          </w:p>
        </w:tc>
        <w:tc>
          <w:tcPr>
            <w:tcW w:type="dxa" w:w="7160"/>
            <w:tcBorders>
              <w:top w:val="single" w:color="5C4A8C" w:sz="1"/>
              <w:left w:val="single" w:color="5C4A8C" w:sz="1"/>
              <w:bottom w:val="single" w:color="5C4A8C" w:sz="1"/>
              <w:right w:val="single" w:color="5C4A8C" w:sz="1"/>
            </w:tcBorders>
            <w:shd w:fill="F8F8F8" w:val="clear"/>
            <w:tcMar>
              <w:top w:type="dxa" w:w="80"/>
              <w:left w:type="dxa" w:w="120"/>
              <w:bottom w:type="dxa" w:w="80"/>
              <w:right w:type="dxa" w:w="120"/>
            </w:tcMar>
          </w:tcPr>
          <w:p>
            <w:r>
              <w:rPr>
                <w:rFonts w:ascii="Arial" w:cs="Arial" w:eastAsia="Arial" w:hAnsi="Arial"/>
                <w:color w:val="1A1A1A"/>
                <w:sz w:val="19"/>
                <w:szCs w:val="19"/>
              </w:rPr>
              <w:t xml:space="preserve">For most adult-strength medicinal teas: 2–4 cups per day during acute conditions; 1–2 cups daily for tonic or preventive use. Begin with 1 cup to assess tolerance.</w:t>
            </w:r>
          </w:p>
        </w:tc>
      </w:tr>
    </w:tbl>
    <w:p>
      <w:pPr>
        <w:spacing w:before="200" w:after="0"/>
      </w:pPr>
      <w:r>
        <w:t xml:space="preserve"/>
      </w:r>
    </w:p>
    <w:p>
      <w:pPr>
        <w:pStyle w:val="Heading2"/>
        <w:spacing w:before="260" w:after="100"/>
      </w:pPr>
      <w:r>
        <w:rPr>
          <w:rFonts w:ascii="Arial" w:cs="Arial" w:eastAsia="Arial" w:hAnsi="Arial"/>
          <w:b/>
          <w:bCs/>
          <w:color w:val="1A6060"/>
          <w:sz w:val="28"/>
          <w:szCs w:val="28"/>
        </w:rPr>
        <w:t xml:space="preserve">Tinctures: Alcohol Extractions</w:t>
      </w:r>
    </w:p>
    <w:p>
      <w:pPr>
        <w:spacing w:before="70" w:after="70"/>
      </w:pPr>
      <w:r>
        <w:rPr>
          <w:rFonts w:ascii="Arial" w:cs="Arial" w:eastAsia="Arial" w:hAnsi="Arial"/>
          <w:color w:val="1A1A1A"/>
          <w:sz w:val="22"/>
          <w:szCs w:val="22"/>
        </w:rPr>
        <w:t xml:space="preserve">A tincture is a concentrated herbal extract made by steeping plant material in alcohol, which extracts a broader range of compounds than water alone — including resinous, oily, and many bioactive compounds that don't extract well into water. Tinctures are more concentrated than teas, have a long shelf life (3–5 years), and allow precise dosing.</w:t>
      </w:r>
    </w:p>
    <w:p>
      <w:pPr>
        <w:spacing w:before="120" w:after="0"/>
      </w:pPr>
      <w:r>
        <w:t xml:space="preserve"/>
      </w:r>
    </w:p>
    <w:p>
      <w:pPr>
        <w:pStyle w:val="Heading3"/>
        <w:spacing w:before="180" w:after="70"/>
      </w:pPr>
      <w:r>
        <w:rPr>
          <w:rFonts w:ascii="Arial" w:cs="Arial" w:eastAsia="Arial" w:hAnsi="Arial"/>
          <w:b/>
          <w:bCs/>
          <w:color w:val="8C3A1A"/>
          <w:sz w:val="24"/>
          <w:szCs w:val="24"/>
        </w:rPr>
        <w:t xml:space="preserve">Folk Method (Simple Ratio Method)</w:t>
      </w:r>
    </w:p>
    <w:p>
      <w:pPr>
        <w:pStyle w:val="ListParagraph"/>
        <w:numPr>
          <w:ilvl w:val="0"/>
          <w:numId w:val="2"/>
        </w:numPr>
        <w:spacing w:before="50" w:after="50"/>
      </w:pPr>
      <w:r>
        <w:rPr>
          <w:rFonts w:ascii="Arial" w:cs="Arial" w:eastAsia="Arial" w:hAnsi="Arial"/>
          <w:color w:val="1A1A1A"/>
          <w:sz w:val="22"/>
          <w:szCs w:val="22"/>
        </w:rPr>
        <w:t xml:space="preserve">Fill a clean glass jar loosely with fresh herbs or half-full with dried herbs</w:t>
      </w:r>
    </w:p>
    <w:p>
      <w:pPr>
        <w:pStyle w:val="ListParagraph"/>
        <w:numPr>
          <w:ilvl w:val="0"/>
          <w:numId w:val="2"/>
        </w:numPr>
        <w:spacing w:before="50" w:after="50"/>
      </w:pPr>
      <w:r>
        <w:rPr>
          <w:rFonts w:ascii="Arial" w:cs="Arial" w:eastAsia="Arial" w:hAnsi="Arial"/>
          <w:color w:val="1A1A1A"/>
          <w:sz w:val="22"/>
          <w:szCs w:val="22"/>
        </w:rPr>
        <w:t xml:space="preserve">Cover completely with 80-proof vodka (40% alcohol) for most herbs; 190-proof grain alcohol diluted to 60% for resins, fresh roots, and very tough plant materials</w:t>
      </w:r>
    </w:p>
    <w:p>
      <w:pPr>
        <w:pStyle w:val="ListParagraph"/>
        <w:numPr>
          <w:ilvl w:val="0"/>
          <w:numId w:val="2"/>
        </w:numPr>
        <w:spacing w:before="50" w:after="50"/>
      </w:pPr>
      <w:r>
        <w:rPr>
          <w:rFonts w:ascii="Arial" w:cs="Arial" w:eastAsia="Arial" w:hAnsi="Arial"/>
          <w:color w:val="1A1A1A"/>
          <w:sz w:val="22"/>
          <w:szCs w:val="22"/>
        </w:rPr>
        <w:t xml:space="preserve">Seal tightly; shake daily; steep for 4–6 weeks in a cool dark location</w:t>
      </w:r>
    </w:p>
    <w:p>
      <w:pPr>
        <w:pStyle w:val="ListParagraph"/>
        <w:numPr>
          <w:ilvl w:val="0"/>
          <w:numId w:val="2"/>
        </w:numPr>
        <w:spacing w:before="50" w:after="50"/>
      </w:pPr>
      <w:r>
        <w:rPr>
          <w:rFonts w:ascii="Arial" w:cs="Arial" w:eastAsia="Arial" w:hAnsi="Arial"/>
          <w:color w:val="1A1A1A"/>
          <w:sz w:val="22"/>
          <w:szCs w:val="22"/>
        </w:rPr>
        <w:t xml:space="preserve">Strain through cheesecloth or muslin, squeezing all liquid from the marc (plant material)</w:t>
      </w:r>
    </w:p>
    <w:p>
      <w:pPr>
        <w:pStyle w:val="ListParagraph"/>
        <w:numPr>
          <w:ilvl w:val="0"/>
          <w:numId w:val="2"/>
        </w:numPr>
        <w:spacing w:before="50" w:after="50"/>
      </w:pPr>
      <w:r>
        <w:rPr>
          <w:rFonts w:ascii="Arial" w:cs="Arial" w:eastAsia="Arial" w:hAnsi="Arial"/>
          <w:color w:val="1A1A1A"/>
          <w:sz w:val="22"/>
          <w:szCs w:val="22"/>
        </w:rPr>
        <w:t xml:space="preserve">Bottle in amber dropper bottles; label with herb, date, and alcohol used; store in cool dark location</w:t>
      </w:r>
    </w:p>
    <w:p>
      <w:pPr>
        <w:pStyle w:val="ListParagraph"/>
        <w:numPr>
          <w:ilvl w:val="0"/>
          <w:numId w:val="2"/>
        </w:numPr>
        <w:spacing w:before="50" w:after="50"/>
      </w:pPr>
      <w:r>
        <w:rPr>
          <w:rFonts w:ascii="Arial" w:cs="Arial" w:eastAsia="Arial" w:hAnsi="Arial"/>
          <w:color w:val="1A1A1A"/>
          <w:sz w:val="22"/>
          <w:szCs w:val="22"/>
        </w:rPr>
        <w:t xml:space="preserve">Standard adult dose: 30–60 drops (1–2 ml) in water, 2–3 times daily; adjust based on herb-specific guidance</w:t>
      </w:r>
    </w:p>
    <w:p>
      <w:pPr>
        <w:spacing w:before="120" w:after="0"/>
      </w:pPr>
      <w:r>
        <w:t xml:space="preserve"/>
      </w:r>
    </w:p>
    <w:p>
      <w:pPr>
        <w:pStyle w:val="Heading3"/>
        <w:spacing w:before="180" w:after="70"/>
      </w:pPr>
      <w:r>
        <w:rPr>
          <w:rFonts w:ascii="Arial" w:cs="Arial" w:eastAsia="Arial" w:hAnsi="Arial"/>
          <w:b/>
          <w:bCs/>
          <w:color w:val="8C3A1A"/>
          <w:sz w:val="24"/>
          <w:szCs w:val="24"/>
        </w:rPr>
        <w:t xml:space="preserve">Weight-to-Volume Method (More Precise)</w:t>
      </w:r>
    </w:p>
    <w:p>
      <w:pPr>
        <w:spacing w:before="70" w:after="70"/>
      </w:pPr>
      <w:r>
        <w:rPr>
          <w:rFonts w:ascii="Arial" w:cs="Arial" w:eastAsia="Arial" w:hAnsi="Arial"/>
          <w:color w:val="1A1A1A"/>
          <w:sz w:val="22"/>
          <w:szCs w:val="22"/>
        </w:rPr>
        <w:t xml:space="preserve">The weight-to-volume (W:V) method produces consistent, reproducible tinctures with known concentration ratios:</w:t>
      </w:r>
    </w:p>
    <w:p>
      <w:pPr>
        <w:pStyle w:val="ListParagraph"/>
        <w:numPr>
          <w:ilvl w:val="0"/>
          <w:numId w:val="3"/>
        </w:numPr>
        <w:spacing w:before="50" w:after="50"/>
      </w:pPr>
      <w:r>
        <w:rPr>
          <w:rFonts w:ascii="Arial" w:cs="Arial" w:eastAsia="Arial" w:hAnsi="Arial"/>
          <w:b w:val="false"/>
          <w:bCs w:val="false"/>
          <w:color w:val="1A1A1A"/>
          <w:sz w:val="22"/>
          <w:szCs w:val="22"/>
        </w:rPr>
        <w:t xml:space="preserve">1:5 ratio (standard for dried herbs): 1 gram dried herb to 5 ml menstruum (solvent); weigh 200g dried herb; measure 1,000 ml alcohol-water mixture at appropriate percentage for the herb</w:t>
      </w:r>
    </w:p>
    <w:p>
      <w:pPr>
        <w:pStyle w:val="ListParagraph"/>
        <w:numPr>
          <w:ilvl w:val="0"/>
          <w:numId w:val="3"/>
        </w:numPr>
        <w:spacing w:before="50" w:after="50"/>
      </w:pPr>
      <w:r>
        <w:rPr>
          <w:rFonts w:ascii="Arial" w:cs="Arial" w:eastAsia="Arial" w:hAnsi="Arial"/>
          <w:b w:val="false"/>
          <w:bCs w:val="false"/>
          <w:color w:val="1A1A1A"/>
          <w:sz w:val="22"/>
          <w:szCs w:val="22"/>
        </w:rPr>
        <w:t xml:space="preserve">1:2 ratio (standard for fresh herbs): 1 gram fresh herb to 2 ml solvent; fresh herbs contain water which dilutes the solvent, so less liquid is added</w:t>
      </w:r>
    </w:p>
    <w:p>
      <w:pPr>
        <w:pStyle w:val="ListParagraph"/>
        <w:numPr>
          <w:ilvl w:val="0"/>
          <w:numId w:val="3"/>
        </w:numPr>
        <w:spacing w:before="50" w:after="50"/>
      </w:pPr>
      <w:r>
        <w:rPr>
          <w:rFonts w:ascii="Arial" w:cs="Arial" w:eastAsia="Arial" w:hAnsi="Arial"/>
          <w:b w:val="false"/>
          <w:bCs w:val="false"/>
          <w:color w:val="1A1A1A"/>
          <w:sz w:val="22"/>
          <w:szCs w:val="22"/>
        </w:rPr>
        <w:t xml:space="preserve">Alcohol percentage: Most dried leaf and flower tinctures: 50–60% alcohol (equal parts 80-proof vodka and water, approximately). Resins, high-resin roots: 70–90% alcohol. Mucilaginous herbs: 25–40% alcohol (more water for mucilage extraction). Dried roots, bark, and seeds: 50–70% alcohol.</w:t>
      </w:r>
    </w:p>
    <w:p>
      <w:pPr>
        <w:spacing w:before="160" w:after="0"/>
      </w:pPr>
      <w:r>
        <w:t xml:space="preserve"/>
      </w:r>
    </w:p>
    <w:p>
      <w:pPr>
        <w:pStyle w:val="Heading3"/>
        <w:spacing w:before="180" w:after="70"/>
      </w:pPr>
      <w:r>
        <w:rPr>
          <w:rFonts w:ascii="Arial" w:cs="Arial" w:eastAsia="Arial" w:hAnsi="Arial"/>
          <w:b/>
          <w:bCs/>
          <w:color w:val="8C3A1A"/>
          <w:sz w:val="24"/>
          <w:szCs w:val="24"/>
        </w:rPr>
        <w:t xml:space="preserve">Non-Alcohol Alternatives (Glycerites)</w:t>
      </w:r>
    </w:p>
    <w:p>
      <w:pPr>
        <w:spacing w:before="70" w:after="70"/>
      </w:pPr>
      <w:r>
        <w:rPr>
          <w:rFonts w:ascii="Arial" w:cs="Arial" w:eastAsia="Arial" w:hAnsi="Arial"/>
          <w:color w:val="1A1A1A"/>
          <w:sz w:val="22"/>
          <w:szCs w:val="22"/>
        </w:rPr>
        <w:t xml:space="preserve">For those avoiding alcohol — children, recovering alcoholics, or those preferring alcohol-free preparations — vegetable glycerin can replace alcohol as the extracting solvent. Glycerites are sweet-tasting, but extract fewer compounds than alcohol and have a shorter shelf life (1–2 years). Use 60–70% food-grade vegetable glycerin and 30–40% water. Preparation method is identical to alcohol tinctures.</w:t>
      </w:r>
    </w:p>
    <w:p>
      <w:pPr>
        <w:spacing w:before="200" w:after="0"/>
      </w:pPr>
      <w:r>
        <w:t xml:space="preserve"/>
      </w:r>
    </w:p>
    <w:p>
      <w:pPr>
        <w:pStyle w:val="Heading2"/>
        <w:spacing w:before="260" w:after="100"/>
      </w:pPr>
      <w:r>
        <w:rPr>
          <w:rFonts w:ascii="Arial" w:cs="Arial" w:eastAsia="Arial" w:hAnsi="Arial"/>
          <w:b/>
          <w:bCs/>
          <w:color w:val="1A6060"/>
          <w:sz w:val="28"/>
          <w:szCs w:val="28"/>
        </w:rPr>
        <w:t xml:space="preserve">Infused Oils</w:t>
      </w:r>
    </w:p>
    <w:p>
      <w:pPr>
        <w:spacing w:before="70" w:after="70"/>
      </w:pPr>
      <w:r>
        <w:rPr>
          <w:rFonts w:ascii="Arial" w:cs="Arial" w:eastAsia="Arial" w:hAnsi="Arial"/>
          <w:color w:val="1A1A1A"/>
          <w:sz w:val="22"/>
          <w:szCs w:val="22"/>
        </w:rPr>
        <w:t xml:space="preserve">Infused oils extract fat-soluble compounds from plant material and form the base of salves, balms, and topical applications. They are NOT the same as essential oils (which are concentrated aromatic distillates requiring specialized equipment). Infused oils are simple kitchen preparations.</w:t>
      </w:r>
    </w:p>
    <w:p>
      <w:pPr>
        <w:spacing w:before="120" w:after="0"/>
      </w:pPr>
      <w:r>
        <w:t xml:space="preserve"/>
      </w:r>
    </w:p>
    <w:p>
      <w:pPr>
        <w:pStyle w:val="Heading3"/>
        <w:spacing w:before="180" w:after="70"/>
      </w:pPr>
      <w:r>
        <w:rPr>
          <w:rFonts w:ascii="Arial" w:cs="Arial" w:eastAsia="Arial" w:hAnsi="Arial"/>
          <w:b/>
          <w:bCs/>
          <w:color w:val="8C3A1A"/>
          <w:sz w:val="24"/>
          <w:szCs w:val="24"/>
        </w:rPr>
        <w:t xml:space="preserve">Cold Infusion Method (Best for Volatile Herbs)</w:t>
      </w:r>
    </w:p>
    <w:p>
      <w:pPr>
        <w:pStyle w:val="ListParagraph"/>
        <w:numPr>
          <w:ilvl w:val="0"/>
          <w:numId w:val="2"/>
        </w:numPr>
        <w:spacing w:before="50" w:after="50"/>
      </w:pPr>
      <w:r>
        <w:rPr>
          <w:rFonts w:ascii="Arial" w:cs="Arial" w:eastAsia="Arial" w:hAnsi="Arial"/>
          <w:color w:val="1A1A1A"/>
          <w:sz w:val="22"/>
          <w:szCs w:val="22"/>
        </w:rPr>
        <w:t xml:space="preserve">Fill a clean glass jar with dried herbs (fresh herbs must be wilted for 12–24 hours first to reduce moisture that causes rancidity)</w:t>
      </w:r>
    </w:p>
    <w:p>
      <w:pPr>
        <w:pStyle w:val="ListParagraph"/>
        <w:numPr>
          <w:ilvl w:val="0"/>
          <w:numId w:val="2"/>
        </w:numPr>
        <w:spacing w:before="50" w:after="50"/>
      </w:pPr>
      <w:r>
        <w:rPr>
          <w:rFonts w:ascii="Arial" w:cs="Arial" w:eastAsia="Arial" w:hAnsi="Arial"/>
          <w:color w:val="1A1A1A"/>
          <w:sz w:val="22"/>
          <w:szCs w:val="22"/>
        </w:rPr>
        <w:t xml:space="preserve">Cover completely with your chosen oil — olive oil (most traditional), jojoba, sunflower, or sweet almond oil; each has different characteristics for the finished product</w:t>
      </w:r>
    </w:p>
    <w:p>
      <w:pPr>
        <w:pStyle w:val="ListParagraph"/>
        <w:numPr>
          <w:ilvl w:val="0"/>
          <w:numId w:val="2"/>
        </w:numPr>
        <w:spacing w:before="50" w:after="50"/>
      </w:pPr>
      <w:r>
        <w:rPr>
          <w:rFonts w:ascii="Arial" w:cs="Arial" w:eastAsia="Arial" w:hAnsi="Arial"/>
          <w:color w:val="1A1A1A"/>
          <w:sz w:val="22"/>
          <w:szCs w:val="22"/>
        </w:rPr>
        <w:t xml:space="preserve">Seal tightly; place in a warm sunny spot or warm location (70–80°F) for 4–6 weeks, shaking daily</w:t>
      </w:r>
    </w:p>
    <w:p>
      <w:pPr>
        <w:pStyle w:val="ListParagraph"/>
        <w:numPr>
          <w:ilvl w:val="0"/>
          <w:numId w:val="2"/>
        </w:numPr>
        <w:spacing w:before="50" w:after="50"/>
      </w:pPr>
      <w:r>
        <w:rPr>
          <w:rFonts w:ascii="Arial" w:cs="Arial" w:eastAsia="Arial" w:hAnsi="Arial"/>
          <w:color w:val="1A1A1A"/>
          <w:sz w:val="22"/>
          <w:szCs w:val="22"/>
        </w:rPr>
        <w:t xml:space="preserve">Strain through cheesecloth; press marc firmly; bottle in amber glass; label with contents and date; refrigerate for up to 1 year</w:t>
      </w:r>
    </w:p>
    <w:p>
      <w:pPr>
        <w:spacing w:before="120" w:after="0"/>
      </w:pPr>
      <w:r>
        <w:t xml:space="preserve"/>
      </w:r>
    </w:p>
    <w:p>
      <w:pPr>
        <w:pStyle w:val="Heading3"/>
        <w:spacing w:before="180" w:after="70"/>
      </w:pPr>
      <w:r>
        <w:rPr>
          <w:rFonts w:ascii="Arial" w:cs="Arial" w:eastAsia="Arial" w:hAnsi="Arial"/>
          <w:b/>
          <w:bCs/>
          <w:color w:val="8C3A1A"/>
          <w:sz w:val="24"/>
          <w:szCs w:val="24"/>
        </w:rPr>
        <w:t xml:space="preserve">Warm Infusion Method (Faster)</w:t>
      </w:r>
    </w:p>
    <w:p>
      <w:pPr>
        <w:pStyle w:val="ListParagraph"/>
        <w:numPr>
          <w:ilvl w:val="0"/>
          <w:numId w:val="2"/>
        </w:numPr>
        <w:spacing w:before="50" w:after="50"/>
      </w:pPr>
      <w:r>
        <w:rPr>
          <w:rFonts w:ascii="Arial" w:cs="Arial" w:eastAsia="Arial" w:hAnsi="Arial"/>
          <w:color w:val="1A1A1A"/>
          <w:sz w:val="22"/>
          <w:szCs w:val="22"/>
        </w:rPr>
        <w:t xml:space="preserve">Place herbs and oil in a double boiler or slow cooker set to lowest setting (100–110°F)</w:t>
      </w:r>
    </w:p>
    <w:p>
      <w:pPr>
        <w:pStyle w:val="ListParagraph"/>
        <w:numPr>
          <w:ilvl w:val="0"/>
          <w:numId w:val="2"/>
        </w:numPr>
        <w:spacing w:before="50" w:after="50"/>
      </w:pPr>
      <w:r>
        <w:rPr>
          <w:rFonts w:ascii="Arial" w:cs="Arial" w:eastAsia="Arial" w:hAnsi="Arial"/>
          <w:color w:val="1A1A1A"/>
          <w:sz w:val="22"/>
          <w:szCs w:val="22"/>
        </w:rPr>
        <w:t xml:space="preserve">Maintain low temperature for 4–8 hours, stirring occasionally — do not allow oil to exceed 140°F or simmer (destroys volatile compounds and degrades oil)</w:t>
      </w:r>
    </w:p>
    <w:p>
      <w:pPr>
        <w:pStyle w:val="ListParagraph"/>
        <w:numPr>
          <w:ilvl w:val="0"/>
          <w:numId w:val="2"/>
        </w:numPr>
        <w:spacing w:before="50" w:after="50"/>
      </w:pPr>
      <w:r>
        <w:rPr>
          <w:rFonts w:ascii="Arial" w:cs="Arial" w:eastAsia="Arial" w:hAnsi="Arial"/>
          <w:color w:val="1A1A1A"/>
          <w:sz w:val="22"/>
          <w:szCs w:val="22"/>
        </w:rPr>
        <w:t xml:space="preserve">Strain and bottle as above</w:t>
      </w:r>
    </w:p>
    <w:p>
      <w:pPr>
        <w:pStyle w:val="ListParagraph"/>
        <w:numPr>
          <w:ilvl w:val="0"/>
          <w:numId w:val="2"/>
        </w:numPr>
        <w:spacing w:before="50" w:after="50"/>
      </w:pPr>
      <w:r>
        <w:rPr>
          <w:rFonts w:ascii="Arial" w:cs="Arial" w:eastAsia="Arial" w:hAnsi="Arial"/>
          <w:color w:val="1A1A1A"/>
          <w:sz w:val="22"/>
          <w:szCs w:val="22"/>
        </w:rPr>
        <w:t xml:space="preserve">Best herbs for infused oils: calendula (classic wound-healing oil), St. John's Wort (pain relief; anti-inflammatory), lavender (calming; antiseptic), comfrey (tissue healing), plantain (drawing; anti-inflammatory), arnica (bruises; muscle pain — for external use only)</w:t>
      </w:r>
    </w:p>
    <w:p>
      <w:pPr>
        <w:spacing w:before="200" w:after="0"/>
      </w:pPr>
      <w:r>
        <w:t xml:space="preserve"/>
      </w:r>
    </w:p>
    <w:p>
      <w:pPr>
        <w:pStyle w:val="Heading2"/>
        <w:spacing w:before="260" w:after="100"/>
      </w:pPr>
      <w:r>
        <w:rPr>
          <w:rFonts w:ascii="Arial" w:cs="Arial" w:eastAsia="Arial" w:hAnsi="Arial"/>
          <w:b/>
          <w:bCs/>
          <w:color w:val="1A6060"/>
          <w:sz w:val="28"/>
          <w:szCs w:val="28"/>
        </w:rPr>
        <w:t xml:space="preserve">Salves and Balms</w:t>
      </w:r>
    </w:p>
    <w:p>
      <w:pPr>
        <w:spacing w:before="70" w:after="70"/>
      </w:pPr>
      <w:r>
        <w:rPr>
          <w:rFonts w:ascii="Arial" w:cs="Arial" w:eastAsia="Arial" w:hAnsi="Arial"/>
          <w:color w:val="1A1A1A"/>
          <w:sz w:val="22"/>
          <w:szCs w:val="22"/>
        </w:rPr>
        <w:t xml:space="preserve">A salve is simply an infused oil that has been thickened with beeswax (or candelilla wax for a vegan alternative) to produce a solid or semi-solid topical preparation. It is one of the most versatile and useful preparations in the home herbalist's repertoire.</w:t>
      </w:r>
    </w:p>
    <w:p>
      <w:pPr>
        <w:spacing w:before="120" w:after="0"/>
      </w:pPr>
      <w:r>
        <w:t xml:space="preserve"/>
      </w:r>
    </w:p>
    <w:p>
      <w:pPr>
        <w:pStyle w:val="ListParagraph"/>
        <w:numPr>
          <w:ilvl w:val="0"/>
          <w:numId w:val="2"/>
        </w:numPr>
        <w:spacing w:before="50" w:after="50"/>
      </w:pPr>
      <w:r>
        <w:rPr>
          <w:rFonts w:ascii="Arial" w:cs="Arial" w:eastAsia="Arial" w:hAnsi="Arial"/>
          <w:color w:val="1A1A1A"/>
          <w:sz w:val="22"/>
          <w:szCs w:val="22"/>
        </w:rPr>
        <w:t xml:space="preserve">Prepare infused oil by either method above</w:t>
      </w:r>
    </w:p>
    <w:p>
      <w:pPr>
        <w:pStyle w:val="ListParagraph"/>
        <w:numPr>
          <w:ilvl w:val="0"/>
          <w:numId w:val="2"/>
        </w:numPr>
        <w:spacing w:before="50" w:after="50"/>
      </w:pPr>
      <w:r>
        <w:rPr>
          <w:rFonts w:ascii="Arial" w:cs="Arial" w:eastAsia="Arial" w:hAnsi="Arial"/>
          <w:color w:val="1A1A1A"/>
          <w:sz w:val="22"/>
          <w:szCs w:val="22"/>
        </w:rPr>
        <w:t xml:space="preserve">The standard ratio: 1 ounce beeswax per 8 ounces of infused oil produces a medium-firm salve; for a softer balm, use less wax; for a harder lip balm or stick, use more</w:t>
      </w:r>
    </w:p>
    <w:p>
      <w:pPr>
        <w:pStyle w:val="ListParagraph"/>
        <w:numPr>
          <w:ilvl w:val="0"/>
          <w:numId w:val="2"/>
        </w:numPr>
        <w:spacing w:before="50" w:after="50"/>
      </w:pPr>
      <w:r>
        <w:rPr>
          <w:rFonts w:ascii="Arial" w:cs="Arial" w:eastAsia="Arial" w:hAnsi="Arial"/>
          <w:color w:val="1A1A1A"/>
          <w:sz w:val="22"/>
          <w:szCs w:val="22"/>
        </w:rPr>
        <w:t xml:space="preserve">Melt beeswax in a double boiler; add infused oil and stir to combine; test consistency by placing a small amount on a cold plate — adjusting wax up or down as needed</w:t>
      </w:r>
    </w:p>
    <w:p>
      <w:pPr>
        <w:pStyle w:val="ListParagraph"/>
        <w:numPr>
          <w:ilvl w:val="0"/>
          <w:numId w:val="2"/>
        </w:numPr>
        <w:spacing w:before="50" w:after="50"/>
      </w:pPr>
      <w:r>
        <w:rPr>
          <w:rFonts w:ascii="Arial" w:cs="Arial" w:eastAsia="Arial" w:hAnsi="Arial"/>
          <w:color w:val="1A1A1A"/>
          <w:sz w:val="22"/>
          <w:szCs w:val="22"/>
        </w:rPr>
        <w:t xml:space="preserve">Remove from heat; add any essential oils at this point (10–15 drops per ounce if desired); pour immediately into clean tins or small glass jars before the wax begins to set</w:t>
      </w:r>
    </w:p>
    <w:p>
      <w:pPr>
        <w:pStyle w:val="ListParagraph"/>
        <w:numPr>
          <w:ilvl w:val="0"/>
          <w:numId w:val="2"/>
        </w:numPr>
        <w:spacing w:before="50" w:after="50"/>
      </w:pPr>
      <w:r>
        <w:rPr>
          <w:rFonts w:ascii="Arial" w:cs="Arial" w:eastAsia="Arial" w:hAnsi="Arial"/>
          <w:color w:val="1A1A1A"/>
          <w:sz w:val="22"/>
          <w:szCs w:val="22"/>
        </w:rPr>
        <w:t xml:space="preserve">Allow to cool undisturbed; label and date; shelf life 1–2 years stored at room temperature away from heat and light</w:t>
      </w:r>
    </w:p>
    <w:p>
      <w:pPr>
        <w:spacing w:before="160" w:after="0"/>
      </w:pPr>
      <w:r>
        <w:t xml:space="preserve"/>
      </w:r>
    </w:p>
    <w:p>
      <w:pPr>
        <w:pStyle w:val="Heading2"/>
        <w:spacing w:before="260" w:after="100"/>
      </w:pPr>
      <w:r>
        <w:rPr>
          <w:rFonts w:ascii="Arial" w:cs="Arial" w:eastAsia="Arial" w:hAnsi="Arial"/>
          <w:b/>
          <w:bCs/>
          <w:color w:val="1A6060"/>
          <w:sz w:val="28"/>
          <w:szCs w:val="28"/>
        </w:rPr>
        <w:t xml:space="preserve">Poultices, Compresses, and Liniments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2D5A27" w:sz="1"/>
              <w:left w:val="single" w:color="2D5A27" w:sz="1"/>
              <w:bottom w:val="single" w:color="2D5A27" w:sz="1"/>
              <w:right w:val="single" w:color="2D5A27" w:sz="1"/>
            </w:tcBorders>
            <w:shd w:fill="D8EDD5" w:val="clear"/>
            <w:tcMar>
              <w:top w:type="dxa" w:w="80"/>
              <w:left w:type="dxa" w:w="120"/>
              <w:bottom w:type="dxa" w:w="80"/>
              <w:right w:type="dxa" w:w="120"/>
            </w:tcMar>
          </w:tcPr>
          <w:p>
            <w:r>
              <w:rPr>
                <w:rFonts w:ascii="Arial" w:cs="Arial" w:eastAsia="Arial" w:hAnsi="Arial"/>
                <w:b/>
                <w:bCs/>
                <w:color w:val="2D5A27"/>
                <w:sz w:val="19"/>
                <w:szCs w:val="19"/>
              </w:rPr>
              <w:t xml:space="preserve">Poultice</w:t>
            </w:r>
          </w:p>
        </w:tc>
        <w:tc>
          <w:tcPr>
            <w:tcW w:type="dxa" w:w="7160"/>
            <w:tcBorders>
              <w:top w:val="single" w:color="2D5A27" w:sz="1"/>
              <w:left w:val="single" w:color="2D5A27" w:sz="1"/>
              <w:bottom w:val="single" w:color="2D5A27" w:sz="1"/>
              <w:right w:val="single" w:color="2D5A27"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The most direct topical application: mash or process fresh herbs into a paste (use a blender, food processor, or mortar and pestle) and apply directly to skin. Alternatively, moisten dried herbs with hot water to soften. Hold in place with a cloth bandage. Best for: fresh plantain poultice for bee stings and insect bites (chew a plantain leaf and apply immediately — the classic field medicine application); comfrey poultice for bruises and sprains; cabbage poultice for inflammation.</w:t>
            </w:r>
          </w:p>
        </w:tc>
      </w:tr>
      <w:tr>
        <w:tc>
          <w:tcPr>
            <w:tcW w:type="dxa" w:w="2200"/>
            <w:tcBorders>
              <w:top w:val="single" w:color="2D5A27" w:sz="1"/>
              <w:left w:val="single" w:color="2D5A27" w:sz="1"/>
              <w:bottom w:val="single" w:color="2D5A27" w:sz="1"/>
              <w:right w:val="single" w:color="2D5A27" w:sz="1"/>
            </w:tcBorders>
            <w:shd w:fill="EEEEEE" w:val="clear"/>
            <w:tcMar>
              <w:top w:type="dxa" w:w="80"/>
              <w:left w:type="dxa" w:w="120"/>
              <w:bottom w:type="dxa" w:w="80"/>
              <w:right w:type="dxa" w:w="120"/>
            </w:tcMar>
          </w:tcPr>
          <w:p>
            <w:r>
              <w:rPr>
                <w:rFonts w:ascii="Arial" w:cs="Arial" w:eastAsia="Arial" w:hAnsi="Arial"/>
                <w:b/>
                <w:bCs/>
                <w:color w:val="2D5A27"/>
                <w:sz w:val="19"/>
                <w:szCs w:val="19"/>
              </w:rPr>
              <w:t xml:space="preserve">Compress</w:t>
            </w:r>
          </w:p>
        </w:tc>
        <w:tc>
          <w:tcPr>
            <w:tcW w:type="dxa" w:w="7160"/>
            <w:tcBorders>
              <w:top w:val="single" w:color="2D5A27" w:sz="1"/>
              <w:left w:val="single" w:color="2D5A27" w:sz="1"/>
              <w:bottom w:val="single" w:color="2D5A27" w:sz="1"/>
              <w:right w:val="single" w:color="2D5A27" w:sz="1"/>
            </w:tcBorders>
            <w:shd w:fill="F8F8F8" w:val="clear"/>
            <w:tcMar>
              <w:top w:type="dxa" w:w="80"/>
              <w:left w:type="dxa" w:w="120"/>
              <w:bottom w:type="dxa" w:w="80"/>
              <w:right w:type="dxa" w:w="120"/>
            </w:tcMar>
          </w:tcPr>
          <w:p>
            <w:r>
              <w:rPr>
                <w:rFonts w:ascii="Arial" w:cs="Arial" w:eastAsia="Arial" w:hAnsi="Arial"/>
                <w:color w:val="1A1A1A"/>
                <w:sz w:val="19"/>
                <w:szCs w:val="19"/>
              </w:rPr>
              <w:t xml:space="preserve">Soak a clean cloth in strong herbal tea or diluted tincture; wring out; apply to affected area. Hot compress: for muscle tension, sinus congestion, cramping. Cold compress: for fever, inflammation, headache. Allows a larger surface application than a poultice; more comfortable for some situations.</w:t>
            </w:r>
          </w:p>
        </w:tc>
      </w:tr>
      <w:tr>
        <w:tc>
          <w:tcPr>
            <w:tcW w:type="dxa" w:w="2200"/>
            <w:tcBorders>
              <w:top w:val="single" w:color="2D5A27" w:sz="1"/>
              <w:left w:val="single" w:color="2D5A27" w:sz="1"/>
              <w:bottom w:val="single" w:color="2D5A27" w:sz="1"/>
              <w:right w:val="single" w:color="2D5A27" w:sz="1"/>
            </w:tcBorders>
            <w:shd w:fill="D8EDD5" w:val="clear"/>
            <w:tcMar>
              <w:top w:type="dxa" w:w="80"/>
              <w:left w:type="dxa" w:w="120"/>
              <w:bottom w:type="dxa" w:w="80"/>
              <w:right w:type="dxa" w:w="120"/>
            </w:tcMar>
          </w:tcPr>
          <w:p>
            <w:r>
              <w:rPr>
                <w:rFonts w:ascii="Arial" w:cs="Arial" w:eastAsia="Arial" w:hAnsi="Arial"/>
                <w:b/>
                <w:bCs/>
                <w:color w:val="2D5A27"/>
                <w:sz w:val="19"/>
                <w:szCs w:val="19"/>
              </w:rPr>
              <w:t xml:space="preserve">Liniment</w:t>
            </w:r>
          </w:p>
        </w:tc>
        <w:tc>
          <w:tcPr>
            <w:tcW w:type="dxa" w:w="7160"/>
            <w:tcBorders>
              <w:top w:val="single" w:color="2D5A27" w:sz="1"/>
              <w:left w:val="single" w:color="2D5A27" w:sz="1"/>
              <w:bottom w:val="single" w:color="2D5A27" w:sz="1"/>
              <w:right w:val="single" w:color="2D5A27"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An herbal preparation in alcohol (or sometimes vinegar) designed for external use on muscles and joints — NOT for internal use. The alcohol carries active compounds quickly through the skin. Traditional examples: camphor liniment for muscle pain; arnica liniment for bruises and sports injuries. Make similarly to a tincture but use rubbing alcohol, isopropyl alcohol, or high-proof grain alcohol; apply externally by rubbing into affected area.</w:t>
            </w:r>
          </w:p>
        </w:tc>
      </w:tr>
      <w:tr>
        <w:tc>
          <w:tcPr>
            <w:tcW w:type="dxa" w:w="2200"/>
            <w:tcBorders>
              <w:top w:val="single" w:color="2D5A27" w:sz="1"/>
              <w:left w:val="single" w:color="2D5A27" w:sz="1"/>
              <w:bottom w:val="single" w:color="2D5A27" w:sz="1"/>
              <w:right w:val="single" w:color="2D5A27" w:sz="1"/>
            </w:tcBorders>
            <w:shd w:fill="EEEEEE" w:val="clear"/>
            <w:tcMar>
              <w:top w:type="dxa" w:w="80"/>
              <w:left w:type="dxa" w:w="120"/>
              <w:bottom w:type="dxa" w:w="80"/>
              <w:right w:type="dxa" w:w="120"/>
            </w:tcMar>
          </w:tcPr>
          <w:p>
            <w:r>
              <w:rPr>
                <w:rFonts w:ascii="Arial" w:cs="Arial" w:eastAsia="Arial" w:hAnsi="Arial"/>
                <w:b/>
                <w:bCs/>
                <w:color w:val="2D5A27"/>
                <w:sz w:val="19"/>
                <w:szCs w:val="19"/>
              </w:rPr>
              <w:t xml:space="preserve">Capsules and powders</w:t>
            </w:r>
          </w:p>
        </w:tc>
        <w:tc>
          <w:tcPr>
            <w:tcW w:type="dxa" w:w="7160"/>
            <w:tcBorders>
              <w:top w:val="single" w:color="2D5A27" w:sz="1"/>
              <w:left w:val="single" w:color="2D5A27" w:sz="1"/>
              <w:bottom w:val="single" w:color="2D5A27" w:sz="1"/>
              <w:right w:val="single" w:color="2D5A27" w:sz="1"/>
            </w:tcBorders>
            <w:shd w:fill="F8F8F8" w:val="clear"/>
            <w:tcMar>
              <w:top w:type="dxa" w:w="80"/>
              <w:left w:type="dxa" w:w="120"/>
              <w:bottom w:type="dxa" w:w="80"/>
              <w:right w:type="dxa" w:w="120"/>
            </w:tcMar>
          </w:tcPr>
          <w:p>
            <w:r>
              <w:rPr>
                <w:rFonts w:ascii="Arial" w:cs="Arial" w:eastAsia="Arial" w:hAnsi="Arial"/>
                <w:color w:val="1A1A1A"/>
                <w:sz w:val="19"/>
                <w:szCs w:val="19"/>
              </w:rPr>
              <w:t xml:space="preserve">Dried herbs can be ground to powder (in a coffee grinder dedicated to herbs) and filled into empty vegetable capsules (widely available from health food stores). This method is ideal for herbs with strong or unpleasant taste (valerian, turmeric, marshmallow root) where the tea is unpalatable. Standard capsule sizes: 00 (largest common) holds approximately 500mg of most herb powders; typical adult dose is 1–3 capsules, 2–3 times daily.</w:t>
            </w:r>
          </w:p>
        </w:tc>
      </w:tr>
      <w:tr>
        <w:tc>
          <w:tcPr>
            <w:tcW w:type="dxa" w:w="2200"/>
            <w:tcBorders>
              <w:top w:val="single" w:color="2D5A27" w:sz="1"/>
              <w:left w:val="single" w:color="2D5A27" w:sz="1"/>
              <w:bottom w:val="single" w:color="2D5A27" w:sz="1"/>
              <w:right w:val="single" w:color="2D5A27" w:sz="1"/>
            </w:tcBorders>
            <w:shd w:fill="D8EDD5" w:val="clear"/>
            <w:tcMar>
              <w:top w:type="dxa" w:w="80"/>
              <w:left w:type="dxa" w:w="120"/>
              <w:bottom w:type="dxa" w:w="80"/>
              <w:right w:type="dxa" w:w="120"/>
            </w:tcMar>
          </w:tcPr>
          <w:p>
            <w:r>
              <w:rPr>
                <w:rFonts w:ascii="Arial" w:cs="Arial" w:eastAsia="Arial" w:hAnsi="Arial"/>
                <w:b/>
                <w:bCs/>
                <w:color w:val="2D5A27"/>
                <w:sz w:val="19"/>
                <w:szCs w:val="19"/>
              </w:rPr>
              <w:t xml:space="preserve">Oxymels</w:t>
            </w:r>
          </w:p>
        </w:tc>
        <w:tc>
          <w:tcPr>
            <w:tcW w:type="dxa" w:w="7160"/>
            <w:tcBorders>
              <w:top w:val="single" w:color="2D5A27" w:sz="1"/>
              <w:left w:val="single" w:color="2D5A27" w:sz="1"/>
              <w:bottom w:val="single" w:color="2D5A27" w:sz="1"/>
              <w:right w:val="single" w:color="2D5A27" w:sz="1"/>
            </w:tcBorders>
            <w:shd w:fill="FFFFFF" w:val="clear"/>
            <w:tcMar>
              <w:top w:type="dxa" w:w="80"/>
              <w:left w:type="dxa" w:w="120"/>
              <w:bottom w:type="dxa" w:w="80"/>
              <w:right w:type="dxa" w:w="120"/>
            </w:tcMar>
          </w:tcPr>
          <w:p>
            <w:r>
              <w:rPr>
                <w:rFonts w:ascii="Arial" w:cs="Arial" w:eastAsia="Arial" w:hAnsi="Arial"/>
                <w:color w:val="1A1A1A"/>
                <w:sz w:val="19"/>
                <w:szCs w:val="19"/>
              </w:rPr>
              <w:t xml:space="preserve">A traditional preparation combining honey and apple cider vinegar as a menstruum for extracting and preserving herbs. Particularly good for respiratory herbs (thyme, elderberry, elecampane). Ratio: equal parts raw honey and apple cider vinegar as the base; add herbs and steep for 4–6 weeks; strain. Dose: 1–2 tablespoons as needed. Pleasant-tasting; good for children (not under 1 year due to honey/botulism risk).</w:t>
            </w:r>
          </w:p>
        </w:tc>
      </w:tr>
      <w:tr>
        <w:tc>
          <w:tcPr>
            <w:tcW w:type="dxa" w:w="2200"/>
            <w:tcBorders>
              <w:top w:val="single" w:color="2D5A27" w:sz="1"/>
              <w:left w:val="single" w:color="2D5A27" w:sz="1"/>
              <w:bottom w:val="single" w:color="2D5A27" w:sz="1"/>
              <w:right w:val="single" w:color="2D5A27" w:sz="1"/>
            </w:tcBorders>
            <w:shd w:fill="EEEEEE" w:val="clear"/>
            <w:tcMar>
              <w:top w:type="dxa" w:w="80"/>
              <w:left w:type="dxa" w:w="120"/>
              <w:bottom w:type="dxa" w:w="80"/>
              <w:right w:type="dxa" w:w="120"/>
            </w:tcMar>
          </w:tcPr>
          <w:p>
            <w:r>
              <w:rPr>
                <w:rFonts w:ascii="Arial" w:cs="Arial" w:eastAsia="Arial" w:hAnsi="Arial"/>
                <w:b/>
                <w:bCs/>
                <w:color w:val="2D5A27"/>
                <w:sz w:val="19"/>
                <w:szCs w:val="19"/>
              </w:rPr>
              <w:t xml:space="preserve">Herb-infused honey</w:t>
            </w:r>
          </w:p>
        </w:tc>
        <w:tc>
          <w:tcPr>
            <w:tcW w:type="dxa" w:w="7160"/>
            <w:tcBorders>
              <w:top w:val="single" w:color="2D5A27" w:sz="1"/>
              <w:left w:val="single" w:color="2D5A27" w:sz="1"/>
              <w:bottom w:val="single" w:color="2D5A27" w:sz="1"/>
              <w:right w:val="single" w:color="2D5A27" w:sz="1"/>
            </w:tcBorders>
            <w:shd w:fill="F8F8F8" w:val="clear"/>
            <w:tcMar>
              <w:top w:type="dxa" w:w="80"/>
              <w:left w:type="dxa" w:w="120"/>
              <w:bottom w:type="dxa" w:w="80"/>
              <w:right w:type="dxa" w:w="120"/>
            </w:tcMar>
          </w:tcPr>
          <w:p>
            <w:r>
              <w:rPr>
                <w:rFonts w:ascii="Arial" w:cs="Arial" w:eastAsia="Arial" w:hAnsi="Arial"/>
                <w:color w:val="1A1A1A"/>
                <w:sz w:val="19"/>
                <w:szCs w:val="19"/>
              </w:rPr>
              <w:t xml:space="preserve">Gently warm raw honey (110°F maximum — preserves beneficial enzymes); add fresh or dried herbs; steep for 2–4 weeks; strain or leave herbs in honey. Lavender honey, thyme honey (excellent for coughs), and ginger honey are classics. Antimicrobial honey combined with medicinal herbs creates a synergistic preparation.</w:t>
            </w:r>
          </w:p>
        </w:tc>
      </w:tr>
    </w:tbl>
    <w:p>
      <w:pPr>
        <w:spacing w:before="240" w:after="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D7A35" w:sz="2"/>
              <w:left w:val="single" w:color="3D7A35" w:sz="2"/>
              <w:bottom w:val="single" w:color="3D7A35" w:sz="2"/>
              <w:right w:val="single" w:color="3D7A35" w:sz="2"/>
            </w:tcBorders>
            <w:shd w:fill="2D5A27" w:val="clear"/>
            <w:tcMar>
              <w:top w:type="dxa" w:w="220"/>
              <w:left w:type="dxa" w:w="360"/>
              <w:bottom w:type="dxa" w:w="180"/>
              <w:right w:type="dxa" w:w="360"/>
            </w:tcMar>
          </w:tcPr>
          <w:p>
            <w:pPr>
              <w:spacing w:before="0" w:after="60"/>
              <w:jc w:val="center"/>
            </w:pPr>
            <w:r>
              <w:rPr>
                <w:rFonts w:ascii="Arial" w:cs="Arial" w:eastAsia="Arial" w:hAnsi="Arial"/>
                <w:b/>
                <w:bCs/>
                <w:color w:val="FFFFFF"/>
                <w:sz w:val="46"/>
                <w:szCs w:val="46"/>
              </w:rPr>
              <w:t xml:space="preserve">🌿  SECTION 5: THE HERBS — 30 COMPLETE GROWING &amp; HEALING PROFILES</w:t>
            </w:r>
          </w:p>
          <w:p>
            <w:pPr>
              <w:spacing w:before="0" w:after="0"/>
              <w:jc w:val="center"/>
            </w:pPr>
            <w:r>
              <w:rPr>
                <w:rFonts w:ascii="Arial" w:cs="Arial" w:eastAsia="Arial" w:hAnsi="Arial"/>
                <w:i/>
                <w:iCs/>
                <w:color w:val="F0F5EE"/>
                <w:sz w:val="24"/>
                <w:szCs w:val="24"/>
              </w:rPr>
              <w:t xml:space="preserve">Everything you need to know about each medicinal herb: grow, harvest, prepare, and use</w:t>
            </w:r>
          </w:p>
        </w:tc>
      </w:tr>
    </w:tbl>
    <w:p>
      <w:pPr>
        <w:spacing w:before="240" w:after="0"/>
      </w:pPr>
      <w:r>
        <w:t xml:space="preserve"/>
      </w:r>
    </w:p>
    <w:p>
      <w:pPr>
        <w:pStyle w:val="Heading1"/>
        <w:pBdr>
          <w:bottom w:val="single" w:color="2D5A27" w:sz="10" w:space="4"/>
        </w:pBdr>
        <w:spacing w:before="320" w:after="140"/>
      </w:pPr>
      <w:r>
        <w:rPr>
          <w:rFonts w:ascii="Arial" w:cs="Arial" w:eastAsia="Arial" w:hAnsi="Arial"/>
          <w:b/>
          <w:bCs/>
          <w:color w:val="2D5A27"/>
          <w:sz w:val="36"/>
          <w:szCs w:val="36"/>
        </w:rPr>
        <w:t xml:space="preserve">The 30 Essential Medicinal Herbs: Complete Profiles</w:t>
      </w:r>
    </w:p>
    <w:p>
      <w:pPr>
        <w:spacing w:before="70" w:after="70"/>
      </w:pPr>
      <w:r>
        <w:rPr>
          <w:rFonts w:ascii="Arial" w:cs="Arial" w:eastAsia="Arial" w:hAnsi="Arial"/>
          <w:color w:val="1A1A1A"/>
          <w:sz w:val="22"/>
          <w:szCs w:val="22"/>
        </w:rPr>
        <w:t xml:space="preserve">The following profiles are organized roughly from the most commonly used and easily grown to more specialized herbs. Each profile gives you the complete picture: botanical information, growing requirements, what the science and tradition say about medicinal use, how to prepare it, and what safety considerations apply. Read the safety notes in every profile — they are not boilerplate but contain herb-specific information that matters.</w:t>
      </w:r>
    </w:p>
    <w:p>
      <w:pPr>
        <w:spacing w:before="160" w:after="0"/>
      </w:pPr>
      <w:r>
        <w:t xml:space="preserve"/>
      </w:r>
    </w:p>
    <w:p>
      <w:pPr>
        <w:pStyle w:val="Heading2"/>
        <w:spacing w:before="260" w:after="100"/>
      </w:pPr>
      <w:r>
        <w:rPr>
          <w:rFonts w:ascii="Arial" w:cs="Arial" w:eastAsia="Arial" w:hAnsi="Arial"/>
          <w:b/>
          <w:bCs/>
          <w:color w:val="1A6060"/>
          <w:sz w:val="28"/>
          <w:szCs w:val="28"/>
        </w:rPr>
        <w:t xml:space="preserve">Calming and Sleep Herbs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5A27" w:sz="2"/>
              <w:left w:val="single" w:color="2D5A27" w:sz="2"/>
              <w:bottom w:val="single" w:color="2D5A27" w:sz="2"/>
              <w:right w:val="single" w:color="2D5A27" w:sz="2"/>
            </w:tcBorders>
            <w:shd w:fill="2D5A27"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Chamomile</w:t>
            </w:r>
          </w:p>
          <w:p>
            <w:pPr>
              <w:spacing w:before="0" w:after="0"/>
            </w:pPr>
            <w:r>
              <w:rPr>
                <w:rFonts w:ascii="Arial" w:cs="Arial" w:eastAsia="Arial" w:hAnsi="Arial"/>
                <w:i/>
                <w:iCs/>
                <w:color w:val="EEEEEE"/>
                <w:sz w:val="20"/>
                <w:szCs w:val="20"/>
              </w:rPr>
              <w:t xml:space="preserve">Matricaria chamomilla (German) / Chamaemelum nobile (Roman)</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Family</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Asteraceae (Daisy family)</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Parts used</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Flowers — harvest when petals are fully open and reflexed (bending backward); this is peak potency for German chamomile</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Growing</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German chamomile: annual; self-seeds prolifically; full sun to part shade; well-drained average soil; sow directly in garden in early spring or fall; germinates in cool temperatures. Roman chamomile: low-growing perennial (Zones 4–9); more compact; can be used as ground cover; same cultural conditions. Both: 8–24 inches tall.</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Zones</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German chamomile: all zones as annual; Roman chamomile: perennial in Zones 4–9</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Medicinal use</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One of the most extensively researched medicinal plants: documented anti-inflammatory, antispasmodic, and mild sedative effects. German chamomile contains the blue azulene compound (from chamazulene) that gives it particular anti-inflammatory potency. Uses: anxiety and stress reduction; digestive cramping, bloating, and irritable bowel (antispasmodic); infant colic (diluted tea, consult pediatrician); wound healing and skin inflammation (topical); mild insomnia; mouth sores and inflammation (mouthwash).</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Preparation</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Tea: 1–2 teaspoons dried flowers per cup boiling water, covered, 5–10 minutes. Drink 2–3 cups daily for anxiety/sleep; 1 cup after meals for digestion. Tincture: 1:5 in 45% alcohol; 30–60 drops. Topical: strong tea as compress; infused oil in olive oil for skin; chamomile-infused honey for wound care.</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Evidence base</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Multiple clinical trials supporting anxiety reduction; positive trials for infantile colic; in vitro and animal studies confirm anti-inflammatory and antimicrobial activity; recognized as safe and effective by the German Commission E (the gold standard for European herbal evidence).</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Safety</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Generally very safe. Allergy warning: Asteraceae family — people with allergies to ragweed, chrysanthemum, marigold, or daisy may react to chamomile. If allergic to these plants, avoid chamomile. Rare anaphylaxis reported. Avoid in pregnancy in large medicinal doses (traditional uterine stimulant, though culinary tea amounts are widely consumed).</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C4A8C" w:sz="2"/>
              <w:left w:val="single" w:color="5C4A8C" w:sz="2"/>
              <w:bottom w:val="single" w:color="5C4A8C" w:sz="2"/>
              <w:right w:val="single" w:color="5C4A8C" w:sz="2"/>
            </w:tcBorders>
            <w:shd w:fill="5C4A8C"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Lavender</w:t>
            </w:r>
          </w:p>
          <w:p>
            <w:pPr>
              <w:spacing w:before="0" w:after="0"/>
            </w:pPr>
            <w:r>
              <w:rPr>
                <w:rFonts w:ascii="Arial" w:cs="Arial" w:eastAsia="Arial" w:hAnsi="Arial"/>
                <w:i/>
                <w:iCs/>
                <w:color w:val="EEEEEE"/>
                <w:sz w:val="20"/>
                <w:szCs w:val="20"/>
              </w:rPr>
              <w:t xml:space="preserve">Lavandula angustifolia</w:t>
            </w:r>
          </w:p>
        </w:tc>
      </w:tr>
      <w:tr>
        <w:tc>
          <w:tcPr>
            <w:tcW w:type="dxa" w:w="2000"/>
            <w:tcBorders>
              <w:top w:val="single" w:color="5C4A8C" w:sz="1"/>
              <w:left w:val="single" w:color="5C4A8C" w:sz="1"/>
              <w:bottom w:val="single" w:color="5C4A8C" w:sz="1"/>
              <w:right w:val="single" w:color="5C4A8C" w:sz="1"/>
            </w:tcBorders>
            <w:shd w:fill="EDE8F8" w:val="clear"/>
            <w:tcMar>
              <w:top w:type="dxa" w:w="75"/>
              <w:left w:type="dxa" w:w="120"/>
              <w:bottom w:type="dxa" w:w="75"/>
              <w:right w:type="dxa" w:w="120"/>
            </w:tcMar>
          </w:tcPr>
          <w:p>
            <w:r>
              <w:rPr>
                <w:rFonts w:ascii="Arial" w:cs="Arial" w:eastAsia="Arial" w:hAnsi="Arial"/>
                <w:b/>
                <w:bCs/>
                <w:color w:val="5C4A8C"/>
                <w:sz w:val="19"/>
                <w:szCs w:val="19"/>
              </w:rPr>
              <w:t xml:space="preserve">Family</w:t>
            </w:r>
          </w:p>
        </w:tc>
        <w:tc>
          <w:tcPr>
            <w:tcW w:type="dxa" w:w="7360"/>
            <w:tcBorders>
              <w:top w:val="single" w:color="5C4A8C" w:sz="1"/>
              <w:left w:val="single" w:color="5C4A8C" w:sz="1"/>
              <w:bottom w:val="single" w:color="5C4A8C" w:sz="1"/>
              <w:right w:val="single" w:color="5C4A8C"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Lamiaceae (Mint family)</w:t>
            </w:r>
          </w:p>
        </w:tc>
      </w:tr>
      <w:tr>
        <w:tc>
          <w:tcPr>
            <w:tcW w:type="dxa" w:w="2000"/>
            <w:tcBorders>
              <w:top w:val="single" w:color="5C4A8C" w:sz="1"/>
              <w:left w:val="single" w:color="5C4A8C" w:sz="1"/>
              <w:bottom w:val="single" w:color="5C4A8C" w:sz="1"/>
              <w:right w:val="single" w:color="5C4A8C" w:sz="1"/>
            </w:tcBorders>
            <w:shd w:fill="EEEEEE" w:val="clear"/>
            <w:tcMar>
              <w:top w:type="dxa" w:w="75"/>
              <w:left w:type="dxa" w:w="120"/>
              <w:bottom w:type="dxa" w:w="75"/>
              <w:right w:type="dxa" w:w="120"/>
            </w:tcMar>
          </w:tcPr>
          <w:p>
            <w:r>
              <w:rPr>
                <w:rFonts w:ascii="Arial" w:cs="Arial" w:eastAsia="Arial" w:hAnsi="Arial"/>
                <w:b/>
                <w:bCs/>
                <w:color w:val="5C4A8C"/>
                <w:sz w:val="19"/>
                <w:szCs w:val="19"/>
              </w:rPr>
              <w:t xml:space="preserve">Parts used</w:t>
            </w:r>
          </w:p>
        </w:tc>
        <w:tc>
          <w:tcPr>
            <w:tcW w:type="dxa" w:w="7360"/>
            <w:tcBorders>
              <w:top w:val="single" w:color="5C4A8C" w:sz="1"/>
              <w:left w:val="single" w:color="5C4A8C" w:sz="1"/>
              <w:bottom w:val="single" w:color="5C4A8C" w:sz="1"/>
              <w:right w:val="single" w:color="5C4A8C"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Flowers and buds — harvest just before buds fully open for highest essential oil content; cut stems long with full foliage</w:t>
            </w:r>
          </w:p>
        </w:tc>
      </w:tr>
      <w:tr>
        <w:tc>
          <w:tcPr>
            <w:tcW w:type="dxa" w:w="2000"/>
            <w:tcBorders>
              <w:top w:val="single" w:color="5C4A8C" w:sz="1"/>
              <w:left w:val="single" w:color="5C4A8C" w:sz="1"/>
              <w:bottom w:val="single" w:color="5C4A8C" w:sz="1"/>
              <w:right w:val="single" w:color="5C4A8C" w:sz="1"/>
            </w:tcBorders>
            <w:shd w:fill="EDE8F8" w:val="clear"/>
            <w:tcMar>
              <w:top w:type="dxa" w:w="75"/>
              <w:left w:type="dxa" w:w="120"/>
              <w:bottom w:type="dxa" w:w="75"/>
              <w:right w:type="dxa" w:w="120"/>
            </w:tcMar>
          </w:tcPr>
          <w:p>
            <w:r>
              <w:rPr>
                <w:rFonts w:ascii="Arial" w:cs="Arial" w:eastAsia="Arial" w:hAnsi="Arial"/>
                <w:b/>
                <w:bCs/>
                <w:color w:val="5C4A8C"/>
                <w:sz w:val="19"/>
                <w:szCs w:val="19"/>
              </w:rPr>
              <w:t xml:space="preserve">Growing</w:t>
            </w:r>
          </w:p>
        </w:tc>
        <w:tc>
          <w:tcPr>
            <w:tcW w:type="dxa" w:w="7360"/>
            <w:tcBorders>
              <w:top w:val="single" w:color="5C4A8C" w:sz="1"/>
              <w:left w:val="single" w:color="5C4A8C" w:sz="1"/>
              <w:bottom w:val="single" w:color="5C4A8C" w:sz="1"/>
              <w:right w:val="single" w:color="5C4A8C"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Perennial in Zones 5–8 (English lavender); Zones 7–10 (French/Spanish lavenders). Full sun essential — at least 6–8 hours. Excellent drainage mandatory — dies in wet soils. Alkaline to neutral pH (6.5–7.5). Lean soil preferred; do not fertilize. Space 18–24 inches apart. Prune lightly after bloom; do not cut into woody stems. In humid climates, ensure excellent air circulation; prone to root and crown rot in heat and humidity.</w:t>
            </w:r>
          </w:p>
        </w:tc>
      </w:tr>
      <w:tr>
        <w:tc>
          <w:tcPr>
            <w:tcW w:type="dxa" w:w="2000"/>
            <w:tcBorders>
              <w:top w:val="single" w:color="5C4A8C" w:sz="1"/>
              <w:left w:val="single" w:color="5C4A8C" w:sz="1"/>
              <w:bottom w:val="single" w:color="5C4A8C" w:sz="1"/>
              <w:right w:val="single" w:color="5C4A8C" w:sz="1"/>
            </w:tcBorders>
            <w:shd w:fill="EEEEEE" w:val="clear"/>
            <w:tcMar>
              <w:top w:type="dxa" w:w="75"/>
              <w:left w:type="dxa" w:w="120"/>
              <w:bottom w:type="dxa" w:w="75"/>
              <w:right w:type="dxa" w:w="120"/>
            </w:tcMar>
          </w:tcPr>
          <w:p>
            <w:r>
              <w:rPr>
                <w:rFonts w:ascii="Arial" w:cs="Arial" w:eastAsia="Arial" w:hAnsi="Arial"/>
                <w:b/>
                <w:bCs/>
                <w:color w:val="5C4A8C"/>
                <w:sz w:val="19"/>
                <w:szCs w:val="19"/>
              </w:rPr>
              <w:t xml:space="preserve">Zones</w:t>
            </w:r>
          </w:p>
        </w:tc>
        <w:tc>
          <w:tcPr>
            <w:tcW w:type="dxa" w:w="7360"/>
            <w:tcBorders>
              <w:top w:val="single" w:color="5C4A8C" w:sz="1"/>
              <w:left w:val="single" w:color="5C4A8C" w:sz="1"/>
              <w:bottom w:val="single" w:color="5C4A8C" w:sz="1"/>
              <w:right w:val="single" w:color="5C4A8C"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English lavender (L. angustifolia): Zones 5–8; L. x intermedia (lavandin): Zones 5–8; French lavender (L. stoechas): Zones 7–10</w:t>
            </w:r>
          </w:p>
        </w:tc>
      </w:tr>
      <w:tr>
        <w:tc>
          <w:tcPr>
            <w:tcW w:type="dxa" w:w="2000"/>
            <w:tcBorders>
              <w:top w:val="single" w:color="5C4A8C" w:sz="1"/>
              <w:left w:val="single" w:color="5C4A8C" w:sz="1"/>
              <w:bottom w:val="single" w:color="5C4A8C" w:sz="1"/>
              <w:right w:val="single" w:color="5C4A8C" w:sz="1"/>
            </w:tcBorders>
            <w:shd w:fill="EDE8F8" w:val="clear"/>
            <w:tcMar>
              <w:top w:type="dxa" w:w="75"/>
              <w:left w:type="dxa" w:w="120"/>
              <w:bottom w:type="dxa" w:w="75"/>
              <w:right w:type="dxa" w:w="120"/>
            </w:tcMar>
          </w:tcPr>
          <w:p>
            <w:r>
              <w:rPr>
                <w:rFonts w:ascii="Arial" w:cs="Arial" w:eastAsia="Arial" w:hAnsi="Arial"/>
                <w:b/>
                <w:bCs/>
                <w:color w:val="5C4A8C"/>
                <w:sz w:val="19"/>
                <w:szCs w:val="19"/>
              </w:rPr>
              <w:t xml:space="preserve">Medicinal use</w:t>
            </w:r>
          </w:p>
        </w:tc>
        <w:tc>
          <w:tcPr>
            <w:tcW w:type="dxa" w:w="7360"/>
            <w:tcBorders>
              <w:top w:val="single" w:color="5C4A8C" w:sz="1"/>
              <w:left w:val="single" w:color="5C4A8C" w:sz="1"/>
              <w:bottom w:val="single" w:color="5C4A8C" w:sz="1"/>
              <w:right w:val="single" w:color="5C4A8C"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Perhaps the most studied aromatic herb for psychological and physiological effects. Well-documented clinical evidence for: anxiety reduction (oral lavender oil preparation Silexan shown effective in multiple RCTs); sleep quality improvement; reduction of agitation in dementia patients; analgesic properties topically; antimicrobial activity. Traditional uses include headache relief (diluted essential oil to temples), calming skin inflammation, minor wound care.</w:t>
            </w:r>
          </w:p>
        </w:tc>
      </w:tr>
      <w:tr>
        <w:tc>
          <w:tcPr>
            <w:tcW w:type="dxa" w:w="2000"/>
            <w:tcBorders>
              <w:top w:val="single" w:color="5C4A8C" w:sz="1"/>
              <w:left w:val="single" w:color="5C4A8C" w:sz="1"/>
              <w:bottom w:val="single" w:color="5C4A8C" w:sz="1"/>
              <w:right w:val="single" w:color="5C4A8C" w:sz="1"/>
            </w:tcBorders>
            <w:shd w:fill="EEEEEE" w:val="clear"/>
            <w:tcMar>
              <w:top w:type="dxa" w:w="75"/>
              <w:left w:type="dxa" w:w="120"/>
              <w:bottom w:type="dxa" w:w="75"/>
              <w:right w:type="dxa" w:w="120"/>
            </w:tcMar>
          </w:tcPr>
          <w:p>
            <w:r>
              <w:rPr>
                <w:rFonts w:ascii="Arial" w:cs="Arial" w:eastAsia="Arial" w:hAnsi="Arial"/>
                <w:b/>
                <w:bCs/>
                <w:color w:val="5C4A8C"/>
                <w:sz w:val="19"/>
                <w:szCs w:val="19"/>
              </w:rPr>
              <w:t xml:space="preserve">Preparation</w:t>
            </w:r>
          </w:p>
        </w:tc>
        <w:tc>
          <w:tcPr>
            <w:tcW w:type="dxa" w:w="7360"/>
            <w:tcBorders>
              <w:top w:val="single" w:color="5C4A8C" w:sz="1"/>
              <w:left w:val="single" w:color="5C4A8C" w:sz="1"/>
              <w:bottom w:val="single" w:color="5C4A8C" w:sz="1"/>
              <w:right w:val="single" w:color="5C4A8C"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Tea: 1 teaspoon dried flowers per cup, 5 minutes — pleasant and calming; drink before bed. Aromatherapy: lavender essential oil in diffuser; 2–4 drops on pillow. Infused oil (olive oil base) for topical application. Tincture: 1:5 in 60% alcohol, 20–40 drops. Culinary: small amounts of fresh or dried flowers in baked goods, honey, or beverages.</w:t>
            </w:r>
          </w:p>
        </w:tc>
      </w:tr>
      <w:tr>
        <w:tc>
          <w:tcPr>
            <w:tcW w:type="dxa" w:w="2000"/>
            <w:tcBorders>
              <w:top w:val="single" w:color="5C4A8C" w:sz="1"/>
              <w:left w:val="single" w:color="5C4A8C" w:sz="1"/>
              <w:bottom w:val="single" w:color="5C4A8C" w:sz="1"/>
              <w:right w:val="single" w:color="5C4A8C" w:sz="1"/>
            </w:tcBorders>
            <w:shd w:fill="EDE8F8" w:val="clear"/>
            <w:tcMar>
              <w:top w:type="dxa" w:w="75"/>
              <w:left w:type="dxa" w:w="120"/>
              <w:bottom w:type="dxa" w:w="75"/>
              <w:right w:type="dxa" w:w="120"/>
            </w:tcMar>
          </w:tcPr>
          <w:p>
            <w:r>
              <w:rPr>
                <w:rFonts w:ascii="Arial" w:cs="Arial" w:eastAsia="Arial" w:hAnsi="Arial"/>
                <w:b/>
                <w:bCs/>
                <w:color w:val="5C4A8C"/>
                <w:sz w:val="19"/>
                <w:szCs w:val="19"/>
              </w:rPr>
              <w:t xml:space="preserve">Evidence base</w:t>
            </w:r>
          </w:p>
        </w:tc>
        <w:tc>
          <w:tcPr>
            <w:tcW w:type="dxa" w:w="7360"/>
            <w:tcBorders>
              <w:top w:val="single" w:color="5C4A8C" w:sz="1"/>
              <w:left w:val="single" w:color="5C4A8C" w:sz="1"/>
              <w:bottom w:val="single" w:color="5C4A8C" w:sz="1"/>
              <w:right w:val="single" w:color="5C4A8C"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Strong clinical evidence for anxiety (Silexan oral preparation, multiple trials); good evidence for sleep quality; consistent positive findings in multiple systematic reviews for anxiety disorders.</w:t>
            </w:r>
          </w:p>
        </w:tc>
      </w:tr>
      <w:tr>
        <w:tc>
          <w:tcPr>
            <w:tcW w:type="dxa" w:w="2000"/>
            <w:tcBorders>
              <w:top w:val="single" w:color="5C4A8C" w:sz="1"/>
              <w:left w:val="single" w:color="5C4A8C" w:sz="1"/>
              <w:bottom w:val="single" w:color="5C4A8C" w:sz="1"/>
              <w:right w:val="single" w:color="5C4A8C" w:sz="1"/>
            </w:tcBorders>
            <w:shd w:fill="EEEEEE" w:val="clear"/>
            <w:tcMar>
              <w:top w:type="dxa" w:w="75"/>
              <w:left w:type="dxa" w:w="120"/>
              <w:bottom w:type="dxa" w:w="75"/>
              <w:right w:type="dxa" w:w="120"/>
            </w:tcMar>
          </w:tcPr>
          <w:p>
            <w:r>
              <w:rPr>
                <w:rFonts w:ascii="Arial" w:cs="Arial" w:eastAsia="Arial" w:hAnsi="Arial"/>
                <w:b/>
                <w:bCs/>
                <w:color w:val="5C4A8C"/>
                <w:sz w:val="19"/>
                <w:szCs w:val="19"/>
              </w:rPr>
              <w:t xml:space="preserve">Safety</w:t>
            </w:r>
          </w:p>
        </w:tc>
        <w:tc>
          <w:tcPr>
            <w:tcW w:type="dxa" w:w="7360"/>
            <w:tcBorders>
              <w:top w:val="single" w:color="5C4A8C" w:sz="1"/>
              <w:left w:val="single" w:color="5C4A8C" w:sz="1"/>
              <w:bottom w:val="single" w:color="5C4A8C" w:sz="1"/>
              <w:right w:val="single" w:color="5C4A8C"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Excellent safety profile for external use and tea at normal doses. Lavender essential oil: do not take internally in concentrated form without professional guidance (oral preparations in research use specific pharmaceutical preparations, not raw essential oil). Some evidence of weak hormonal activity — theoretical concern for prepubertal children with repeated topical use; avoid regular application to young children's skin. Rare contact dermatitis.</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A7A4A" w:sz="2"/>
              <w:left w:val="single" w:color="5A7A4A" w:sz="2"/>
              <w:bottom w:val="single" w:color="5A7A4A" w:sz="2"/>
              <w:right w:val="single" w:color="5A7A4A" w:sz="2"/>
            </w:tcBorders>
            <w:shd w:fill="5A7A4A"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Valerian</w:t>
            </w:r>
          </w:p>
          <w:p>
            <w:pPr>
              <w:spacing w:before="0" w:after="0"/>
            </w:pPr>
            <w:r>
              <w:rPr>
                <w:rFonts w:ascii="Arial" w:cs="Arial" w:eastAsia="Arial" w:hAnsi="Arial"/>
                <w:i/>
                <w:iCs/>
                <w:color w:val="EEEEEE"/>
                <w:sz w:val="20"/>
                <w:szCs w:val="20"/>
              </w:rPr>
              <w:t xml:space="preserve">Valeriana officinalis</w:t>
            </w:r>
          </w:p>
        </w:tc>
      </w:tr>
      <w:tr>
        <w:tc>
          <w:tcPr>
            <w:tcW w:type="dxa" w:w="2000"/>
            <w:tcBorders>
              <w:top w:val="single" w:color="5A7A4A" w:sz="1"/>
              <w:left w:val="single" w:color="5A7A4A" w:sz="1"/>
              <w:bottom w:val="single" w:color="5A7A4A" w:sz="1"/>
              <w:right w:val="single" w:color="5A7A4A" w:sz="1"/>
            </w:tcBorders>
            <w:shd w:fill="E2EDD5" w:val="clear"/>
            <w:tcMar>
              <w:top w:type="dxa" w:w="75"/>
              <w:left w:type="dxa" w:w="120"/>
              <w:bottom w:type="dxa" w:w="75"/>
              <w:right w:type="dxa" w:w="120"/>
            </w:tcMar>
          </w:tcPr>
          <w:p>
            <w:r>
              <w:rPr>
                <w:rFonts w:ascii="Arial" w:cs="Arial" w:eastAsia="Arial" w:hAnsi="Arial"/>
                <w:b/>
                <w:bCs/>
                <w:color w:val="5A7A4A"/>
                <w:sz w:val="19"/>
                <w:szCs w:val="19"/>
              </w:rPr>
              <w:t xml:space="preserve">Family</w:t>
            </w:r>
          </w:p>
        </w:tc>
        <w:tc>
          <w:tcPr>
            <w:tcW w:type="dxa" w:w="7360"/>
            <w:tcBorders>
              <w:top w:val="single" w:color="5A7A4A" w:sz="1"/>
              <w:left w:val="single" w:color="5A7A4A" w:sz="1"/>
              <w:bottom w:val="single" w:color="5A7A4A" w:sz="1"/>
              <w:right w:val="single" w:color="5A7A4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Caprifoliaceae (Honeysuckle family)</w:t>
            </w:r>
          </w:p>
        </w:tc>
      </w:tr>
      <w:tr>
        <w:tc>
          <w:tcPr>
            <w:tcW w:type="dxa" w:w="2000"/>
            <w:tcBorders>
              <w:top w:val="single" w:color="5A7A4A" w:sz="1"/>
              <w:left w:val="single" w:color="5A7A4A" w:sz="1"/>
              <w:bottom w:val="single" w:color="5A7A4A" w:sz="1"/>
              <w:right w:val="single" w:color="5A7A4A" w:sz="1"/>
            </w:tcBorders>
            <w:shd w:fill="EEEEEE" w:val="clear"/>
            <w:tcMar>
              <w:top w:type="dxa" w:w="75"/>
              <w:left w:type="dxa" w:w="120"/>
              <w:bottom w:type="dxa" w:w="75"/>
              <w:right w:type="dxa" w:w="120"/>
            </w:tcMar>
          </w:tcPr>
          <w:p>
            <w:r>
              <w:rPr>
                <w:rFonts w:ascii="Arial" w:cs="Arial" w:eastAsia="Arial" w:hAnsi="Arial"/>
                <w:b/>
                <w:bCs/>
                <w:color w:val="5A7A4A"/>
                <w:sz w:val="19"/>
                <w:szCs w:val="19"/>
              </w:rPr>
              <w:t xml:space="preserve">Parts used</w:t>
            </w:r>
          </w:p>
        </w:tc>
        <w:tc>
          <w:tcPr>
            <w:tcW w:type="dxa" w:w="7360"/>
            <w:tcBorders>
              <w:top w:val="single" w:color="5A7A4A" w:sz="1"/>
              <w:left w:val="single" w:color="5A7A4A" w:sz="1"/>
              <w:bottom w:val="single" w:color="5A7A4A" w:sz="1"/>
              <w:right w:val="single" w:color="5A7A4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Roots — harvested in fall of the plant's second year, after aerial parts die back; fresh root smells faintly pleasant; dried root develops the characteristic strong, unpleasant odor (isovaleric acid formation)</w:t>
            </w:r>
          </w:p>
        </w:tc>
      </w:tr>
      <w:tr>
        <w:tc>
          <w:tcPr>
            <w:tcW w:type="dxa" w:w="2000"/>
            <w:tcBorders>
              <w:top w:val="single" w:color="5A7A4A" w:sz="1"/>
              <w:left w:val="single" w:color="5A7A4A" w:sz="1"/>
              <w:bottom w:val="single" w:color="5A7A4A" w:sz="1"/>
              <w:right w:val="single" w:color="5A7A4A" w:sz="1"/>
            </w:tcBorders>
            <w:shd w:fill="E2EDD5" w:val="clear"/>
            <w:tcMar>
              <w:top w:type="dxa" w:w="75"/>
              <w:left w:type="dxa" w:w="120"/>
              <w:bottom w:type="dxa" w:w="75"/>
              <w:right w:type="dxa" w:w="120"/>
            </w:tcMar>
          </w:tcPr>
          <w:p>
            <w:r>
              <w:rPr>
                <w:rFonts w:ascii="Arial" w:cs="Arial" w:eastAsia="Arial" w:hAnsi="Arial"/>
                <w:b/>
                <w:bCs/>
                <w:color w:val="5A7A4A"/>
                <w:sz w:val="19"/>
                <w:szCs w:val="19"/>
              </w:rPr>
              <w:t xml:space="preserve">Growing</w:t>
            </w:r>
          </w:p>
        </w:tc>
        <w:tc>
          <w:tcPr>
            <w:tcW w:type="dxa" w:w="7360"/>
            <w:tcBorders>
              <w:top w:val="single" w:color="5A7A4A" w:sz="1"/>
              <w:left w:val="single" w:color="5A7A4A" w:sz="1"/>
              <w:bottom w:val="single" w:color="5A7A4A" w:sz="1"/>
              <w:right w:val="single" w:color="5A7A4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Perennial; Zones 4–9. Adaptable and vigorous — grows in full sun to part shade; prefers moist, rich soil but tolerates average conditions. Can reach 5 feet tall. Beautiful white-to-pale-pink flower clusters attract butterflies. Self-seeds. Easy from transplant; can be slow from seed. Cats are powerfully attracted to the dried root.</w:t>
            </w:r>
          </w:p>
        </w:tc>
      </w:tr>
      <w:tr>
        <w:tc>
          <w:tcPr>
            <w:tcW w:type="dxa" w:w="2000"/>
            <w:tcBorders>
              <w:top w:val="single" w:color="5A7A4A" w:sz="1"/>
              <w:left w:val="single" w:color="5A7A4A" w:sz="1"/>
              <w:bottom w:val="single" w:color="5A7A4A" w:sz="1"/>
              <w:right w:val="single" w:color="5A7A4A" w:sz="1"/>
            </w:tcBorders>
            <w:shd w:fill="EEEEEE" w:val="clear"/>
            <w:tcMar>
              <w:top w:type="dxa" w:w="75"/>
              <w:left w:type="dxa" w:w="120"/>
              <w:bottom w:type="dxa" w:w="75"/>
              <w:right w:type="dxa" w:w="120"/>
            </w:tcMar>
          </w:tcPr>
          <w:p>
            <w:r>
              <w:rPr>
                <w:rFonts w:ascii="Arial" w:cs="Arial" w:eastAsia="Arial" w:hAnsi="Arial"/>
                <w:b/>
                <w:bCs/>
                <w:color w:val="5A7A4A"/>
                <w:sz w:val="19"/>
                <w:szCs w:val="19"/>
              </w:rPr>
              <w:t xml:space="preserve">Zones</w:t>
            </w:r>
          </w:p>
        </w:tc>
        <w:tc>
          <w:tcPr>
            <w:tcW w:type="dxa" w:w="7360"/>
            <w:tcBorders>
              <w:top w:val="single" w:color="5A7A4A" w:sz="1"/>
              <w:left w:val="single" w:color="5A7A4A" w:sz="1"/>
              <w:bottom w:val="single" w:color="5A7A4A" w:sz="1"/>
              <w:right w:val="single" w:color="5A7A4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Zones 4–9; a very adaptable plant</w:t>
            </w:r>
          </w:p>
        </w:tc>
      </w:tr>
      <w:tr>
        <w:tc>
          <w:tcPr>
            <w:tcW w:type="dxa" w:w="2000"/>
            <w:tcBorders>
              <w:top w:val="single" w:color="5A7A4A" w:sz="1"/>
              <w:left w:val="single" w:color="5A7A4A" w:sz="1"/>
              <w:bottom w:val="single" w:color="5A7A4A" w:sz="1"/>
              <w:right w:val="single" w:color="5A7A4A" w:sz="1"/>
            </w:tcBorders>
            <w:shd w:fill="E2EDD5" w:val="clear"/>
            <w:tcMar>
              <w:top w:type="dxa" w:w="75"/>
              <w:left w:type="dxa" w:w="120"/>
              <w:bottom w:type="dxa" w:w="75"/>
              <w:right w:type="dxa" w:w="120"/>
            </w:tcMar>
          </w:tcPr>
          <w:p>
            <w:r>
              <w:rPr>
                <w:rFonts w:ascii="Arial" w:cs="Arial" w:eastAsia="Arial" w:hAnsi="Arial"/>
                <w:b/>
                <w:bCs/>
                <w:color w:val="5A7A4A"/>
                <w:sz w:val="19"/>
                <w:szCs w:val="19"/>
              </w:rPr>
              <w:t xml:space="preserve">Medicinal use</w:t>
            </w:r>
          </w:p>
        </w:tc>
        <w:tc>
          <w:tcPr>
            <w:tcW w:type="dxa" w:w="7360"/>
            <w:tcBorders>
              <w:top w:val="single" w:color="5A7A4A" w:sz="1"/>
              <w:left w:val="single" w:color="5A7A4A" w:sz="1"/>
              <w:bottom w:val="single" w:color="5A7A4A" w:sz="1"/>
              <w:right w:val="single" w:color="5A7A4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The premier herbal sleep aid in Western herbalism. Multiple clinical trials for insomnia — results are mixed but lean positive for sleep quality improvement, particularly with regular nightly use over 2–4 weeks. May reduce time to fall asleep and improve sleep quality; effect builds over time rather than being immediate like pharmaceutical sleep aids. Also used for anxiety and stress; muscle relaxation; menstrual cramping.</w:t>
            </w:r>
          </w:p>
        </w:tc>
      </w:tr>
      <w:tr>
        <w:tc>
          <w:tcPr>
            <w:tcW w:type="dxa" w:w="2000"/>
            <w:tcBorders>
              <w:top w:val="single" w:color="5A7A4A" w:sz="1"/>
              <w:left w:val="single" w:color="5A7A4A" w:sz="1"/>
              <w:bottom w:val="single" w:color="5A7A4A" w:sz="1"/>
              <w:right w:val="single" w:color="5A7A4A" w:sz="1"/>
            </w:tcBorders>
            <w:shd w:fill="EEEEEE" w:val="clear"/>
            <w:tcMar>
              <w:top w:type="dxa" w:w="75"/>
              <w:left w:type="dxa" w:w="120"/>
              <w:bottom w:type="dxa" w:w="75"/>
              <w:right w:type="dxa" w:w="120"/>
            </w:tcMar>
          </w:tcPr>
          <w:p>
            <w:r>
              <w:rPr>
                <w:rFonts w:ascii="Arial" w:cs="Arial" w:eastAsia="Arial" w:hAnsi="Arial"/>
                <w:b/>
                <w:bCs/>
                <w:color w:val="5A7A4A"/>
                <w:sz w:val="19"/>
                <w:szCs w:val="19"/>
              </w:rPr>
              <w:t xml:space="preserve">Preparation</w:t>
            </w:r>
          </w:p>
        </w:tc>
        <w:tc>
          <w:tcPr>
            <w:tcW w:type="dxa" w:w="7360"/>
            <w:tcBorders>
              <w:top w:val="single" w:color="5A7A4A" w:sz="1"/>
              <w:left w:val="single" w:color="5A7A4A" w:sz="1"/>
              <w:bottom w:val="single" w:color="5A7A4A" w:sz="1"/>
              <w:right w:val="single" w:color="5A7A4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Root tea / decoction: 1 teaspoon dried root per cup water; simmer 10–15 minutes — strong, unpleasant odor/taste; many prefer capsules or tincture. Capsules: 300–600mg standardized extract (0.8% valerenic acid); take 30–60 minutes before bed. Tincture: 1:5 in 60% alcohol; 2–3 ml (40–60 drops) before bed. Best taken consistently for 2–4 weeks for sleep; acute use also effective for some.</w:t>
            </w:r>
          </w:p>
        </w:tc>
      </w:tr>
      <w:tr>
        <w:tc>
          <w:tcPr>
            <w:tcW w:type="dxa" w:w="2000"/>
            <w:tcBorders>
              <w:top w:val="single" w:color="5A7A4A" w:sz="1"/>
              <w:left w:val="single" w:color="5A7A4A" w:sz="1"/>
              <w:bottom w:val="single" w:color="5A7A4A" w:sz="1"/>
              <w:right w:val="single" w:color="5A7A4A" w:sz="1"/>
            </w:tcBorders>
            <w:shd w:fill="E2EDD5" w:val="clear"/>
            <w:tcMar>
              <w:top w:type="dxa" w:w="75"/>
              <w:left w:type="dxa" w:w="120"/>
              <w:bottom w:type="dxa" w:w="75"/>
              <w:right w:type="dxa" w:w="120"/>
            </w:tcMar>
          </w:tcPr>
          <w:p>
            <w:r>
              <w:rPr>
                <w:rFonts w:ascii="Arial" w:cs="Arial" w:eastAsia="Arial" w:hAnsi="Arial"/>
                <w:b/>
                <w:bCs/>
                <w:color w:val="5A7A4A"/>
                <w:sz w:val="19"/>
                <w:szCs w:val="19"/>
              </w:rPr>
              <w:t xml:space="preserve">Evidence base</w:t>
            </w:r>
          </w:p>
        </w:tc>
        <w:tc>
          <w:tcPr>
            <w:tcW w:type="dxa" w:w="7360"/>
            <w:tcBorders>
              <w:top w:val="single" w:color="5A7A4A" w:sz="1"/>
              <w:left w:val="single" w:color="5A7A4A" w:sz="1"/>
              <w:bottom w:val="single" w:color="5A7A4A" w:sz="1"/>
              <w:right w:val="single" w:color="5A7A4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Multiple meta-analyses show modest positive effect for sleep; heterogeneous trials make definitive conclusions difficult; consistently safe and well-tolerated in studies; respected by German Commission E for sleep and anxiety.</w:t>
            </w:r>
          </w:p>
        </w:tc>
      </w:tr>
      <w:tr>
        <w:tc>
          <w:tcPr>
            <w:tcW w:type="dxa" w:w="2000"/>
            <w:tcBorders>
              <w:top w:val="single" w:color="5A7A4A" w:sz="1"/>
              <w:left w:val="single" w:color="5A7A4A" w:sz="1"/>
              <w:bottom w:val="single" w:color="5A7A4A" w:sz="1"/>
              <w:right w:val="single" w:color="5A7A4A" w:sz="1"/>
            </w:tcBorders>
            <w:shd w:fill="EEEEEE" w:val="clear"/>
            <w:tcMar>
              <w:top w:type="dxa" w:w="75"/>
              <w:left w:type="dxa" w:w="120"/>
              <w:bottom w:type="dxa" w:w="75"/>
              <w:right w:type="dxa" w:w="120"/>
            </w:tcMar>
          </w:tcPr>
          <w:p>
            <w:r>
              <w:rPr>
                <w:rFonts w:ascii="Arial" w:cs="Arial" w:eastAsia="Arial" w:hAnsi="Arial"/>
                <w:b/>
                <w:bCs/>
                <w:color w:val="5A7A4A"/>
                <w:sz w:val="19"/>
                <w:szCs w:val="19"/>
              </w:rPr>
              <w:t xml:space="preserve">Safety</w:t>
            </w:r>
          </w:p>
        </w:tc>
        <w:tc>
          <w:tcPr>
            <w:tcW w:type="dxa" w:w="7360"/>
            <w:tcBorders>
              <w:top w:val="single" w:color="5A7A4A" w:sz="1"/>
              <w:left w:val="single" w:color="5A7A4A" w:sz="1"/>
              <w:bottom w:val="single" w:color="5A7A4A" w:sz="1"/>
              <w:right w:val="single" w:color="5A7A4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Generally safe for adults at recommended doses. Interactions: significant sedative interaction with benzodiazepines, other sedatives, alcohol — additive CNS depression; avoid combining. Discontinue 2 weeks before surgery. Paradoxical stimulating effect in some individuals. Do not drive or operate machinery until individual response is known. Avoid in pregnancy (insufficient safety data). Not for children under 3 years without professional guidance.</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5A27" w:sz="2"/>
              <w:left w:val="single" w:color="2D5A27" w:sz="2"/>
              <w:bottom w:val="single" w:color="2D5A27" w:sz="2"/>
              <w:right w:val="single" w:color="2D5A27" w:sz="2"/>
            </w:tcBorders>
            <w:shd w:fill="2D5A27"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Lemon Balm</w:t>
            </w:r>
          </w:p>
          <w:p>
            <w:pPr>
              <w:spacing w:before="0" w:after="0"/>
            </w:pPr>
            <w:r>
              <w:rPr>
                <w:rFonts w:ascii="Arial" w:cs="Arial" w:eastAsia="Arial" w:hAnsi="Arial"/>
                <w:i/>
                <w:iCs/>
                <w:color w:val="EEEEEE"/>
                <w:sz w:val="20"/>
                <w:szCs w:val="20"/>
              </w:rPr>
              <w:t xml:space="preserve">Melissa officinalis</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Family</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Lamiaceae (Mint family)</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Parts used</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Leaves — best harvested fresh or dried shortly after harvest (loses volatile oils quickly when dried); harvest before flowering for best aroma</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Growing</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Easy-growing perennial; Zones 4–9. Part to full shade tolerant (one of the most shade-tolerant medicinal herbs); grows in most soil types with consistent moisture. Can become weedy — spread by seed and by root; grow in a contained area or harvest aggressively to prevent spreading. Reaches 2–4 feet. Highly attractive to pollinators, especially bees (Melissa = Greek for bee).</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Zones</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Zones 4–9; more cold-tolerant than many Lamiaceae</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Medicinal use</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The classic herb for calm and clarity: anxiety reduction without sedation; improved mood; cognitive support (GABA-A receptor binding activity); digestive antispasmodic for stress-related digestive complaints; antiviral activity against Herpes simplex virus (topical cream well-studied); mild sleep support combined with valerian; thyroid activity modulation (suppresses TSH binding).</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Preparation</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Tea: 2–3 teaspoons fresh leaf or 1–2 teaspoons dried per cup, steeped 5–10 minutes; use fresh or recently dried for best effect — commercial dried lemon balm often poorly preserved. Tincture: 1:5 in 45% alcohol; 30–60 drops 2–3x daily. Topical antiviral cream: standardized extract products for cold sores (research-validated; 1% rosmarinic acid cream). Culinary: add fresh leaves to salads, drinks, and desserts.</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Evidence base</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Good clinical evidence for anxiety (multiple trials); positive trials for cold sore (herpes simplex) topical cream; some positive trials for cognitive function; German Commission E approved.</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Safety</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Excellent safety profile — one of the safest medicinal herbs. Thyroid caution: lemon balm has documented thyroid-suppressing activity (inhibits TSH binding); avoid in hypothyroidism or with thyroid medications without monitoring. Generally contraindicated or cautious with Hashimoto's and hypothyroidism. Sedation caution with combination products containing valerian (additive effect — can be positive or problematic depending on situation).</w:t>
            </w:r>
          </w:p>
        </w:tc>
      </w:tr>
    </w:tbl>
    <w:p>
      <w:pPr>
        <w:spacing w:before="160" w:after="0"/>
      </w:pPr>
      <w:r>
        <w:t xml:space="preserve"/>
      </w:r>
    </w:p>
    <w:p>
      <w:pPr>
        <w:pStyle w:val="Heading2"/>
        <w:spacing w:before="260" w:after="100"/>
      </w:pPr>
      <w:r>
        <w:rPr>
          <w:rFonts w:ascii="Arial" w:cs="Arial" w:eastAsia="Arial" w:hAnsi="Arial"/>
          <w:b/>
          <w:bCs/>
          <w:color w:val="1A6060"/>
          <w:sz w:val="28"/>
          <w:szCs w:val="28"/>
        </w:rPr>
        <w:t xml:space="preserve">Immune and Anti-Infective Herbs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5A27" w:sz="2"/>
              <w:left w:val="single" w:color="2D5A27" w:sz="2"/>
              <w:bottom w:val="single" w:color="2D5A27" w:sz="2"/>
              <w:right w:val="single" w:color="2D5A27" w:sz="2"/>
            </w:tcBorders>
            <w:shd w:fill="2D5A27"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Echinacea</w:t>
            </w:r>
          </w:p>
          <w:p>
            <w:pPr>
              <w:spacing w:before="0" w:after="0"/>
            </w:pPr>
            <w:r>
              <w:rPr>
                <w:rFonts w:ascii="Arial" w:cs="Arial" w:eastAsia="Arial" w:hAnsi="Arial"/>
                <w:i/>
                <w:iCs/>
                <w:color w:val="EEEEEE"/>
                <w:sz w:val="20"/>
                <w:szCs w:val="20"/>
              </w:rPr>
              <w:t xml:space="preserve">Echinacea purpurea / E. angustifolia / E. pallida</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Family</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Asteraceae (Daisy family)</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Parts used</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Aerial parts (leaves and flowers) of E. purpurea; roots of E. angustifolia and E. pallida; different species and parts have somewhat different activity profiles</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Growing</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Native prairie perennial; all three species grow in Zones 3–9. Full sun; well-drained soil; drought-tolerant once established; excellent cold hardiness. E. purpurea is the easiest to grow and most widely available. Space 18–24 inches; divide every 3–4 years. Do not harvest roots until the plant is at least 3 years old. Beautiful, long-blooming flowers — one of the most ornamental medicinal herbs available.</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Zones</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Zones 3–9; very cold-hardy native prairie plants</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Medicinal use</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The most widely sold herbal supplement in America and one of the most extensively studied. Clinical evidence supports: reduction in duration and severity of upper respiratory infections; reduction in frequency of cold infections with repeated use; immune modulation (increases natural killer cell activity and macrophage activity). NOT shown to prevent infection entirely. Best taken at first sign of illness rather than as continuous preventive supplement.</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Preparation</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Tea: 1–2 teaspoons dried aerial parts per cup, 10 minutes; or 1 teaspoon dried root decocted 15–20 minutes. Tincture: 1:5 aerial parts in 45% alcohol OR 1:5 root in 60% alcohol; 3–5 ml (60–100 drops), 3–4 times daily at onset of illness. Capsules of standardized extract (4% phenolics) available commercially. Use intensively for 1–2 weeks at illness onset; not typically used continuously long-term.</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Evidence base</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Multiple systematic reviews and meta-analyses; Cochrane review (2015) found modest but consistent reduction in cold incidence and duration; results vary by species, part, and preparation — not all echinacea products are equivalent; American species (E. purpurea, E. angustifolia) have strongest evidence.</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Safety</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Generally safe for short-term use in healthy adults. Autoimmune caution: theoretical concern (not well-proven) about immune stimulation in autoimmune conditions (multiple sclerosis, lupus, rheumatoid arthritis) — many herbalists and physicians advise caution; others find it fine in practice. Drug interaction: possible reduction in immunosuppressant drug effectiveness — important for transplant patients. Asteraceae allergy caution. Avoid continuous use beyond 8 weeks without a break.</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A7A4A" w:sz="2"/>
              <w:left w:val="single" w:color="5A7A4A" w:sz="2"/>
              <w:bottom w:val="single" w:color="5A7A4A" w:sz="2"/>
              <w:right w:val="single" w:color="5A7A4A" w:sz="2"/>
            </w:tcBorders>
            <w:shd w:fill="5A7A4A"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Elderberry</w:t>
            </w:r>
          </w:p>
          <w:p>
            <w:pPr>
              <w:spacing w:before="0" w:after="0"/>
            </w:pPr>
            <w:r>
              <w:rPr>
                <w:rFonts w:ascii="Arial" w:cs="Arial" w:eastAsia="Arial" w:hAnsi="Arial"/>
                <w:i/>
                <w:iCs/>
                <w:color w:val="EEEEEE"/>
                <w:sz w:val="20"/>
                <w:szCs w:val="20"/>
              </w:rPr>
              <w:t xml:space="preserve">Sambucus nigra</w:t>
            </w:r>
          </w:p>
        </w:tc>
      </w:tr>
      <w:tr>
        <w:tc>
          <w:tcPr>
            <w:tcW w:type="dxa" w:w="2000"/>
            <w:tcBorders>
              <w:top w:val="single" w:color="5A7A4A" w:sz="1"/>
              <w:left w:val="single" w:color="5A7A4A" w:sz="1"/>
              <w:bottom w:val="single" w:color="5A7A4A" w:sz="1"/>
              <w:right w:val="single" w:color="5A7A4A" w:sz="1"/>
            </w:tcBorders>
            <w:shd w:fill="E2EDD5" w:val="clear"/>
            <w:tcMar>
              <w:top w:type="dxa" w:w="75"/>
              <w:left w:type="dxa" w:w="120"/>
              <w:bottom w:type="dxa" w:w="75"/>
              <w:right w:type="dxa" w:w="120"/>
            </w:tcMar>
          </w:tcPr>
          <w:p>
            <w:r>
              <w:rPr>
                <w:rFonts w:ascii="Arial" w:cs="Arial" w:eastAsia="Arial" w:hAnsi="Arial"/>
                <w:b/>
                <w:bCs/>
                <w:color w:val="5A7A4A"/>
                <w:sz w:val="19"/>
                <w:szCs w:val="19"/>
              </w:rPr>
              <w:t xml:space="preserve">Family</w:t>
            </w:r>
          </w:p>
        </w:tc>
        <w:tc>
          <w:tcPr>
            <w:tcW w:type="dxa" w:w="7360"/>
            <w:tcBorders>
              <w:top w:val="single" w:color="5A7A4A" w:sz="1"/>
              <w:left w:val="single" w:color="5A7A4A" w:sz="1"/>
              <w:bottom w:val="single" w:color="5A7A4A" w:sz="1"/>
              <w:right w:val="single" w:color="5A7A4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Adoxaceae</w:t>
            </w:r>
          </w:p>
        </w:tc>
      </w:tr>
      <w:tr>
        <w:tc>
          <w:tcPr>
            <w:tcW w:type="dxa" w:w="2000"/>
            <w:tcBorders>
              <w:top w:val="single" w:color="5A7A4A" w:sz="1"/>
              <w:left w:val="single" w:color="5A7A4A" w:sz="1"/>
              <w:bottom w:val="single" w:color="5A7A4A" w:sz="1"/>
              <w:right w:val="single" w:color="5A7A4A" w:sz="1"/>
            </w:tcBorders>
            <w:shd w:fill="EEEEEE" w:val="clear"/>
            <w:tcMar>
              <w:top w:type="dxa" w:w="75"/>
              <w:left w:type="dxa" w:w="120"/>
              <w:bottom w:type="dxa" w:w="75"/>
              <w:right w:type="dxa" w:w="120"/>
            </w:tcMar>
          </w:tcPr>
          <w:p>
            <w:r>
              <w:rPr>
                <w:rFonts w:ascii="Arial" w:cs="Arial" w:eastAsia="Arial" w:hAnsi="Arial"/>
                <w:b/>
                <w:bCs/>
                <w:color w:val="5A7A4A"/>
                <w:sz w:val="19"/>
                <w:szCs w:val="19"/>
              </w:rPr>
              <w:t xml:space="preserve">Parts used</w:t>
            </w:r>
          </w:p>
        </w:tc>
        <w:tc>
          <w:tcPr>
            <w:tcW w:type="dxa" w:w="7360"/>
            <w:tcBorders>
              <w:top w:val="single" w:color="5A7A4A" w:sz="1"/>
              <w:left w:val="single" w:color="5A7A4A" w:sz="1"/>
              <w:bottom w:val="single" w:color="5A7A4A" w:sz="1"/>
              <w:right w:val="single" w:color="5A7A4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Berries (ripe only) and flowers; roots, leaves, and unripe berries are toxic</w:t>
            </w:r>
          </w:p>
        </w:tc>
      </w:tr>
      <w:tr>
        <w:tc>
          <w:tcPr>
            <w:tcW w:type="dxa" w:w="2000"/>
            <w:tcBorders>
              <w:top w:val="single" w:color="5A7A4A" w:sz="1"/>
              <w:left w:val="single" w:color="5A7A4A" w:sz="1"/>
              <w:bottom w:val="single" w:color="5A7A4A" w:sz="1"/>
              <w:right w:val="single" w:color="5A7A4A" w:sz="1"/>
            </w:tcBorders>
            <w:shd w:fill="E2EDD5" w:val="clear"/>
            <w:tcMar>
              <w:top w:type="dxa" w:w="75"/>
              <w:left w:type="dxa" w:w="120"/>
              <w:bottom w:type="dxa" w:w="75"/>
              <w:right w:type="dxa" w:w="120"/>
            </w:tcMar>
          </w:tcPr>
          <w:p>
            <w:r>
              <w:rPr>
                <w:rFonts w:ascii="Arial" w:cs="Arial" w:eastAsia="Arial" w:hAnsi="Arial"/>
                <w:b/>
                <w:bCs/>
                <w:color w:val="5A7A4A"/>
                <w:sz w:val="19"/>
                <w:szCs w:val="19"/>
              </w:rPr>
              <w:t xml:space="preserve">Growing</w:t>
            </w:r>
          </w:p>
        </w:tc>
        <w:tc>
          <w:tcPr>
            <w:tcW w:type="dxa" w:w="7360"/>
            <w:tcBorders>
              <w:top w:val="single" w:color="5A7A4A" w:sz="1"/>
              <w:left w:val="single" w:color="5A7A4A" w:sz="1"/>
              <w:bottom w:val="single" w:color="5A7A4A" w:sz="1"/>
              <w:right w:val="single" w:color="5A7A4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Large deciduous shrub or small tree; Zones 3–9. Very adaptable — grows in full sun to part shade; tolerates wet soils and poor drainage better than most medicinal plants; very fast-growing; reaches 8–12 feet. Extremely productive; a single established elder can produce pounds of berries annually. Plant two different varieties for best pollination. Native American elder (Sambucus canadensis) is the most cold-hardy North American species; European elder (S. nigra) grows in Zones 4–9.</w:t>
            </w:r>
          </w:p>
        </w:tc>
      </w:tr>
      <w:tr>
        <w:tc>
          <w:tcPr>
            <w:tcW w:type="dxa" w:w="2000"/>
            <w:tcBorders>
              <w:top w:val="single" w:color="5A7A4A" w:sz="1"/>
              <w:left w:val="single" w:color="5A7A4A" w:sz="1"/>
              <w:bottom w:val="single" w:color="5A7A4A" w:sz="1"/>
              <w:right w:val="single" w:color="5A7A4A" w:sz="1"/>
            </w:tcBorders>
            <w:shd w:fill="EEEEEE" w:val="clear"/>
            <w:tcMar>
              <w:top w:type="dxa" w:w="75"/>
              <w:left w:type="dxa" w:w="120"/>
              <w:bottom w:type="dxa" w:w="75"/>
              <w:right w:type="dxa" w:w="120"/>
            </w:tcMar>
          </w:tcPr>
          <w:p>
            <w:r>
              <w:rPr>
                <w:rFonts w:ascii="Arial" w:cs="Arial" w:eastAsia="Arial" w:hAnsi="Arial"/>
                <w:b/>
                <w:bCs/>
                <w:color w:val="5A7A4A"/>
                <w:sz w:val="19"/>
                <w:szCs w:val="19"/>
              </w:rPr>
              <w:t xml:space="preserve">Zones</w:t>
            </w:r>
          </w:p>
        </w:tc>
        <w:tc>
          <w:tcPr>
            <w:tcW w:type="dxa" w:w="7360"/>
            <w:tcBorders>
              <w:top w:val="single" w:color="5A7A4A" w:sz="1"/>
              <w:left w:val="single" w:color="5A7A4A" w:sz="1"/>
              <w:bottom w:val="single" w:color="5A7A4A" w:sz="1"/>
              <w:right w:val="single" w:color="5A7A4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Zones 3–9; S. canadensis to Zone 3</w:t>
            </w:r>
          </w:p>
        </w:tc>
      </w:tr>
      <w:tr>
        <w:tc>
          <w:tcPr>
            <w:tcW w:type="dxa" w:w="2000"/>
            <w:tcBorders>
              <w:top w:val="single" w:color="5A7A4A" w:sz="1"/>
              <w:left w:val="single" w:color="5A7A4A" w:sz="1"/>
              <w:bottom w:val="single" w:color="5A7A4A" w:sz="1"/>
              <w:right w:val="single" w:color="5A7A4A" w:sz="1"/>
            </w:tcBorders>
            <w:shd w:fill="E2EDD5" w:val="clear"/>
            <w:tcMar>
              <w:top w:type="dxa" w:w="75"/>
              <w:left w:type="dxa" w:w="120"/>
              <w:bottom w:type="dxa" w:w="75"/>
              <w:right w:type="dxa" w:w="120"/>
            </w:tcMar>
          </w:tcPr>
          <w:p>
            <w:r>
              <w:rPr>
                <w:rFonts w:ascii="Arial" w:cs="Arial" w:eastAsia="Arial" w:hAnsi="Arial"/>
                <w:b/>
                <w:bCs/>
                <w:color w:val="5A7A4A"/>
                <w:sz w:val="19"/>
                <w:szCs w:val="19"/>
              </w:rPr>
              <w:t xml:space="preserve">Medicinal use</w:t>
            </w:r>
          </w:p>
        </w:tc>
        <w:tc>
          <w:tcPr>
            <w:tcW w:type="dxa" w:w="7360"/>
            <w:tcBorders>
              <w:top w:val="single" w:color="5A7A4A" w:sz="1"/>
              <w:left w:val="single" w:color="5A7A4A" w:sz="1"/>
              <w:bottom w:val="single" w:color="5A7A4A" w:sz="1"/>
              <w:right w:val="single" w:color="5A7A4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Multiple clinical trials supporting reduction in influenza duration and severity; inhibits viral attachment to cells; significant antioxidant content; immune-modulating flavonoids. Traditional use across multiple cultures. Elderberry syrup is the most popular home herbal preparation in America. Flowers (elder flowers) are also medicinal: diaphoretic (fever management), anti-inflammatory, antiviral, and used in skin preparations.</w:t>
            </w:r>
          </w:p>
        </w:tc>
      </w:tr>
      <w:tr>
        <w:tc>
          <w:tcPr>
            <w:tcW w:type="dxa" w:w="2000"/>
            <w:tcBorders>
              <w:top w:val="single" w:color="5A7A4A" w:sz="1"/>
              <w:left w:val="single" w:color="5A7A4A" w:sz="1"/>
              <w:bottom w:val="single" w:color="5A7A4A" w:sz="1"/>
              <w:right w:val="single" w:color="5A7A4A" w:sz="1"/>
            </w:tcBorders>
            <w:shd w:fill="EEEEEE" w:val="clear"/>
            <w:tcMar>
              <w:top w:type="dxa" w:w="75"/>
              <w:left w:type="dxa" w:w="120"/>
              <w:bottom w:type="dxa" w:w="75"/>
              <w:right w:type="dxa" w:w="120"/>
            </w:tcMar>
          </w:tcPr>
          <w:p>
            <w:r>
              <w:rPr>
                <w:rFonts w:ascii="Arial" w:cs="Arial" w:eastAsia="Arial" w:hAnsi="Arial"/>
                <w:b/>
                <w:bCs/>
                <w:color w:val="5A7A4A"/>
                <w:sz w:val="19"/>
                <w:szCs w:val="19"/>
              </w:rPr>
              <w:t xml:space="preserve">Preparation</w:t>
            </w:r>
          </w:p>
        </w:tc>
        <w:tc>
          <w:tcPr>
            <w:tcW w:type="dxa" w:w="7360"/>
            <w:tcBorders>
              <w:top w:val="single" w:color="5A7A4A" w:sz="1"/>
              <w:left w:val="single" w:color="5A7A4A" w:sz="1"/>
              <w:bottom w:val="single" w:color="5A7A4A" w:sz="1"/>
              <w:right w:val="single" w:color="5A7A4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Elderberry syrup: simmer 1 cup dried berries (or 2 cups fresh) in 2 cups water for 20 minutes; strain; add 1 cup raw honey when cooled to under 110°F; add spices (cinnamon, ginger, cloves) if desired. Dose: 1 tablespoon daily preventive; 1 tablespoon 4x daily during illness (adults). Tincture from ripe berries: 1:5 in 25% alcohol (berries best extracted with more water). Elderflower tea: 1–2 teaspoons dried flowers per cup, 5 minutes — use for fever management and sinus congestion.</w:t>
            </w:r>
          </w:p>
        </w:tc>
      </w:tr>
      <w:tr>
        <w:tc>
          <w:tcPr>
            <w:tcW w:type="dxa" w:w="2000"/>
            <w:tcBorders>
              <w:top w:val="single" w:color="5A7A4A" w:sz="1"/>
              <w:left w:val="single" w:color="5A7A4A" w:sz="1"/>
              <w:bottom w:val="single" w:color="5A7A4A" w:sz="1"/>
              <w:right w:val="single" w:color="5A7A4A" w:sz="1"/>
            </w:tcBorders>
            <w:shd w:fill="E2EDD5" w:val="clear"/>
            <w:tcMar>
              <w:top w:type="dxa" w:w="75"/>
              <w:left w:type="dxa" w:w="120"/>
              <w:bottom w:type="dxa" w:w="75"/>
              <w:right w:type="dxa" w:w="120"/>
            </w:tcMar>
          </w:tcPr>
          <w:p>
            <w:r>
              <w:rPr>
                <w:rFonts w:ascii="Arial" w:cs="Arial" w:eastAsia="Arial" w:hAnsi="Arial"/>
                <w:b/>
                <w:bCs/>
                <w:color w:val="5A7A4A"/>
                <w:sz w:val="19"/>
                <w:szCs w:val="19"/>
              </w:rPr>
              <w:t xml:space="preserve">Evidence base</w:t>
            </w:r>
          </w:p>
        </w:tc>
        <w:tc>
          <w:tcPr>
            <w:tcW w:type="dxa" w:w="7360"/>
            <w:tcBorders>
              <w:top w:val="single" w:color="5A7A4A" w:sz="1"/>
              <w:left w:val="single" w:color="5A7A4A" w:sz="1"/>
              <w:bottom w:val="single" w:color="5A7A4A" w:sz="1"/>
              <w:right w:val="single" w:color="5A7A4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Several positive RCTs for influenza and common cold; 2021 systematic review found significant reduction in flu duration; elderflower evidence primarily traditional with in vitro antiviral studies. Well-regarded by both conventional and integrative medicine.</w:t>
            </w:r>
          </w:p>
        </w:tc>
      </w:tr>
      <w:tr>
        <w:tc>
          <w:tcPr>
            <w:tcW w:type="dxa" w:w="2000"/>
            <w:tcBorders>
              <w:top w:val="single" w:color="5A7A4A" w:sz="1"/>
              <w:left w:val="single" w:color="5A7A4A" w:sz="1"/>
              <w:bottom w:val="single" w:color="5A7A4A" w:sz="1"/>
              <w:right w:val="single" w:color="5A7A4A" w:sz="1"/>
            </w:tcBorders>
            <w:shd w:fill="EEEEEE" w:val="clear"/>
            <w:tcMar>
              <w:top w:type="dxa" w:w="75"/>
              <w:left w:type="dxa" w:w="120"/>
              <w:bottom w:type="dxa" w:w="75"/>
              <w:right w:type="dxa" w:w="120"/>
            </w:tcMar>
          </w:tcPr>
          <w:p>
            <w:r>
              <w:rPr>
                <w:rFonts w:ascii="Arial" w:cs="Arial" w:eastAsia="Arial" w:hAnsi="Arial"/>
                <w:b/>
                <w:bCs/>
                <w:color w:val="5A7A4A"/>
                <w:sz w:val="19"/>
                <w:szCs w:val="19"/>
              </w:rPr>
              <w:t xml:space="preserve">Safety</w:t>
            </w:r>
          </w:p>
        </w:tc>
        <w:tc>
          <w:tcPr>
            <w:tcW w:type="dxa" w:w="7360"/>
            <w:tcBorders>
              <w:top w:val="single" w:color="5A7A4A" w:sz="1"/>
              <w:left w:val="single" w:color="5A7A4A" w:sz="1"/>
              <w:bottom w:val="single" w:color="5A7A4A" w:sz="1"/>
              <w:right w:val="single" w:color="5A7A4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Ripe berries are safe when properly cooked — raw elderberries, as well as all other parts of the plant (leaves, roots, bark, seeds), contain sambunigrin, a cyanogenic glycoside that causes nausea and vomiting; always cook berries before use. Flowers can be used raw in tea. COVID-19 controversy: some theoretical concern about cytokine storm with elderberry during COVID-19 infection — evidence not established; many practitioners continue using elderberry cautiously; discuss with physician if concerned.</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6010" w:sz="2"/>
              <w:left w:val="single" w:color="8C6010" w:sz="2"/>
              <w:bottom w:val="single" w:color="8C6010" w:sz="2"/>
              <w:right w:val="single" w:color="8C6010" w:sz="2"/>
            </w:tcBorders>
            <w:shd w:fill="8C6010"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Garlic</w:t>
            </w:r>
          </w:p>
          <w:p>
            <w:pPr>
              <w:spacing w:before="0" w:after="0"/>
            </w:pPr>
            <w:r>
              <w:rPr>
                <w:rFonts w:ascii="Arial" w:cs="Arial" w:eastAsia="Arial" w:hAnsi="Arial"/>
                <w:i/>
                <w:iCs/>
                <w:color w:val="EEEEEE"/>
                <w:sz w:val="20"/>
                <w:szCs w:val="20"/>
              </w:rPr>
              <w:t xml:space="preserve">Allium sativum</w:t>
            </w:r>
          </w:p>
        </w:tc>
      </w:tr>
      <w:tr>
        <w:tc>
          <w:tcPr>
            <w:tcW w:type="dxa" w:w="2000"/>
            <w:tcBorders>
              <w:top w:val="single" w:color="8C6010" w:sz="1"/>
              <w:left w:val="single" w:color="8C6010" w:sz="1"/>
              <w:bottom w:val="single" w:color="8C6010" w:sz="1"/>
              <w:right w:val="single" w:color="8C6010" w:sz="1"/>
            </w:tcBorders>
            <w:shd w:fill="F5E8C8" w:val="clear"/>
            <w:tcMar>
              <w:top w:type="dxa" w:w="75"/>
              <w:left w:type="dxa" w:w="120"/>
              <w:bottom w:type="dxa" w:w="75"/>
              <w:right w:type="dxa" w:w="120"/>
            </w:tcMar>
          </w:tcPr>
          <w:p>
            <w:r>
              <w:rPr>
                <w:rFonts w:ascii="Arial" w:cs="Arial" w:eastAsia="Arial" w:hAnsi="Arial"/>
                <w:b/>
                <w:bCs/>
                <w:color w:val="8C6010"/>
                <w:sz w:val="19"/>
                <w:szCs w:val="19"/>
              </w:rPr>
              <w:t xml:space="preserve">Family</w:t>
            </w:r>
          </w:p>
        </w:tc>
        <w:tc>
          <w:tcPr>
            <w:tcW w:type="dxa" w:w="7360"/>
            <w:tcBorders>
              <w:top w:val="single" w:color="8C6010" w:sz="1"/>
              <w:left w:val="single" w:color="8C6010" w:sz="1"/>
              <w:bottom w:val="single" w:color="8C6010" w:sz="1"/>
              <w:right w:val="single" w:color="8C601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Amaryllidaceae</w:t>
            </w:r>
          </w:p>
        </w:tc>
      </w:tr>
      <w:tr>
        <w:tc>
          <w:tcPr>
            <w:tcW w:type="dxa" w:w="2000"/>
            <w:tcBorders>
              <w:top w:val="single" w:color="8C6010" w:sz="1"/>
              <w:left w:val="single" w:color="8C6010" w:sz="1"/>
              <w:bottom w:val="single" w:color="8C6010" w:sz="1"/>
              <w:right w:val="single" w:color="8C6010" w:sz="1"/>
            </w:tcBorders>
            <w:shd w:fill="EEEEEE" w:val="clear"/>
            <w:tcMar>
              <w:top w:type="dxa" w:w="75"/>
              <w:left w:type="dxa" w:w="120"/>
              <w:bottom w:type="dxa" w:w="75"/>
              <w:right w:type="dxa" w:w="120"/>
            </w:tcMar>
          </w:tcPr>
          <w:p>
            <w:r>
              <w:rPr>
                <w:rFonts w:ascii="Arial" w:cs="Arial" w:eastAsia="Arial" w:hAnsi="Arial"/>
                <w:b/>
                <w:bCs/>
                <w:color w:val="8C6010"/>
                <w:sz w:val="19"/>
                <w:szCs w:val="19"/>
              </w:rPr>
              <w:t xml:space="preserve">Parts used</w:t>
            </w:r>
          </w:p>
        </w:tc>
        <w:tc>
          <w:tcPr>
            <w:tcW w:type="dxa" w:w="7360"/>
            <w:tcBorders>
              <w:top w:val="single" w:color="8C6010" w:sz="1"/>
              <w:left w:val="single" w:color="8C6010" w:sz="1"/>
              <w:bottom w:val="single" w:color="8C6010" w:sz="1"/>
              <w:right w:val="single" w:color="8C601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Bulb — most medicinally potent when raw and freshly crushed; allicin (the primary active compound) is produced when garlic cells are damaged and the enzyme alliinase contacts alliin; heat destroys alliinase and allicin</w:t>
            </w:r>
          </w:p>
        </w:tc>
      </w:tr>
      <w:tr>
        <w:tc>
          <w:tcPr>
            <w:tcW w:type="dxa" w:w="2000"/>
            <w:tcBorders>
              <w:top w:val="single" w:color="8C6010" w:sz="1"/>
              <w:left w:val="single" w:color="8C6010" w:sz="1"/>
              <w:bottom w:val="single" w:color="8C6010" w:sz="1"/>
              <w:right w:val="single" w:color="8C6010" w:sz="1"/>
            </w:tcBorders>
            <w:shd w:fill="F5E8C8" w:val="clear"/>
            <w:tcMar>
              <w:top w:type="dxa" w:w="75"/>
              <w:left w:type="dxa" w:w="120"/>
              <w:bottom w:type="dxa" w:w="75"/>
              <w:right w:type="dxa" w:w="120"/>
            </w:tcMar>
          </w:tcPr>
          <w:p>
            <w:r>
              <w:rPr>
                <w:rFonts w:ascii="Arial" w:cs="Arial" w:eastAsia="Arial" w:hAnsi="Arial"/>
                <w:b/>
                <w:bCs/>
                <w:color w:val="8C6010"/>
                <w:sz w:val="19"/>
                <w:szCs w:val="19"/>
              </w:rPr>
              <w:t xml:space="preserve">Growing</w:t>
            </w:r>
          </w:p>
        </w:tc>
        <w:tc>
          <w:tcPr>
            <w:tcW w:type="dxa" w:w="7360"/>
            <w:tcBorders>
              <w:top w:val="single" w:color="8C6010" w:sz="1"/>
              <w:left w:val="single" w:color="8C6010" w:sz="1"/>
              <w:bottom w:val="single" w:color="8C6010" w:sz="1"/>
              <w:right w:val="single" w:color="8C601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Bulb crop; plant cloves in fall (September–November) for harvest the following June–July in most climates; in USDA Zones 9–11, plant November–January. Full sun; well-drained rich soil. Plant individual cloves 2 inches deep, 6 inches apart. Harvest when lower 1/3 of leaves have browned. Hardneck varieties (best for Zones 4–7, more complex flavor); softneck varieties (best for warm climates, longer storage). Medicinally: grow for fresh use; commercial aged garlic and garlic oil products have different compound profiles.</w:t>
            </w:r>
          </w:p>
        </w:tc>
      </w:tr>
      <w:tr>
        <w:tc>
          <w:tcPr>
            <w:tcW w:type="dxa" w:w="2000"/>
            <w:tcBorders>
              <w:top w:val="single" w:color="8C6010" w:sz="1"/>
              <w:left w:val="single" w:color="8C6010" w:sz="1"/>
              <w:bottom w:val="single" w:color="8C6010" w:sz="1"/>
              <w:right w:val="single" w:color="8C6010" w:sz="1"/>
            </w:tcBorders>
            <w:shd w:fill="EEEEEE" w:val="clear"/>
            <w:tcMar>
              <w:top w:type="dxa" w:w="75"/>
              <w:left w:type="dxa" w:w="120"/>
              <w:bottom w:type="dxa" w:w="75"/>
              <w:right w:type="dxa" w:w="120"/>
            </w:tcMar>
          </w:tcPr>
          <w:p>
            <w:r>
              <w:rPr>
                <w:rFonts w:ascii="Arial" w:cs="Arial" w:eastAsia="Arial" w:hAnsi="Arial"/>
                <w:b/>
                <w:bCs/>
                <w:color w:val="8C6010"/>
                <w:sz w:val="19"/>
                <w:szCs w:val="19"/>
              </w:rPr>
              <w:t xml:space="preserve">Zones</w:t>
            </w:r>
          </w:p>
        </w:tc>
        <w:tc>
          <w:tcPr>
            <w:tcW w:type="dxa" w:w="7360"/>
            <w:tcBorders>
              <w:top w:val="single" w:color="8C6010" w:sz="1"/>
              <w:left w:val="single" w:color="8C6010" w:sz="1"/>
              <w:bottom w:val="single" w:color="8C6010" w:sz="1"/>
              <w:right w:val="single" w:color="8C601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Zones 3–9 (hardneck); 3–11 (softneck)</w:t>
            </w:r>
          </w:p>
        </w:tc>
      </w:tr>
      <w:tr>
        <w:tc>
          <w:tcPr>
            <w:tcW w:type="dxa" w:w="2000"/>
            <w:tcBorders>
              <w:top w:val="single" w:color="8C6010" w:sz="1"/>
              <w:left w:val="single" w:color="8C6010" w:sz="1"/>
              <w:bottom w:val="single" w:color="8C6010" w:sz="1"/>
              <w:right w:val="single" w:color="8C6010" w:sz="1"/>
            </w:tcBorders>
            <w:shd w:fill="F5E8C8" w:val="clear"/>
            <w:tcMar>
              <w:top w:type="dxa" w:w="75"/>
              <w:left w:type="dxa" w:w="120"/>
              <w:bottom w:type="dxa" w:w="75"/>
              <w:right w:type="dxa" w:w="120"/>
            </w:tcMar>
          </w:tcPr>
          <w:p>
            <w:r>
              <w:rPr>
                <w:rFonts w:ascii="Arial" w:cs="Arial" w:eastAsia="Arial" w:hAnsi="Arial"/>
                <w:b/>
                <w:bCs/>
                <w:color w:val="8C6010"/>
                <w:sz w:val="19"/>
                <w:szCs w:val="19"/>
              </w:rPr>
              <w:t xml:space="preserve">Medicinal use</w:t>
            </w:r>
          </w:p>
        </w:tc>
        <w:tc>
          <w:tcPr>
            <w:tcW w:type="dxa" w:w="7360"/>
            <w:tcBorders>
              <w:top w:val="single" w:color="8C6010" w:sz="1"/>
              <w:left w:val="single" w:color="8C6010" w:sz="1"/>
              <w:bottom w:val="single" w:color="8C6010" w:sz="1"/>
              <w:right w:val="single" w:color="8C601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Extraordinary historical depth across virtually every traditional medicine system. Well-documented clinical evidence for: cardiovascular protection (blood pressure reduction, antiplatelet effects, LDL cholesterol reduction); antimicrobial (broad-spectrum antibacterial, antifungal, antiviral activity in vitro); antioxidant; immune-modulating. Aged garlic extract has the best cardiovascular evidence. Raw garlic has strongest antimicrobial activity.</w:t>
            </w:r>
          </w:p>
        </w:tc>
      </w:tr>
      <w:tr>
        <w:tc>
          <w:tcPr>
            <w:tcW w:type="dxa" w:w="2000"/>
            <w:tcBorders>
              <w:top w:val="single" w:color="8C6010" w:sz="1"/>
              <w:left w:val="single" w:color="8C6010" w:sz="1"/>
              <w:bottom w:val="single" w:color="8C6010" w:sz="1"/>
              <w:right w:val="single" w:color="8C6010" w:sz="1"/>
            </w:tcBorders>
            <w:shd w:fill="EEEEEE" w:val="clear"/>
            <w:tcMar>
              <w:top w:type="dxa" w:w="75"/>
              <w:left w:type="dxa" w:w="120"/>
              <w:bottom w:type="dxa" w:w="75"/>
              <w:right w:type="dxa" w:w="120"/>
            </w:tcMar>
          </w:tcPr>
          <w:p>
            <w:r>
              <w:rPr>
                <w:rFonts w:ascii="Arial" w:cs="Arial" w:eastAsia="Arial" w:hAnsi="Arial"/>
                <w:b/>
                <w:bCs/>
                <w:color w:val="8C6010"/>
                <w:sz w:val="19"/>
                <w:szCs w:val="19"/>
              </w:rPr>
              <w:t xml:space="preserve">Preparation</w:t>
            </w:r>
          </w:p>
        </w:tc>
        <w:tc>
          <w:tcPr>
            <w:tcW w:type="dxa" w:w="7360"/>
            <w:tcBorders>
              <w:top w:val="single" w:color="8C6010" w:sz="1"/>
              <w:left w:val="single" w:color="8C6010" w:sz="1"/>
              <w:bottom w:val="single" w:color="8C6010" w:sz="1"/>
              <w:right w:val="single" w:color="8C601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Medicinal dose: 1–2 raw cloves daily (crush and allow to rest 10 minutes before eating or cooking lightly to maximize allicin production); 2–4g fresh garlic equivalent daily. For antimicrobial use, raw garlic in honey (fire cider, garlic-ginger-honey preparations) are traditional. Garlic-infused olive oil (for topical use — antimicrobial for ear infections: do not put in ear if eardrum is perforated or broken). Aged black garlic: lower allicin but higher antioxidant content; different profile from raw.</w:t>
            </w:r>
          </w:p>
        </w:tc>
      </w:tr>
      <w:tr>
        <w:tc>
          <w:tcPr>
            <w:tcW w:type="dxa" w:w="2000"/>
            <w:tcBorders>
              <w:top w:val="single" w:color="8C6010" w:sz="1"/>
              <w:left w:val="single" w:color="8C6010" w:sz="1"/>
              <w:bottom w:val="single" w:color="8C6010" w:sz="1"/>
              <w:right w:val="single" w:color="8C6010" w:sz="1"/>
            </w:tcBorders>
            <w:shd w:fill="F5E8C8" w:val="clear"/>
            <w:tcMar>
              <w:top w:type="dxa" w:w="75"/>
              <w:left w:type="dxa" w:w="120"/>
              <w:bottom w:type="dxa" w:w="75"/>
              <w:right w:type="dxa" w:w="120"/>
            </w:tcMar>
          </w:tcPr>
          <w:p>
            <w:r>
              <w:rPr>
                <w:rFonts w:ascii="Arial" w:cs="Arial" w:eastAsia="Arial" w:hAnsi="Arial"/>
                <w:b/>
                <w:bCs/>
                <w:color w:val="8C6010"/>
                <w:sz w:val="19"/>
                <w:szCs w:val="19"/>
              </w:rPr>
              <w:t xml:space="preserve">Evidence base</w:t>
            </w:r>
          </w:p>
        </w:tc>
        <w:tc>
          <w:tcPr>
            <w:tcW w:type="dxa" w:w="7360"/>
            <w:tcBorders>
              <w:top w:val="single" w:color="8C6010" w:sz="1"/>
              <w:left w:val="single" w:color="8C6010" w:sz="1"/>
              <w:bottom w:val="single" w:color="8C6010" w:sz="1"/>
              <w:right w:val="single" w:color="8C601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Very strong cardiovascular evidence from multiple trials; antimicrobial activity well-established in vitro; some clinical evidence for reducing cold incidence; meta-analyses support blood pressure effects.</w:t>
            </w:r>
          </w:p>
        </w:tc>
      </w:tr>
      <w:tr>
        <w:tc>
          <w:tcPr>
            <w:tcW w:type="dxa" w:w="2000"/>
            <w:tcBorders>
              <w:top w:val="single" w:color="8C6010" w:sz="1"/>
              <w:left w:val="single" w:color="8C6010" w:sz="1"/>
              <w:bottom w:val="single" w:color="8C6010" w:sz="1"/>
              <w:right w:val="single" w:color="8C6010" w:sz="1"/>
            </w:tcBorders>
            <w:shd w:fill="EEEEEE" w:val="clear"/>
            <w:tcMar>
              <w:top w:type="dxa" w:w="75"/>
              <w:left w:type="dxa" w:w="120"/>
              <w:bottom w:type="dxa" w:w="75"/>
              <w:right w:type="dxa" w:w="120"/>
            </w:tcMar>
          </w:tcPr>
          <w:p>
            <w:r>
              <w:rPr>
                <w:rFonts w:ascii="Arial" w:cs="Arial" w:eastAsia="Arial" w:hAnsi="Arial"/>
                <w:b/>
                <w:bCs/>
                <w:color w:val="8C6010"/>
                <w:sz w:val="19"/>
                <w:szCs w:val="19"/>
              </w:rPr>
              <w:t xml:space="preserve">Safety</w:t>
            </w:r>
          </w:p>
        </w:tc>
        <w:tc>
          <w:tcPr>
            <w:tcW w:type="dxa" w:w="7360"/>
            <w:tcBorders>
              <w:top w:val="single" w:color="8C6010" w:sz="1"/>
              <w:left w:val="single" w:color="8C6010" w:sz="1"/>
              <w:bottom w:val="single" w:color="8C6010" w:sz="1"/>
              <w:right w:val="single" w:color="8C601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Safe in culinary amounts. At high supplemental doses: significant anticoagulant (blood-thinning) activity — increases bleeding risk, especially with warfarin, aspirin, NSAIDs; stop garlic supplements 2 weeks before surgery. GI irritation from raw garlic in sensitive individuals — take with food. Heartburn common. Avoid high-dose garlic supplementation with HIV medications (reduces drug blood levels). Topical garlic can cause burns and contact dermatitis — dilute in oil for skin application; never apply raw garlic directly to skin for extended periods.</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5A27" w:sz="2"/>
              <w:left w:val="single" w:color="2D5A27" w:sz="2"/>
              <w:bottom w:val="single" w:color="2D5A27" w:sz="2"/>
              <w:right w:val="single" w:color="2D5A27" w:sz="2"/>
            </w:tcBorders>
            <w:shd w:fill="2D5A27"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Thyme</w:t>
            </w:r>
          </w:p>
          <w:p>
            <w:pPr>
              <w:spacing w:before="0" w:after="0"/>
            </w:pPr>
            <w:r>
              <w:rPr>
                <w:rFonts w:ascii="Arial" w:cs="Arial" w:eastAsia="Arial" w:hAnsi="Arial"/>
                <w:i/>
                <w:iCs/>
                <w:color w:val="EEEEEE"/>
                <w:sz w:val="20"/>
                <w:szCs w:val="20"/>
              </w:rPr>
              <w:t xml:space="preserve">Thymus vulgaris</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Family</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Lamiaceae (Mint family)</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Parts used</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Aerial parts (leaves and small stems) — harvest before or during flowering</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Growing</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Small aromatic perennial subshrub; Zones 4–9. Full sun; excellent drainage essential; lean soil (poor drainage and rich soil reduce aromatic oil content). Very drought-tolerant once established. Prune regularly to prevent woody leggy growth. Multiple varieties — common garden thyme (T. vulgaris) has best medicinal and culinary qualities.</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Zones</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Zones 4–9 as perennial; grown as annual in colder climates or protected in Zone 3</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Medicinal use</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One of the most scientifically validated medicinal herbs for respiratory conditions. Thymol and carvacrol — the primary essential oil components — have documented: bronchospasm relaxation (bronchodilator effect); expectorant action (loosens phlegm); potent antimicrobial activity (one of the most effective against common respiratory pathogens); antifungal; antioxidant. Clinical evidence for bronchitis and cough — thyme-ivy combination products shown equivalent to pharmaceutical cough suppressants in clinical trials.</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Preparation</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Tea (most classic use): 1–2 teaspoons fresh or 1 teaspoon dried per cup boiling water, covered, 10 minutes; add honey; drink 3–4 cups daily for coughs and respiratory conditions. Steam inhalation: add handful of fresh thyme to bowl of hot water; cover head and inhale steam for 10 minutes (antimicrobial effect directly in airways). Honey infusion: excellent for coughs — add fresh or dried thyme to honey; warm slightly; infuse for 2 weeks; take by spoonful. Tincture: 1:5 in 60% alcohol; 2–4 ml 3x daily.</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Evidence base</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Strong evidence for cough and bronchitis from clinical trials; antimicrobial activity very well-documented in laboratory studies; German Commission E approved for bronchitis, upper respiratory catarrh.</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Safety</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Culinary amounts: very safe for virtually everyone. Medicinal amounts: safe for most adults. Avoid in pregnancy in medicinal (concentrated) doses — uterine stimulant at high doses; culinary cooking amounts are fine. Thyme essential oil is much more concentrated than tea or tincture and should not be taken internally without professional guidance. Thyroid concern: like other iodine-containing Lamiaceae, theoretical concern with thyroid function at very high doses — of practical concern only with extreme use.</w:t>
            </w:r>
          </w:p>
        </w:tc>
      </w:tr>
    </w:tbl>
    <w:p>
      <w:pPr>
        <w:spacing w:before="160" w:after="0"/>
      </w:pPr>
      <w:r>
        <w:t xml:space="preserve"/>
      </w:r>
    </w:p>
    <w:p>
      <w:pPr>
        <w:pStyle w:val="Heading2"/>
        <w:spacing w:before="260" w:after="100"/>
      </w:pPr>
      <w:r>
        <w:rPr>
          <w:rFonts w:ascii="Arial" w:cs="Arial" w:eastAsia="Arial" w:hAnsi="Arial"/>
          <w:b/>
          <w:bCs/>
          <w:color w:val="1A6060"/>
          <w:sz w:val="28"/>
          <w:szCs w:val="28"/>
        </w:rPr>
        <w:t xml:space="preserve">Digestive Herbs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060" w:sz="2"/>
              <w:left w:val="single" w:color="1A6060" w:sz="2"/>
              <w:bottom w:val="single" w:color="1A6060" w:sz="2"/>
              <w:right w:val="single" w:color="1A6060" w:sz="2"/>
            </w:tcBorders>
            <w:shd w:fill="1A6060"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Peppermint</w:t>
            </w:r>
          </w:p>
          <w:p>
            <w:pPr>
              <w:spacing w:before="0" w:after="0"/>
            </w:pPr>
            <w:r>
              <w:rPr>
                <w:rFonts w:ascii="Arial" w:cs="Arial" w:eastAsia="Arial" w:hAnsi="Arial"/>
                <w:i/>
                <w:iCs/>
                <w:color w:val="EEEEEE"/>
                <w:sz w:val="20"/>
                <w:szCs w:val="20"/>
              </w:rPr>
              <w:t xml:space="preserve">Mentha x piperita</w:t>
            </w:r>
          </w:p>
        </w:tc>
      </w:tr>
      <w:tr>
        <w:tc>
          <w:tcPr>
            <w:tcW w:type="dxa" w:w="2000"/>
            <w:tcBorders>
              <w:top w:val="single" w:color="1A6060" w:sz="1"/>
              <w:left w:val="single" w:color="1A6060" w:sz="1"/>
              <w:bottom w:val="single" w:color="1A6060" w:sz="1"/>
              <w:right w:val="single" w:color="1A6060" w:sz="1"/>
            </w:tcBorders>
            <w:shd w:fill="D0EDED" w:val="clear"/>
            <w:tcMar>
              <w:top w:type="dxa" w:w="75"/>
              <w:left w:type="dxa" w:w="120"/>
              <w:bottom w:type="dxa" w:w="75"/>
              <w:right w:type="dxa" w:w="120"/>
            </w:tcMar>
          </w:tcPr>
          <w:p>
            <w:r>
              <w:rPr>
                <w:rFonts w:ascii="Arial" w:cs="Arial" w:eastAsia="Arial" w:hAnsi="Arial"/>
                <w:b/>
                <w:bCs/>
                <w:color w:val="1A6060"/>
                <w:sz w:val="19"/>
                <w:szCs w:val="19"/>
              </w:rPr>
              <w:t xml:space="preserve">Family</w:t>
            </w:r>
          </w:p>
        </w:tc>
        <w:tc>
          <w:tcPr>
            <w:tcW w:type="dxa" w:w="7360"/>
            <w:tcBorders>
              <w:top w:val="single" w:color="1A6060" w:sz="1"/>
              <w:left w:val="single" w:color="1A6060" w:sz="1"/>
              <w:bottom w:val="single" w:color="1A6060" w:sz="1"/>
              <w:right w:val="single" w:color="1A606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Lamiaceae (Mint family)</w:t>
            </w:r>
          </w:p>
        </w:tc>
      </w:tr>
      <w:tr>
        <w:tc>
          <w:tcPr>
            <w:tcW w:type="dxa" w:w="2000"/>
            <w:tcBorders>
              <w:top w:val="single" w:color="1A6060" w:sz="1"/>
              <w:left w:val="single" w:color="1A6060" w:sz="1"/>
              <w:bottom w:val="single" w:color="1A6060" w:sz="1"/>
              <w:right w:val="single" w:color="1A6060" w:sz="1"/>
            </w:tcBorders>
            <w:shd w:fill="EEEEEE" w:val="clear"/>
            <w:tcMar>
              <w:top w:type="dxa" w:w="75"/>
              <w:left w:type="dxa" w:w="120"/>
              <w:bottom w:type="dxa" w:w="75"/>
              <w:right w:type="dxa" w:w="120"/>
            </w:tcMar>
          </w:tcPr>
          <w:p>
            <w:r>
              <w:rPr>
                <w:rFonts w:ascii="Arial" w:cs="Arial" w:eastAsia="Arial" w:hAnsi="Arial"/>
                <w:b/>
                <w:bCs/>
                <w:color w:val="1A6060"/>
                <w:sz w:val="19"/>
                <w:szCs w:val="19"/>
              </w:rPr>
              <w:t xml:space="preserve">Parts used</w:t>
            </w:r>
          </w:p>
        </w:tc>
        <w:tc>
          <w:tcPr>
            <w:tcW w:type="dxa" w:w="7360"/>
            <w:tcBorders>
              <w:top w:val="single" w:color="1A6060" w:sz="1"/>
              <w:left w:val="single" w:color="1A6060" w:sz="1"/>
              <w:bottom w:val="single" w:color="1A6060" w:sz="1"/>
              <w:right w:val="single" w:color="1A606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Leaves and aerial parts — harvest before flowering for highest menthol content</w:t>
            </w:r>
          </w:p>
        </w:tc>
      </w:tr>
      <w:tr>
        <w:tc>
          <w:tcPr>
            <w:tcW w:type="dxa" w:w="2000"/>
            <w:tcBorders>
              <w:top w:val="single" w:color="1A6060" w:sz="1"/>
              <w:left w:val="single" w:color="1A6060" w:sz="1"/>
              <w:bottom w:val="single" w:color="1A6060" w:sz="1"/>
              <w:right w:val="single" w:color="1A6060" w:sz="1"/>
            </w:tcBorders>
            <w:shd w:fill="D0EDED" w:val="clear"/>
            <w:tcMar>
              <w:top w:type="dxa" w:w="75"/>
              <w:left w:type="dxa" w:w="120"/>
              <w:bottom w:type="dxa" w:w="75"/>
              <w:right w:type="dxa" w:w="120"/>
            </w:tcMar>
          </w:tcPr>
          <w:p>
            <w:r>
              <w:rPr>
                <w:rFonts w:ascii="Arial" w:cs="Arial" w:eastAsia="Arial" w:hAnsi="Arial"/>
                <w:b/>
                <w:bCs/>
                <w:color w:val="1A6060"/>
                <w:sz w:val="19"/>
                <w:szCs w:val="19"/>
              </w:rPr>
              <w:t xml:space="preserve">Growing</w:t>
            </w:r>
          </w:p>
        </w:tc>
        <w:tc>
          <w:tcPr>
            <w:tcW w:type="dxa" w:w="7360"/>
            <w:tcBorders>
              <w:top w:val="single" w:color="1A6060" w:sz="1"/>
              <w:left w:val="single" w:color="1A6060" w:sz="1"/>
              <w:bottom w:val="single" w:color="1A6060" w:sz="1"/>
              <w:right w:val="single" w:color="1A606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Vigorous perennial hybrid; Zones 3–11 (very adaptable). Part shade to full sun; consistently moist soil; rich conditions. Spreads VERY aggressively by underground stolons — always grow in containers or with a deep (12-inch) physical barrier. Virtually indestructible once established; division and container repotting needed annually for best production.</w:t>
            </w:r>
          </w:p>
        </w:tc>
      </w:tr>
      <w:tr>
        <w:tc>
          <w:tcPr>
            <w:tcW w:type="dxa" w:w="2000"/>
            <w:tcBorders>
              <w:top w:val="single" w:color="1A6060" w:sz="1"/>
              <w:left w:val="single" w:color="1A6060" w:sz="1"/>
              <w:bottom w:val="single" w:color="1A6060" w:sz="1"/>
              <w:right w:val="single" w:color="1A6060" w:sz="1"/>
            </w:tcBorders>
            <w:shd w:fill="EEEEEE" w:val="clear"/>
            <w:tcMar>
              <w:top w:type="dxa" w:w="75"/>
              <w:left w:type="dxa" w:w="120"/>
              <w:bottom w:type="dxa" w:w="75"/>
              <w:right w:type="dxa" w:w="120"/>
            </w:tcMar>
          </w:tcPr>
          <w:p>
            <w:r>
              <w:rPr>
                <w:rFonts w:ascii="Arial" w:cs="Arial" w:eastAsia="Arial" w:hAnsi="Arial"/>
                <w:b/>
                <w:bCs/>
                <w:color w:val="1A6060"/>
                <w:sz w:val="19"/>
                <w:szCs w:val="19"/>
              </w:rPr>
              <w:t xml:space="preserve">Zones</w:t>
            </w:r>
          </w:p>
        </w:tc>
        <w:tc>
          <w:tcPr>
            <w:tcW w:type="dxa" w:w="7360"/>
            <w:tcBorders>
              <w:top w:val="single" w:color="1A6060" w:sz="1"/>
              <w:left w:val="single" w:color="1A6060" w:sz="1"/>
              <w:bottom w:val="single" w:color="1A6060" w:sz="1"/>
              <w:right w:val="single" w:color="1A606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Zones 3–11; one of the most cold-hardy and adaptable herbs</w:t>
            </w:r>
          </w:p>
        </w:tc>
      </w:tr>
      <w:tr>
        <w:tc>
          <w:tcPr>
            <w:tcW w:type="dxa" w:w="2000"/>
            <w:tcBorders>
              <w:top w:val="single" w:color="1A6060" w:sz="1"/>
              <w:left w:val="single" w:color="1A6060" w:sz="1"/>
              <w:bottom w:val="single" w:color="1A6060" w:sz="1"/>
              <w:right w:val="single" w:color="1A6060" w:sz="1"/>
            </w:tcBorders>
            <w:shd w:fill="D0EDED" w:val="clear"/>
            <w:tcMar>
              <w:top w:type="dxa" w:w="75"/>
              <w:left w:type="dxa" w:w="120"/>
              <w:bottom w:type="dxa" w:w="75"/>
              <w:right w:type="dxa" w:w="120"/>
            </w:tcMar>
          </w:tcPr>
          <w:p>
            <w:r>
              <w:rPr>
                <w:rFonts w:ascii="Arial" w:cs="Arial" w:eastAsia="Arial" w:hAnsi="Arial"/>
                <w:b/>
                <w:bCs/>
                <w:color w:val="1A6060"/>
                <w:sz w:val="19"/>
                <w:szCs w:val="19"/>
              </w:rPr>
              <w:t xml:space="preserve">Medicinal use</w:t>
            </w:r>
          </w:p>
        </w:tc>
        <w:tc>
          <w:tcPr>
            <w:tcW w:type="dxa" w:w="7360"/>
            <w:tcBorders>
              <w:top w:val="single" w:color="1A6060" w:sz="1"/>
              <w:left w:val="single" w:color="1A6060" w:sz="1"/>
              <w:bottom w:val="single" w:color="1A6060" w:sz="1"/>
              <w:right w:val="single" w:color="1A606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The single best-studied herb for digestive complaints, with impressive clinical evidence. Enteric-coated peppermint oil capsules are the most evidence-rich herbal treatment for irritable bowel syndrome (IBS) — multiple meta-analyses show significant symptom reduction. Menthol relaxes smooth muscle of the GI tract (antispasmodic); promotes bile flow; relieves nausea (including chemotherapy-related); carminative (gas-relieving); antimicrobial. Topical menthol: analgesic effect for tension headache (applied to temples); cooling for muscle pain; decongestant in steam.</w:t>
            </w:r>
          </w:p>
        </w:tc>
      </w:tr>
      <w:tr>
        <w:tc>
          <w:tcPr>
            <w:tcW w:type="dxa" w:w="2000"/>
            <w:tcBorders>
              <w:top w:val="single" w:color="1A6060" w:sz="1"/>
              <w:left w:val="single" w:color="1A6060" w:sz="1"/>
              <w:bottom w:val="single" w:color="1A6060" w:sz="1"/>
              <w:right w:val="single" w:color="1A6060" w:sz="1"/>
            </w:tcBorders>
            <w:shd w:fill="EEEEEE" w:val="clear"/>
            <w:tcMar>
              <w:top w:type="dxa" w:w="75"/>
              <w:left w:type="dxa" w:w="120"/>
              <w:bottom w:type="dxa" w:w="75"/>
              <w:right w:type="dxa" w:w="120"/>
            </w:tcMar>
          </w:tcPr>
          <w:p>
            <w:r>
              <w:rPr>
                <w:rFonts w:ascii="Arial" w:cs="Arial" w:eastAsia="Arial" w:hAnsi="Arial"/>
                <w:b/>
                <w:bCs/>
                <w:color w:val="1A6060"/>
                <w:sz w:val="19"/>
                <w:szCs w:val="19"/>
              </w:rPr>
              <w:t xml:space="preserve">Preparation</w:t>
            </w:r>
          </w:p>
        </w:tc>
        <w:tc>
          <w:tcPr>
            <w:tcW w:type="dxa" w:w="7360"/>
            <w:tcBorders>
              <w:top w:val="single" w:color="1A6060" w:sz="1"/>
              <w:left w:val="single" w:color="1A6060" w:sz="1"/>
              <w:bottom w:val="single" w:color="1A6060" w:sz="1"/>
              <w:right w:val="single" w:color="1A606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Tea: 1–2 teaspoons dried or 2–3 teaspoons fresh per cup, covered, 5–10 minutes; drink after meals for digestive support or as needed for nausea and IBS symptoms. Enteric-coated capsules (0.2ml per capsule) for IBS — must be enteric-coated to prevent esophageal spasm that regular peppermint oil causes. Tincture: 1:5 in 45% alcohol; 20–40 drops. Topical: diluted peppermint essential oil (2–3 drops in 1 tablespoon carrier oil) for headache or muscle pain.</w:t>
            </w:r>
          </w:p>
        </w:tc>
      </w:tr>
      <w:tr>
        <w:tc>
          <w:tcPr>
            <w:tcW w:type="dxa" w:w="2000"/>
            <w:tcBorders>
              <w:top w:val="single" w:color="1A6060" w:sz="1"/>
              <w:left w:val="single" w:color="1A6060" w:sz="1"/>
              <w:bottom w:val="single" w:color="1A6060" w:sz="1"/>
              <w:right w:val="single" w:color="1A6060" w:sz="1"/>
            </w:tcBorders>
            <w:shd w:fill="D0EDED" w:val="clear"/>
            <w:tcMar>
              <w:top w:type="dxa" w:w="75"/>
              <w:left w:type="dxa" w:w="120"/>
              <w:bottom w:type="dxa" w:w="75"/>
              <w:right w:type="dxa" w:w="120"/>
            </w:tcMar>
          </w:tcPr>
          <w:p>
            <w:r>
              <w:rPr>
                <w:rFonts w:ascii="Arial" w:cs="Arial" w:eastAsia="Arial" w:hAnsi="Arial"/>
                <w:b/>
                <w:bCs/>
                <w:color w:val="1A6060"/>
                <w:sz w:val="19"/>
                <w:szCs w:val="19"/>
              </w:rPr>
              <w:t xml:space="preserve">Evidence base</w:t>
            </w:r>
          </w:p>
        </w:tc>
        <w:tc>
          <w:tcPr>
            <w:tcW w:type="dxa" w:w="7360"/>
            <w:tcBorders>
              <w:top w:val="single" w:color="1A6060" w:sz="1"/>
              <w:left w:val="single" w:color="1A6060" w:sz="1"/>
              <w:bottom w:val="single" w:color="1A6060" w:sz="1"/>
              <w:right w:val="single" w:color="1A606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Excellent evidence for IBS (multiple RCTs and meta-analyses); good evidence for nausea; antimicrobial activity well-documented; German Commission E approved for IBS, flatulence, and nausea.</w:t>
            </w:r>
          </w:p>
        </w:tc>
      </w:tr>
      <w:tr>
        <w:tc>
          <w:tcPr>
            <w:tcW w:type="dxa" w:w="2000"/>
            <w:tcBorders>
              <w:top w:val="single" w:color="1A6060" w:sz="1"/>
              <w:left w:val="single" w:color="1A6060" w:sz="1"/>
              <w:bottom w:val="single" w:color="1A6060" w:sz="1"/>
              <w:right w:val="single" w:color="1A6060" w:sz="1"/>
            </w:tcBorders>
            <w:shd w:fill="EEEEEE" w:val="clear"/>
            <w:tcMar>
              <w:top w:type="dxa" w:w="75"/>
              <w:left w:type="dxa" w:w="120"/>
              <w:bottom w:type="dxa" w:w="75"/>
              <w:right w:type="dxa" w:w="120"/>
            </w:tcMar>
          </w:tcPr>
          <w:p>
            <w:r>
              <w:rPr>
                <w:rFonts w:ascii="Arial" w:cs="Arial" w:eastAsia="Arial" w:hAnsi="Arial"/>
                <w:b/>
                <w:bCs/>
                <w:color w:val="1A6060"/>
                <w:sz w:val="19"/>
                <w:szCs w:val="19"/>
              </w:rPr>
              <w:t xml:space="preserve">Safety</w:t>
            </w:r>
          </w:p>
        </w:tc>
        <w:tc>
          <w:tcPr>
            <w:tcW w:type="dxa" w:w="7360"/>
            <w:tcBorders>
              <w:top w:val="single" w:color="1A6060" w:sz="1"/>
              <w:left w:val="single" w:color="1A6060" w:sz="1"/>
              <w:bottom w:val="single" w:color="1A6060" w:sz="1"/>
              <w:right w:val="single" w:color="1A606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Tea generally very safe. Do not use peppermint products (including tea) for gastroesophageal reflux (GERD) — the antispasmodic effect on the lower esophageal sphincter worsens reflux. Do not apply menthol products to the face or nostrils of infants or young children — can cause respiratory distress. Peppermint essential oil internally without enteric coating causes esophageal spasm — use enteric-coated capsules for IBS. Drug interactions: peppermint may slow clearance of some drugs (CYP3A4 activity) — check if you take prescription medications that are hepatically metabolized.</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6010" w:sz="2"/>
              <w:left w:val="single" w:color="8C6010" w:sz="2"/>
              <w:bottom w:val="single" w:color="8C6010" w:sz="2"/>
              <w:right w:val="single" w:color="8C6010" w:sz="2"/>
            </w:tcBorders>
            <w:shd w:fill="8C6010"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Ginger</w:t>
            </w:r>
          </w:p>
          <w:p>
            <w:pPr>
              <w:spacing w:before="0" w:after="0"/>
            </w:pPr>
            <w:r>
              <w:rPr>
                <w:rFonts w:ascii="Arial" w:cs="Arial" w:eastAsia="Arial" w:hAnsi="Arial"/>
                <w:i/>
                <w:iCs/>
                <w:color w:val="EEEEEE"/>
                <w:sz w:val="20"/>
                <w:szCs w:val="20"/>
              </w:rPr>
              <w:t xml:space="preserve">Zingiber officinale</w:t>
            </w:r>
          </w:p>
        </w:tc>
      </w:tr>
      <w:tr>
        <w:tc>
          <w:tcPr>
            <w:tcW w:type="dxa" w:w="2000"/>
            <w:tcBorders>
              <w:top w:val="single" w:color="8C6010" w:sz="1"/>
              <w:left w:val="single" w:color="8C6010" w:sz="1"/>
              <w:bottom w:val="single" w:color="8C6010" w:sz="1"/>
              <w:right w:val="single" w:color="8C6010" w:sz="1"/>
            </w:tcBorders>
            <w:shd w:fill="F5E8C8" w:val="clear"/>
            <w:tcMar>
              <w:top w:type="dxa" w:w="75"/>
              <w:left w:type="dxa" w:w="120"/>
              <w:bottom w:type="dxa" w:w="75"/>
              <w:right w:type="dxa" w:w="120"/>
            </w:tcMar>
          </w:tcPr>
          <w:p>
            <w:r>
              <w:rPr>
                <w:rFonts w:ascii="Arial" w:cs="Arial" w:eastAsia="Arial" w:hAnsi="Arial"/>
                <w:b/>
                <w:bCs/>
                <w:color w:val="8C6010"/>
                <w:sz w:val="19"/>
                <w:szCs w:val="19"/>
              </w:rPr>
              <w:t xml:space="preserve">Family</w:t>
            </w:r>
          </w:p>
        </w:tc>
        <w:tc>
          <w:tcPr>
            <w:tcW w:type="dxa" w:w="7360"/>
            <w:tcBorders>
              <w:top w:val="single" w:color="8C6010" w:sz="1"/>
              <w:left w:val="single" w:color="8C6010" w:sz="1"/>
              <w:bottom w:val="single" w:color="8C6010" w:sz="1"/>
              <w:right w:val="single" w:color="8C601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Zingiberaceae</w:t>
            </w:r>
          </w:p>
        </w:tc>
      </w:tr>
      <w:tr>
        <w:tc>
          <w:tcPr>
            <w:tcW w:type="dxa" w:w="2000"/>
            <w:tcBorders>
              <w:top w:val="single" w:color="8C6010" w:sz="1"/>
              <w:left w:val="single" w:color="8C6010" w:sz="1"/>
              <w:bottom w:val="single" w:color="8C6010" w:sz="1"/>
              <w:right w:val="single" w:color="8C6010" w:sz="1"/>
            </w:tcBorders>
            <w:shd w:fill="EEEEEE" w:val="clear"/>
            <w:tcMar>
              <w:top w:type="dxa" w:w="75"/>
              <w:left w:type="dxa" w:w="120"/>
              <w:bottom w:type="dxa" w:w="75"/>
              <w:right w:type="dxa" w:w="120"/>
            </w:tcMar>
          </w:tcPr>
          <w:p>
            <w:r>
              <w:rPr>
                <w:rFonts w:ascii="Arial" w:cs="Arial" w:eastAsia="Arial" w:hAnsi="Arial"/>
                <w:b/>
                <w:bCs/>
                <w:color w:val="8C6010"/>
                <w:sz w:val="19"/>
                <w:szCs w:val="19"/>
              </w:rPr>
              <w:t xml:space="preserve">Parts used</w:t>
            </w:r>
          </w:p>
        </w:tc>
        <w:tc>
          <w:tcPr>
            <w:tcW w:type="dxa" w:w="7360"/>
            <w:tcBorders>
              <w:top w:val="single" w:color="8C6010" w:sz="1"/>
              <w:left w:val="single" w:color="8C6010" w:sz="1"/>
              <w:bottom w:val="single" w:color="8C6010" w:sz="1"/>
              <w:right w:val="single" w:color="8C601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Rhizome (fresh or dried); the medicinal profile differs — fresh ginger (gingerols) vs. dried ginger (shogaols, from dehydration of gingerols; more potent warming effect)</w:t>
            </w:r>
          </w:p>
        </w:tc>
      </w:tr>
      <w:tr>
        <w:tc>
          <w:tcPr>
            <w:tcW w:type="dxa" w:w="2000"/>
            <w:tcBorders>
              <w:top w:val="single" w:color="8C6010" w:sz="1"/>
              <w:left w:val="single" w:color="8C6010" w:sz="1"/>
              <w:bottom w:val="single" w:color="8C6010" w:sz="1"/>
              <w:right w:val="single" w:color="8C6010" w:sz="1"/>
            </w:tcBorders>
            <w:shd w:fill="F5E8C8" w:val="clear"/>
            <w:tcMar>
              <w:top w:type="dxa" w:w="75"/>
              <w:left w:type="dxa" w:w="120"/>
              <w:bottom w:type="dxa" w:w="75"/>
              <w:right w:type="dxa" w:w="120"/>
            </w:tcMar>
          </w:tcPr>
          <w:p>
            <w:r>
              <w:rPr>
                <w:rFonts w:ascii="Arial" w:cs="Arial" w:eastAsia="Arial" w:hAnsi="Arial"/>
                <w:b/>
                <w:bCs/>
                <w:color w:val="8C6010"/>
                <w:sz w:val="19"/>
                <w:szCs w:val="19"/>
              </w:rPr>
              <w:t xml:space="preserve">Growing</w:t>
            </w:r>
          </w:p>
        </w:tc>
        <w:tc>
          <w:tcPr>
            <w:tcW w:type="dxa" w:w="7360"/>
            <w:tcBorders>
              <w:top w:val="single" w:color="8C6010" w:sz="1"/>
              <w:left w:val="single" w:color="8C6010" w:sz="1"/>
              <w:bottom w:val="single" w:color="8C6010" w:sz="1"/>
              <w:right w:val="single" w:color="8C601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Tropical perennial grown as annual in most of the U.S. (perennial only in Zones 8–11). Needs: rich moist soil; partial shade (tolerates full shade); warm temperatures. In colder climates, start rhizome sections in pots indoors in spring (after last frost risk); bring outside for summer; dig before first frost and store indoors. In Zones 8–11, grows year-round outdoors with excellent ornamental foliage value. Very rewarding as a container plant.</w:t>
            </w:r>
          </w:p>
        </w:tc>
      </w:tr>
      <w:tr>
        <w:tc>
          <w:tcPr>
            <w:tcW w:type="dxa" w:w="2000"/>
            <w:tcBorders>
              <w:top w:val="single" w:color="8C6010" w:sz="1"/>
              <w:left w:val="single" w:color="8C6010" w:sz="1"/>
              <w:bottom w:val="single" w:color="8C6010" w:sz="1"/>
              <w:right w:val="single" w:color="8C6010" w:sz="1"/>
            </w:tcBorders>
            <w:shd w:fill="EEEEEE" w:val="clear"/>
            <w:tcMar>
              <w:top w:type="dxa" w:w="75"/>
              <w:left w:type="dxa" w:w="120"/>
              <w:bottom w:type="dxa" w:w="75"/>
              <w:right w:type="dxa" w:w="120"/>
            </w:tcMar>
          </w:tcPr>
          <w:p>
            <w:r>
              <w:rPr>
                <w:rFonts w:ascii="Arial" w:cs="Arial" w:eastAsia="Arial" w:hAnsi="Arial"/>
                <w:b/>
                <w:bCs/>
                <w:color w:val="8C6010"/>
                <w:sz w:val="19"/>
                <w:szCs w:val="19"/>
              </w:rPr>
              <w:t xml:space="preserve">Zones</w:t>
            </w:r>
          </w:p>
        </w:tc>
        <w:tc>
          <w:tcPr>
            <w:tcW w:type="dxa" w:w="7360"/>
            <w:tcBorders>
              <w:top w:val="single" w:color="8C6010" w:sz="1"/>
              <w:left w:val="single" w:color="8C6010" w:sz="1"/>
              <w:bottom w:val="single" w:color="8C6010" w:sz="1"/>
              <w:right w:val="single" w:color="8C601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Annual throughout U.S.; perennial in Zones 8–11</w:t>
            </w:r>
          </w:p>
        </w:tc>
      </w:tr>
      <w:tr>
        <w:tc>
          <w:tcPr>
            <w:tcW w:type="dxa" w:w="2000"/>
            <w:tcBorders>
              <w:top w:val="single" w:color="8C6010" w:sz="1"/>
              <w:left w:val="single" w:color="8C6010" w:sz="1"/>
              <w:bottom w:val="single" w:color="8C6010" w:sz="1"/>
              <w:right w:val="single" w:color="8C6010" w:sz="1"/>
            </w:tcBorders>
            <w:shd w:fill="F5E8C8" w:val="clear"/>
            <w:tcMar>
              <w:top w:type="dxa" w:w="75"/>
              <w:left w:type="dxa" w:w="120"/>
              <w:bottom w:type="dxa" w:w="75"/>
              <w:right w:type="dxa" w:w="120"/>
            </w:tcMar>
          </w:tcPr>
          <w:p>
            <w:r>
              <w:rPr>
                <w:rFonts w:ascii="Arial" w:cs="Arial" w:eastAsia="Arial" w:hAnsi="Arial"/>
                <w:b/>
                <w:bCs/>
                <w:color w:val="8C6010"/>
                <w:sz w:val="19"/>
                <w:szCs w:val="19"/>
              </w:rPr>
              <w:t xml:space="preserve">Medicinal use</w:t>
            </w:r>
          </w:p>
        </w:tc>
        <w:tc>
          <w:tcPr>
            <w:tcW w:type="dxa" w:w="7360"/>
            <w:tcBorders>
              <w:top w:val="single" w:color="8C6010" w:sz="1"/>
              <w:left w:val="single" w:color="8C6010" w:sz="1"/>
              <w:bottom w:val="single" w:color="8C6010" w:sz="1"/>
              <w:right w:val="single" w:color="8C601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One of the most evidence-rich herbs for nausea of any cause: pregnancy-related nausea and vomiting (safe for first-trimester use; multiple clinical trials); motion sickness; chemotherapy-related nausea; post-operative nausea. Anti-inflammatory: gingerols inhibit COX-2 (the same target as ibuprofen); multiple studies show modest reduction in osteoarthritis pain. Digestive stimulant; carminative; warming circulatory herb; antimicrobial.</w:t>
            </w:r>
          </w:p>
        </w:tc>
      </w:tr>
      <w:tr>
        <w:tc>
          <w:tcPr>
            <w:tcW w:type="dxa" w:w="2000"/>
            <w:tcBorders>
              <w:top w:val="single" w:color="8C6010" w:sz="1"/>
              <w:left w:val="single" w:color="8C6010" w:sz="1"/>
              <w:bottom w:val="single" w:color="8C6010" w:sz="1"/>
              <w:right w:val="single" w:color="8C6010" w:sz="1"/>
            </w:tcBorders>
            <w:shd w:fill="EEEEEE" w:val="clear"/>
            <w:tcMar>
              <w:top w:type="dxa" w:w="75"/>
              <w:left w:type="dxa" w:w="120"/>
              <w:bottom w:type="dxa" w:w="75"/>
              <w:right w:type="dxa" w:w="120"/>
            </w:tcMar>
          </w:tcPr>
          <w:p>
            <w:r>
              <w:rPr>
                <w:rFonts w:ascii="Arial" w:cs="Arial" w:eastAsia="Arial" w:hAnsi="Arial"/>
                <w:b/>
                <w:bCs/>
                <w:color w:val="8C6010"/>
                <w:sz w:val="19"/>
                <w:szCs w:val="19"/>
              </w:rPr>
              <w:t xml:space="preserve">Preparation</w:t>
            </w:r>
          </w:p>
        </w:tc>
        <w:tc>
          <w:tcPr>
            <w:tcW w:type="dxa" w:w="7360"/>
            <w:tcBorders>
              <w:top w:val="single" w:color="8C6010" w:sz="1"/>
              <w:left w:val="single" w:color="8C6010" w:sz="1"/>
              <w:bottom w:val="single" w:color="8C6010" w:sz="1"/>
              <w:right w:val="single" w:color="8C601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Fresh ginger tea: grate or thinly slice 1-inch piece fresh ginger into cup; pour boiling water; steep 5–10 minutes; add honey and lemon. This is genuinely delicious and reliably effective for nausea. Dried ginger capsules: 500–1000mg standardized powder, 1–3 times daily for inflammation or travel sickness. Tincture: 1:5 fresh ginger in 60% alcohol; 10–30 drops. Candied ginger: traditional anti-nausea preparation; effective but high sugar content.</w:t>
            </w:r>
          </w:p>
        </w:tc>
      </w:tr>
      <w:tr>
        <w:tc>
          <w:tcPr>
            <w:tcW w:type="dxa" w:w="2000"/>
            <w:tcBorders>
              <w:top w:val="single" w:color="8C6010" w:sz="1"/>
              <w:left w:val="single" w:color="8C6010" w:sz="1"/>
              <w:bottom w:val="single" w:color="8C6010" w:sz="1"/>
              <w:right w:val="single" w:color="8C6010" w:sz="1"/>
            </w:tcBorders>
            <w:shd w:fill="F5E8C8" w:val="clear"/>
            <w:tcMar>
              <w:top w:type="dxa" w:w="75"/>
              <w:left w:type="dxa" w:w="120"/>
              <w:bottom w:type="dxa" w:w="75"/>
              <w:right w:type="dxa" w:w="120"/>
            </w:tcMar>
          </w:tcPr>
          <w:p>
            <w:r>
              <w:rPr>
                <w:rFonts w:ascii="Arial" w:cs="Arial" w:eastAsia="Arial" w:hAnsi="Arial"/>
                <w:b/>
                <w:bCs/>
                <w:color w:val="8C6010"/>
                <w:sz w:val="19"/>
                <w:szCs w:val="19"/>
              </w:rPr>
              <w:t xml:space="preserve">Evidence base</w:t>
            </w:r>
          </w:p>
        </w:tc>
        <w:tc>
          <w:tcPr>
            <w:tcW w:type="dxa" w:w="7360"/>
            <w:tcBorders>
              <w:top w:val="single" w:color="8C6010" w:sz="1"/>
              <w:left w:val="single" w:color="8C6010" w:sz="1"/>
              <w:bottom w:val="single" w:color="8C6010" w:sz="1"/>
              <w:right w:val="single" w:color="8C601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Multiple meta-analyses supporting nausea treatment; positive trials for pregnancy nausea (considered safe first-trimester with physician awareness); some clinical evidence for osteoarthritis; strong in vitro evidence for anti-inflammatory activity.</w:t>
            </w:r>
          </w:p>
        </w:tc>
      </w:tr>
      <w:tr>
        <w:tc>
          <w:tcPr>
            <w:tcW w:type="dxa" w:w="2000"/>
            <w:tcBorders>
              <w:top w:val="single" w:color="8C6010" w:sz="1"/>
              <w:left w:val="single" w:color="8C6010" w:sz="1"/>
              <w:bottom w:val="single" w:color="8C6010" w:sz="1"/>
              <w:right w:val="single" w:color="8C6010" w:sz="1"/>
            </w:tcBorders>
            <w:shd w:fill="EEEEEE" w:val="clear"/>
            <w:tcMar>
              <w:top w:type="dxa" w:w="75"/>
              <w:left w:type="dxa" w:w="120"/>
              <w:bottom w:type="dxa" w:w="75"/>
              <w:right w:type="dxa" w:w="120"/>
            </w:tcMar>
          </w:tcPr>
          <w:p>
            <w:r>
              <w:rPr>
                <w:rFonts w:ascii="Arial" w:cs="Arial" w:eastAsia="Arial" w:hAnsi="Arial"/>
                <w:b/>
                <w:bCs/>
                <w:color w:val="8C6010"/>
                <w:sz w:val="19"/>
                <w:szCs w:val="19"/>
              </w:rPr>
              <w:t xml:space="preserve">Safety</w:t>
            </w:r>
          </w:p>
        </w:tc>
        <w:tc>
          <w:tcPr>
            <w:tcW w:type="dxa" w:w="7360"/>
            <w:tcBorders>
              <w:top w:val="single" w:color="8C6010" w:sz="1"/>
              <w:left w:val="single" w:color="8C6010" w:sz="1"/>
              <w:bottom w:val="single" w:color="8C6010" w:sz="1"/>
              <w:right w:val="single" w:color="8C601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Very safe for most people at culinary and moderate medicinal doses. Anticoagulant concern: at high supplemental doses, ginger has antiplatelet effects — stop supplements 2 weeks before surgery; caution with warfarin (fresh ginger in cooking is fine). GI irritation: high doses can cause heartburn, diarrhea, and mouth irritation. Pregnancy: culinary use and moderate tea consumption generally considered safe; high supplemental doses require physician awareness. Gallstones: may increase bile flow — some practitioners recommend caution with existing gallstones.</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5A27" w:sz="2"/>
              <w:left w:val="single" w:color="2D5A27" w:sz="2"/>
              <w:bottom w:val="single" w:color="2D5A27" w:sz="2"/>
              <w:right w:val="single" w:color="2D5A27" w:sz="2"/>
            </w:tcBorders>
            <w:shd w:fill="2D5A27"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Marshmallow</w:t>
            </w:r>
          </w:p>
          <w:p>
            <w:pPr>
              <w:spacing w:before="0" w:after="0"/>
            </w:pPr>
            <w:r>
              <w:rPr>
                <w:rFonts w:ascii="Arial" w:cs="Arial" w:eastAsia="Arial" w:hAnsi="Arial"/>
                <w:i/>
                <w:iCs/>
                <w:color w:val="EEEEEE"/>
                <w:sz w:val="20"/>
                <w:szCs w:val="20"/>
              </w:rPr>
              <w:t xml:space="preserve">Althaea officinalis</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Family</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Malvaceae</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Parts used</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Root (most mucilage) and leaves; flowers edible</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Growing</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Tall perennial (4–6 feet); Zones 3–9. Full sun to part shade; consistently moist to occasionally wet soil; tolerates clay and poor drainage. Very drought-tolerant once established. Easy from seed (soak seeds overnight before planting); also from transplant. Beautiful pink hollyhock-like flowers. Leave roots in the ground for 2 years before harvesting for best mucilage development.</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Zones</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Zones 3–9</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Medicinal use</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The defining "mucilaginous" herb — rich in mucilage (long-chain polysaccharides) that coat and soothe mucous membranes throughout the body. Uses: sore throat, pharyngitis, and dry irritating cough (forms protective coating on throat lining); digestive irritation and inflammation (gastritis, ulcers, IBS); urinary tract inflammation (soothes irritated urinary lining — effective adjunct for UTI symptom relief); externally for wound healing and skin inflammation.</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Preparation</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Cold infusion (BEST method): add 2 tablespoons dried root to 1 quart cold water; allow to steep overnight at room temperature; strain; drink throughout the day. Cold water preserves the mucilage that hot water can partially break down. ALSO: warm root tea (1 tablespoon per cup, simmered 10 minutes); syrup from concentrated root decoction with honey for throat coating; poultice of powdered root mixed with water for skin application.</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Evidence base</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Primarily mechanistic and traditional evidence; in vitro studies confirm mucilage activity; clinical trials limited but supporting traditional use for sore throat; considered well-established traditional use by European regulatory bodies.</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Safety</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Excellent safety profile — one of the safest medicinal herbs available. Drug absorption concern: the mucilage may slow absorption of orally taken medications — take medications 1–2 hours before or after marshmallow root preparations. No known drug interactions otherwise. Very safe in pregnancy (no documented concerns). Suitable for children.</w:t>
            </w:r>
          </w:p>
        </w:tc>
      </w:tr>
    </w:tbl>
    <w:p>
      <w:pPr>
        <w:spacing w:before="160" w:after="0"/>
      </w:pPr>
      <w:r>
        <w:t xml:space="preserve"/>
      </w:r>
    </w:p>
    <w:p>
      <w:pPr>
        <w:pStyle w:val="Heading2"/>
        <w:spacing w:before="260" w:after="100"/>
      </w:pPr>
      <w:r>
        <w:rPr>
          <w:rFonts w:ascii="Arial" w:cs="Arial" w:eastAsia="Arial" w:hAnsi="Arial"/>
          <w:b/>
          <w:bCs/>
          <w:color w:val="1A6060"/>
          <w:sz w:val="28"/>
          <w:szCs w:val="28"/>
        </w:rPr>
        <w:t xml:space="preserve">Women's Health Herbs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C4A8C" w:sz="2"/>
              <w:left w:val="single" w:color="5C4A8C" w:sz="2"/>
              <w:bottom w:val="single" w:color="5C4A8C" w:sz="2"/>
              <w:right w:val="single" w:color="5C4A8C" w:sz="2"/>
            </w:tcBorders>
            <w:shd w:fill="5C4A8C"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Red Raspberry Leaf</w:t>
            </w:r>
          </w:p>
          <w:p>
            <w:pPr>
              <w:spacing w:before="0" w:after="0"/>
            </w:pPr>
            <w:r>
              <w:rPr>
                <w:rFonts w:ascii="Arial" w:cs="Arial" w:eastAsia="Arial" w:hAnsi="Arial"/>
                <w:i/>
                <w:iCs/>
                <w:color w:val="EEEEEE"/>
                <w:sz w:val="20"/>
                <w:szCs w:val="20"/>
              </w:rPr>
              <w:t xml:space="preserve">Rubus idaeus</w:t>
            </w:r>
          </w:p>
        </w:tc>
      </w:tr>
      <w:tr>
        <w:tc>
          <w:tcPr>
            <w:tcW w:type="dxa" w:w="2000"/>
            <w:tcBorders>
              <w:top w:val="single" w:color="5C4A8C" w:sz="1"/>
              <w:left w:val="single" w:color="5C4A8C" w:sz="1"/>
              <w:bottom w:val="single" w:color="5C4A8C" w:sz="1"/>
              <w:right w:val="single" w:color="5C4A8C" w:sz="1"/>
            </w:tcBorders>
            <w:shd w:fill="EDE8F8" w:val="clear"/>
            <w:tcMar>
              <w:top w:type="dxa" w:w="75"/>
              <w:left w:type="dxa" w:w="120"/>
              <w:bottom w:type="dxa" w:w="75"/>
              <w:right w:type="dxa" w:w="120"/>
            </w:tcMar>
          </w:tcPr>
          <w:p>
            <w:r>
              <w:rPr>
                <w:rFonts w:ascii="Arial" w:cs="Arial" w:eastAsia="Arial" w:hAnsi="Arial"/>
                <w:b/>
                <w:bCs/>
                <w:color w:val="5C4A8C"/>
                <w:sz w:val="19"/>
                <w:szCs w:val="19"/>
              </w:rPr>
              <w:t xml:space="preserve">Family</w:t>
            </w:r>
          </w:p>
        </w:tc>
        <w:tc>
          <w:tcPr>
            <w:tcW w:type="dxa" w:w="7360"/>
            <w:tcBorders>
              <w:top w:val="single" w:color="5C4A8C" w:sz="1"/>
              <w:left w:val="single" w:color="5C4A8C" w:sz="1"/>
              <w:bottom w:val="single" w:color="5C4A8C" w:sz="1"/>
              <w:right w:val="single" w:color="5C4A8C"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Rosaceae</w:t>
            </w:r>
          </w:p>
        </w:tc>
      </w:tr>
      <w:tr>
        <w:tc>
          <w:tcPr>
            <w:tcW w:type="dxa" w:w="2000"/>
            <w:tcBorders>
              <w:top w:val="single" w:color="5C4A8C" w:sz="1"/>
              <w:left w:val="single" w:color="5C4A8C" w:sz="1"/>
              <w:bottom w:val="single" w:color="5C4A8C" w:sz="1"/>
              <w:right w:val="single" w:color="5C4A8C" w:sz="1"/>
            </w:tcBorders>
            <w:shd w:fill="EEEEEE" w:val="clear"/>
            <w:tcMar>
              <w:top w:type="dxa" w:w="75"/>
              <w:left w:type="dxa" w:w="120"/>
              <w:bottom w:type="dxa" w:w="75"/>
              <w:right w:type="dxa" w:w="120"/>
            </w:tcMar>
          </w:tcPr>
          <w:p>
            <w:r>
              <w:rPr>
                <w:rFonts w:ascii="Arial" w:cs="Arial" w:eastAsia="Arial" w:hAnsi="Arial"/>
                <w:b/>
                <w:bCs/>
                <w:color w:val="5C4A8C"/>
                <w:sz w:val="19"/>
                <w:szCs w:val="19"/>
              </w:rPr>
              <w:t xml:space="preserve">Parts used</w:t>
            </w:r>
          </w:p>
        </w:tc>
        <w:tc>
          <w:tcPr>
            <w:tcW w:type="dxa" w:w="7360"/>
            <w:tcBorders>
              <w:top w:val="single" w:color="5C4A8C" w:sz="1"/>
              <w:left w:val="single" w:color="5C4A8C" w:sz="1"/>
              <w:bottom w:val="single" w:color="5C4A8C" w:sz="1"/>
              <w:right w:val="single" w:color="5C4A8C"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Leaves — harvest young to mid-age leaves; avoid very old leaves; dry immediately</w:t>
            </w:r>
          </w:p>
        </w:tc>
      </w:tr>
      <w:tr>
        <w:tc>
          <w:tcPr>
            <w:tcW w:type="dxa" w:w="2000"/>
            <w:tcBorders>
              <w:top w:val="single" w:color="5C4A8C" w:sz="1"/>
              <w:left w:val="single" w:color="5C4A8C" w:sz="1"/>
              <w:bottom w:val="single" w:color="5C4A8C" w:sz="1"/>
              <w:right w:val="single" w:color="5C4A8C" w:sz="1"/>
            </w:tcBorders>
            <w:shd w:fill="EDE8F8" w:val="clear"/>
            <w:tcMar>
              <w:top w:type="dxa" w:w="75"/>
              <w:left w:type="dxa" w:w="120"/>
              <w:bottom w:type="dxa" w:w="75"/>
              <w:right w:type="dxa" w:w="120"/>
            </w:tcMar>
          </w:tcPr>
          <w:p>
            <w:r>
              <w:rPr>
                <w:rFonts w:ascii="Arial" w:cs="Arial" w:eastAsia="Arial" w:hAnsi="Arial"/>
                <w:b/>
                <w:bCs/>
                <w:color w:val="5C4A8C"/>
                <w:sz w:val="19"/>
                <w:szCs w:val="19"/>
              </w:rPr>
              <w:t xml:space="preserve">Growing</w:t>
            </w:r>
          </w:p>
        </w:tc>
        <w:tc>
          <w:tcPr>
            <w:tcW w:type="dxa" w:w="7360"/>
            <w:tcBorders>
              <w:top w:val="single" w:color="5C4A8C" w:sz="1"/>
              <w:left w:val="single" w:color="5C4A8C" w:sz="1"/>
              <w:bottom w:val="single" w:color="5C4A8C" w:sz="1"/>
              <w:right w:val="single" w:color="5C4A8C"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Perennial shrub; Zones 3–9. Full sun; well-drained rich soil; grows vigorously once established; requires support (trellis or posts); spreads by cane and sucker. Prune floricanes (canes that have fruited) to the ground after harvest. The medicinal plant is the leaf — berries are culinary. A productive raspberry patch produces both fruit for eating and leaves for medicine.</w:t>
            </w:r>
          </w:p>
        </w:tc>
      </w:tr>
      <w:tr>
        <w:tc>
          <w:tcPr>
            <w:tcW w:type="dxa" w:w="2000"/>
            <w:tcBorders>
              <w:top w:val="single" w:color="5C4A8C" w:sz="1"/>
              <w:left w:val="single" w:color="5C4A8C" w:sz="1"/>
              <w:bottom w:val="single" w:color="5C4A8C" w:sz="1"/>
              <w:right w:val="single" w:color="5C4A8C" w:sz="1"/>
            </w:tcBorders>
            <w:shd w:fill="EEEEEE" w:val="clear"/>
            <w:tcMar>
              <w:top w:type="dxa" w:w="75"/>
              <w:left w:type="dxa" w:w="120"/>
              <w:bottom w:type="dxa" w:w="75"/>
              <w:right w:type="dxa" w:w="120"/>
            </w:tcMar>
          </w:tcPr>
          <w:p>
            <w:r>
              <w:rPr>
                <w:rFonts w:ascii="Arial" w:cs="Arial" w:eastAsia="Arial" w:hAnsi="Arial"/>
                <w:b/>
                <w:bCs/>
                <w:color w:val="5C4A8C"/>
                <w:sz w:val="19"/>
                <w:szCs w:val="19"/>
              </w:rPr>
              <w:t xml:space="preserve">Zones</w:t>
            </w:r>
          </w:p>
        </w:tc>
        <w:tc>
          <w:tcPr>
            <w:tcW w:type="dxa" w:w="7360"/>
            <w:tcBorders>
              <w:top w:val="single" w:color="5C4A8C" w:sz="1"/>
              <w:left w:val="single" w:color="5C4A8C" w:sz="1"/>
              <w:bottom w:val="single" w:color="5C4A8C" w:sz="1"/>
              <w:right w:val="single" w:color="5C4A8C"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Zones 3–9; very cold-hardy</w:t>
            </w:r>
          </w:p>
        </w:tc>
      </w:tr>
      <w:tr>
        <w:tc>
          <w:tcPr>
            <w:tcW w:type="dxa" w:w="2000"/>
            <w:tcBorders>
              <w:top w:val="single" w:color="5C4A8C" w:sz="1"/>
              <w:left w:val="single" w:color="5C4A8C" w:sz="1"/>
              <w:bottom w:val="single" w:color="5C4A8C" w:sz="1"/>
              <w:right w:val="single" w:color="5C4A8C" w:sz="1"/>
            </w:tcBorders>
            <w:shd w:fill="EDE8F8" w:val="clear"/>
            <w:tcMar>
              <w:top w:type="dxa" w:w="75"/>
              <w:left w:type="dxa" w:w="120"/>
              <w:bottom w:type="dxa" w:w="75"/>
              <w:right w:type="dxa" w:w="120"/>
            </w:tcMar>
          </w:tcPr>
          <w:p>
            <w:r>
              <w:rPr>
                <w:rFonts w:ascii="Arial" w:cs="Arial" w:eastAsia="Arial" w:hAnsi="Arial"/>
                <w:b/>
                <w:bCs/>
                <w:color w:val="5C4A8C"/>
                <w:sz w:val="19"/>
                <w:szCs w:val="19"/>
              </w:rPr>
              <w:t xml:space="preserve">Medicinal use</w:t>
            </w:r>
          </w:p>
        </w:tc>
        <w:tc>
          <w:tcPr>
            <w:tcW w:type="dxa" w:w="7360"/>
            <w:tcBorders>
              <w:top w:val="single" w:color="5C4A8C" w:sz="1"/>
              <w:left w:val="single" w:color="5C4A8C" w:sz="1"/>
              <w:bottom w:val="single" w:color="5C4A8C" w:sz="1"/>
              <w:right w:val="single" w:color="5C4A8C"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The classic uterine tonic of Western herbalism: traditionally used throughout pregnancy (particularly the third trimester) to prepare the uterus for labor; for menstrual irregularity and cramping; as a postpartum tonic. Rich in fragrine (a uterine muscle relaxant/tonic alkaloid), minerals (iron, calcium, magnesium), vitamins, and antioxidants. The mineral content alone makes it a valuable nutritive herb regardless of specific uterine effects.</w:t>
            </w:r>
          </w:p>
        </w:tc>
      </w:tr>
      <w:tr>
        <w:tc>
          <w:tcPr>
            <w:tcW w:type="dxa" w:w="2000"/>
            <w:tcBorders>
              <w:top w:val="single" w:color="5C4A8C" w:sz="1"/>
              <w:left w:val="single" w:color="5C4A8C" w:sz="1"/>
              <w:bottom w:val="single" w:color="5C4A8C" w:sz="1"/>
              <w:right w:val="single" w:color="5C4A8C" w:sz="1"/>
            </w:tcBorders>
            <w:shd w:fill="EEEEEE" w:val="clear"/>
            <w:tcMar>
              <w:top w:type="dxa" w:w="75"/>
              <w:left w:type="dxa" w:w="120"/>
              <w:bottom w:type="dxa" w:w="75"/>
              <w:right w:type="dxa" w:w="120"/>
            </w:tcMar>
          </w:tcPr>
          <w:p>
            <w:r>
              <w:rPr>
                <w:rFonts w:ascii="Arial" w:cs="Arial" w:eastAsia="Arial" w:hAnsi="Arial"/>
                <w:b/>
                <w:bCs/>
                <w:color w:val="5C4A8C"/>
                <w:sz w:val="19"/>
                <w:szCs w:val="19"/>
              </w:rPr>
              <w:t xml:space="preserve">Preparation</w:t>
            </w:r>
          </w:p>
        </w:tc>
        <w:tc>
          <w:tcPr>
            <w:tcW w:type="dxa" w:w="7360"/>
            <w:tcBorders>
              <w:top w:val="single" w:color="5C4A8C" w:sz="1"/>
              <w:left w:val="single" w:color="5C4A8C" w:sz="1"/>
              <w:bottom w:val="single" w:color="5C4A8C" w:sz="1"/>
              <w:right w:val="single" w:color="5C4A8C"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Tea: 1–2 teaspoons dried leaf per cup, steeped 10–15 minutes; drink 1–3 cups daily. Long infusion: 1 ounce dried leaf per quart hot water, steeped 4 hours; higher mineral extraction. Tincture: 1:5 in 40% alcohol. Pleasant, mild, and easy to drink — one of the more palatable medicinal teas.</w:t>
            </w:r>
          </w:p>
        </w:tc>
      </w:tr>
      <w:tr>
        <w:tc>
          <w:tcPr>
            <w:tcW w:type="dxa" w:w="2000"/>
            <w:tcBorders>
              <w:top w:val="single" w:color="5C4A8C" w:sz="1"/>
              <w:left w:val="single" w:color="5C4A8C" w:sz="1"/>
              <w:bottom w:val="single" w:color="5C4A8C" w:sz="1"/>
              <w:right w:val="single" w:color="5C4A8C" w:sz="1"/>
            </w:tcBorders>
            <w:shd w:fill="EDE8F8" w:val="clear"/>
            <w:tcMar>
              <w:top w:type="dxa" w:w="75"/>
              <w:left w:type="dxa" w:w="120"/>
              <w:bottom w:type="dxa" w:w="75"/>
              <w:right w:type="dxa" w:w="120"/>
            </w:tcMar>
          </w:tcPr>
          <w:p>
            <w:r>
              <w:rPr>
                <w:rFonts w:ascii="Arial" w:cs="Arial" w:eastAsia="Arial" w:hAnsi="Arial"/>
                <w:b/>
                <w:bCs/>
                <w:color w:val="5C4A8C"/>
                <w:sz w:val="19"/>
                <w:szCs w:val="19"/>
              </w:rPr>
              <w:t xml:space="preserve">Evidence base</w:t>
            </w:r>
          </w:p>
        </w:tc>
        <w:tc>
          <w:tcPr>
            <w:tcW w:type="dxa" w:w="7360"/>
            <w:tcBorders>
              <w:top w:val="single" w:color="5C4A8C" w:sz="1"/>
              <w:left w:val="single" w:color="5C4A8C" w:sz="1"/>
              <w:bottom w:val="single" w:color="5C4A8C" w:sz="1"/>
              <w:right w:val="single" w:color="5C4A8C"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Limited formal clinical research; primarily traditional evidence with mechanistic support (in vitro uterine muscle effects); extensively used by midwives and traditional practitioners; the nutritive mineral content is well-established regardless of specific alkaloid effects.</w:t>
            </w:r>
          </w:p>
        </w:tc>
      </w:tr>
      <w:tr>
        <w:tc>
          <w:tcPr>
            <w:tcW w:type="dxa" w:w="2000"/>
            <w:tcBorders>
              <w:top w:val="single" w:color="5C4A8C" w:sz="1"/>
              <w:left w:val="single" w:color="5C4A8C" w:sz="1"/>
              <w:bottom w:val="single" w:color="5C4A8C" w:sz="1"/>
              <w:right w:val="single" w:color="5C4A8C" w:sz="1"/>
            </w:tcBorders>
            <w:shd w:fill="EEEEEE" w:val="clear"/>
            <w:tcMar>
              <w:top w:type="dxa" w:w="75"/>
              <w:left w:type="dxa" w:w="120"/>
              <w:bottom w:type="dxa" w:w="75"/>
              <w:right w:type="dxa" w:w="120"/>
            </w:tcMar>
          </w:tcPr>
          <w:p>
            <w:r>
              <w:rPr>
                <w:rFonts w:ascii="Arial" w:cs="Arial" w:eastAsia="Arial" w:hAnsi="Arial"/>
                <w:b/>
                <w:bCs/>
                <w:color w:val="5C4A8C"/>
                <w:sz w:val="19"/>
                <w:szCs w:val="19"/>
              </w:rPr>
              <w:t xml:space="preserve">Safety</w:t>
            </w:r>
          </w:p>
        </w:tc>
        <w:tc>
          <w:tcPr>
            <w:tcW w:type="dxa" w:w="7360"/>
            <w:tcBorders>
              <w:top w:val="single" w:color="5C4A8C" w:sz="1"/>
              <w:left w:val="single" w:color="5C4A8C" w:sz="1"/>
              <w:bottom w:val="single" w:color="5C4A8C" w:sz="1"/>
              <w:right w:val="single" w:color="5C4A8C"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Generally considered safe throughout pregnancy by most midwives and herbalists, though evidence is limited and some practitioners recommend avoiding in the first trimester until this timing question has more research. Safe and nourishing for non-pregnant women. Very safe for general use.</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C4A8C" w:sz="2"/>
              <w:left w:val="single" w:color="5C4A8C" w:sz="2"/>
              <w:bottom w:val="single" w:color="5C4A8C" w:sz="2"/>
              <w:right w:val="single" w:color="5C4A8C" w:sz="2"/>
            </w:tcBorders>
            <w:shd w:fill="5C4A8C"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Chaste Tree Berry</w:t>
            </w:r>
          </w:p>
          <w:p>
            <w:pPr>
              <w:spacing w:before="0" w:after="0"/>
            </w:pPr>
            <w:r>
              <w:rPr>
                <w:rFonts w:ascii="Arial" w:cs="Arial" w:eastAsia="Arial" w:hAnsi="Arial"/>
                <w:i/>
                <w:iCs/>
                <w:color w:val="EEEEEE"/>
                <w:sz w:val="20"/>
                <w:szCs w:val="20"/>
              </w:rPr>
              <w:t xml:space="preserve">Vitex agnus-castus</w:t>
            </w:r>
          </w:p>
        </w:tc>
      </w:tr>
      <w:tr>
        <w:tc>
          <w:tcPr>
            <w:tcW w:type="dxa" w:w="2000"/>
            <w:tcBorders>
              <w:top w:val="single" w:color="5C4A8C" w:sz="1"/>
              <w:left w:val="single" w:color="5C4A8C" w:sz="1"/>
              <w:bottom w:val="single" w:color="5C4A8C" w:sz="1"/>
              <w:right w:val="single" w:color="5C4A8C" w:sz="1"/>
            </w:tcBorders>
            <w:shd w:fill="EDE8F8" w:val="clear"/>
            <w:tcMar>
              <w:top w:type="dxa" w:w="75"/>
              <w:left w:type="dxa" w:w="120"/>
              <w:bottom w:type="dxa" w:w="75"/>
              <w:right w:type="dxa" w:w="120"/>
            </w:tcMar>
          </w:tcPr>
          <w:p>
            <w:r>
              <w:rPr>
                <w:rFonts w:ascii="Arial" w:cs="Arial" w:eastAsia="Arial" w:hAnsi="Arial"/>
                <w:b/>
                <w:bCs/>
                <w:color w:val="5C4A8C"/>
                <w:sz w:val="19"/>
                <w:szCs w:val="19"/>
              </w:rPr>
              <w:t xml:space="preserve">Family</w:t>
            </w:r>
          </w:p>
        </w:tc>
        <w:tc>
          <w:tcPr>
            <w:tcW w:type="dxa" w:w="7360"/>
            <w:tcBorders>
              <w:top w:val="single" w:color="5C4A8C" w:sz="1"/>
              <w:left w:val="single" w:color="5C4A8C" w:sz="1"/>
              <w:bottom w:val="single" w:color="5C4A8C" w:sz="1"/>
              <w:right w:val="single" w:color="5C4A8C"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Lamiaceae (Mint family)</w:t>
            </w:r>
          </w:p>
        </w:tc>
      </w:tr>
      <w:tr>
        <w:tc>
          <w:tcPr>
            <w:tcW w:type="dxa" w:w="2000"/>
            <w:tcBorders>
              <w:top w:val="single" w:color="5C4A8C" w:sz="1"/>
              <w:left w:val="single" w:color="5C4A8C" w:sz="1"/>
              <w:bottom w:val="single" w:color="5C4A8C" w:sz="1"/>
              <w:right w:val="single" w:color="5C4A8C" w:sz="1"/>
            </w:tcBorders>
            <w:shd w:fill="EEEEEE" w:val="clear"/>
            <w:tcMar>
              <w:top w:type="dxa" w:w="75"/>
              <w:left w:type="dxa" w:w="120"/>
              <w:bottom w:type="dxa" w:w="75"/>
              <w:right w:type="dxa" w:w="120"/>
            </w:tcMar>
          </w:tcPr>
          <w:p>
            <w:r>
              <w:rPr>
                <w:rFonts w:ascii="Arial" w:cs="Arial" w:eastAsia="Arial" w:hAnsi="Arial"/>
                <w:b/>
                <w:bCs/>
                <w:color w:val="5C4A8C"/>
                <w:sz w:val="19"/>
                <w:szCs w:val="19"/>
              </w:rPr>
              <w:t xml:space="preserve">Parts used</w:t>
            </w:r>
          </w:p>
        </w:tc>
        <w:tc>
          <w:tcPr>
            <w:tcW w:type="dxa" w:w="7360"/>
            <w:tcBorders>
              <w:top w:val="single" w:color="5C4A8C" w:sz="1"/>
              <w:left w:val="single" w:color="5C4A8C" w:sz="1"/>
              <w:bottom w:val="single" w:color="5C4A8C" w:sz="1"/>
              <w:right w:val="single" w:color="5C4A8C"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Ripe berries — harvest in fall when deep reddish-purple; dry and use whole or ground</w:t>
            </w:r>
          </w:p>
        </w:tc>
      </w:tr>
      <w:tr>
        <w:tc>
          <w:tcPr>
            <w:tcW w:type="dxa" w:w="2000"/>
            <w:tcBorders>
              <w:top w:val="single" w:color="5C4A8C" w:sz="1"/>
              <w:left w:val="single" w:color="5C4A8C" w:sz="1"/>
              <w:bottom w:val="single" w:color="5C4A8C" w:sz="1"/>
              <w:right w:val="single" w:color="5C4A8C" w:sz="1"/>
            </w:tcBorders>
            <w:shd w:fill="EDE8F8" w:val="clear"/>
            <w:tcMar>
              <w:top w:type="dxa" w:w="75"/>
              <w:left w:type="dxa" w:w="120"/>
              <w:bottom w:type="dxa" w:w="75"/>
              <w:right w:type="dxa" w:w="120"/>
            </w:tcMar>
          </w:tcPr>
          <w:p>
            <w:r>
              <w:rPr>
                <w:rFonts w:ascii="Arial" w:cs="Arial" w:eastAsia="Arial" w:hAnsi="Arial"/>
                <w:b/>
                <w:bCs/>
                <w:color w:val="5C4A8C"/>
                <w:sz w:val="19"/>
                <w:szCs w:val="19"/>
              </w:rPr>
              <w:t xml:space="preserve">Growing</w:t>
            </w:r>
          </w:p>
        </w:tc>
        <w:tc>
          <w:tcPr>
            <w:tcW w:type="dxa" w:w="7360"/>
            <w:tcBorders>
              <w:top w:val="single" w:color="5C4A8C" w:sz="1"/>
              <w:left w:val="single" w:color="5C4A8C" w:sz="1"/>
              <w:bottom w:val="single" w:color="5C4A8C" w:sz="1"/>
              <w:right w:val="single" w:color="5C4A8C"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Large deciduous shrub or small tree; Zones 6–9. Full sun; well-drained soil; drought-tolerant once established; heat-loving. Blooms on new growth — prune in late winter for best bloom. Beautiful lavender flower spikes attract pollinators. Can reach 10–15 feet; many dwarf cultivars for smaller gardens. Grows from seed or cuttings; slower from seed.</w:t>
            </w:r>
          </w:p>
        </w:tc>
      </w:tr>
      <w:tr>
        <w:tc>
          <w:tcPr>
            <w:tcW w:type="dxa" w:w="2000"/>
            <w:tcBorders>
              <w:top w:val="single" w:color="5C4A8C" w:sz="1"/>
              <w:left w:val="single" w:color="5C4A8C" w:sz="1"/>
              <w:bottom w:val="single" w:color="5C4A8C" w:sz="1"/>
              <w:right w:val="single" w:color="5C4A8C" w:sz="1"/>
            </w:tcBorders>
            <w:shd w:fill="EEEEEE" w:val="clear"/>
            <w:tcMar>
              <w:top w:type="dxa" w:w="75"/>
              <w:left w:type="dxa" w:w="120"/>
              <w:bottom w:type="dxa" w:w="75"/>
              <w:right w:type="dxa" w:w="120"/>
            </w:tcMar>
          </w:tcPr>
          <w:p>
            <w:r>
              <w:rPr>
                <w:rFonts w:ascii="Arial" w:cs="Arial" w:eastAsia="Arial" w:hAnsi="Arial"/>
                <w:b/>
                <w:bCs/>
                <w:color w:val="5C4A8C"/>
                <w:sz w:val="19"/>
                <w:szCs w:val="19"/>
              </w:rPr>
              <w:t xml:space="preserve">Zones</w:t>
            </w:r>
          </w:p>
        </w:tc>
        <w:tc>
          <w:tcPr>
            <w:tcW w:type="dxa" w:w="7360"/>
            <w:tcBorders>
              <w:top w:val="single" w:color="5C4A8C" w:sz="1"/>
              <w:left w:val="single" w:color="5C4A8C" w:sz="1"/>
              <w:bottom w:val="single" w:color="5C4A8C" w:sz="1"/>
              <w:right w:val="single" w:color="5C4A8C"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Zones 6–9 as perennial; can be grown as annual or brought in to overwinter in colder zones</w:t>
            </w:r>
          </w:p>
        </w:tc>
      </w:tr>
      <w:tr>
        <w:tc>
          <w:tcPr>
            <w:tcW w:type="dxa" w:w="2000"/>
            <w:tcBorders>
              <w:top w:val="single" w:color="5C4A8C" w:sz="1"/>
              <w:left w:val="single" w:color="5C4A8C" w:sz="1"/>
              <w:bottom w:val="single" w:color="5C4A8C" w:sz="1"/>
              <w:right w:val="single" w:color="5C4A8C" w:sz="1"/>
            </w:tcBorders>
            <w:shd w:fill="EDE8F8" w:val="clear"/>
            <w:tcMar>
              <w:top w:type="dxa" w:w="75"/>
              <w:left w:type="dxa" w:w="120"/>
              <w:bottom w:type="dxa" w:w="75"/>
              <w:right w:type="dxa" w:w="120"/>
            </w:tcMar>
          </w:tcPr>
          <w:p>
            <w:r>
              <w:rPr>
                <w:rFonts w:ascii="Arial" w:cs="Arial" w:eastAsia="Arial" w:hAnsi="Arial"/>
                <w:b/>
                <w:bCs/>
                <w:color w:val="5C4A8C"/>
                <w:sz w:val="19"/>
                <w:szCs w:val="19"/>
              </w:rPr>
              <w:t xml:space="preserve">Medicinal use</w:t>
            </w:r>
          </w:p>
        </w:tc>
        <w:tc>
          <w:tcPr>
            <w:tcW w:type="dxa" w:w="7360"/>
            <w:tcBorders>
              <w:top w:val="single" w:color="5C4A8C" w:sz="1"/>
              <w:left w:val="single" w:color="5C4A8C" w:sz="1"/>
              <w:bottom w:val="single" w:color="5C4A8C" w:sz="1"/>
              <w:right w:val="single" w:color="5C4A8C"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The premier herb for hormonal balance in women: clinical evidence for PMS (premenstrual syndrome) symptom reduction; premenstrual dysphoric disorder (PMDD); breast tenderness (mastalgia); menstrual irregularity; insufficient luteal phase. Mechanism: dopaminergic activity that inhibits prolactin secretion (elevated prolactin is associated with many PMS symptoms); may also have mild progesterone-like effects. Works slowly — typically requires 3–6 months of consistent use before full effect.</w:t>
            </w:r>
          </w:p>
        </w:tc>
      </w:tr>
      <w:tr>
        <w:tc>
          <w:tcPr>
            <w:tcW w:type="dxa" w:w="2000"/>
            <w:tcBorders>
              <w:top w:val="single" w:color="5C4A8C" w:sz="1"/>
              <w:left w:val="single" w:color="5C4A8C" w:sz="1"/>
              <w:bottom w:val="single" w:color="5C4A8C" w:sz="1"/>
              <w:right w:val="single" w:color="5C4A8C" w:sz="1"/>
            </w:tcBorders>
            <w:shd w:fill="EEEEEE" w:val="clear"/>
            <w:tcMar>
              <w:top w:type="dxa" w:w="75"/>
              <w:left w:type="dxa" w:w="120"/>
              <w:bottom w:type="dxa" w:w="75"/>
              <w:right w:type="dxa" w:w="120"/>
            </w:tcMar>
          </w:tcPr>
          <w:p>
            <w:r>
              <w:rPr>
                <w:rFonts w:ascii="Arial" w:cs="Arial" w:eastAsia="Arial" w:hAnsi="Arial"/>
                <w:b/>
                <w:bCs/>
                <w:color w:val="5C4A8C"/>
                <w:sz w:val="19"/>
                <w:szCs w:val="19"/>
              </w:rPr>
              <w:t xml:space="preserve">Preparation</w:t>
            </w:r>
          </w:p>
        </w:tc>
        <w:tc>
          <w:tcPr>
            <w:tcW w:type="dxa" w:w="7360"/>
            <w:tcBorders>
              <w:top w:val="single" w:color="5C4A8C" w:sz="1"/>
              <w:left w:val="single" w:color="5C4A8C" w:sz="1"/>
              <w:bottom w:val="single" w:color="5C4A8C" w:sz="1"/>
              <w:right w:val="single" w:color="5C4A8C"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Tincture: 1:5 in 60% alcohol; 2–4 ml (40–80 drops) in the morning. Capsules of standardized extract (0.5% agnuside): 20–40mg daily in the morning. Tea from dried berries: less effective than concentrated preparations (active compounds present in low concentrations). IMPORTANT: take in the morning; single daily dose; consistent daily use.</w:t>
            </w:r>
          </w:p>
        </w:tc>
      </w:tr>
      <w:tr>
        <w:tc>
          <w:tcPr>
            <w:tcW w:type="dxa" w:w="2000"/>
            <w:tcBorders>
              <w:top w:val="single" w:color="5C4A8C" w:sz="1"/>
              <w:left w:val="single" w:color="5C4A8C" w:sz="1"/>
              <w:bottom w:val="single" w:color="5C4A8C" w:sz="1"/>
              <w:right w:val="single" w:color="5C4A8C" w:sz="1"/>
            </w:tcBorders>
            <w:shd w:fill="EDE8F8" w:val="clear"/>
            <w:tcMar>
              <w:top w:type="dxa" w:w="75"/>
              <w:left w:type="dxa" w:w="120"/>
              <w:bottom w:type="dxa" w:w="75"/>
              <w:right w:type="dxa" w:w="120"/>
            </w:tcMar>
          </w:tcPr>
          <w:p>
            <w:r>
              <w:rPr>
                <w:rFonts w:ascii="Arial" w:cs="Arial" w:eastAsia="Arial" w:hAnsi="Arial"/>
                <w:b/>
                <w:bCs/>
                <w:color w:val="5C4A8C"/>
                <w:sz w:val="19"/>
                <w:szCs w:val="19"/>
              </w:rPr>
              <w:t xml:space="preserve">Evidence base</w:t>
            </w:r>
          </w:p>
        </w:tc>
        <w:tc>
          <w:tcPr>
            <w:tcW w:type="dxa" w:w="7360"/>
            <w:tcBorders>
              <w:top w:val="single" w:color="5C4A8C" w:sz="1"/>
              <w:left w:val="single" w:color="5C4A8C" w:sz="1"/>
              <w:bottom w:val="single" w:color="5C4A8C" w:sz="1"/>
              <w:right w:val="single" w:color="5C4A8C"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Multiple positive clinical trials for PMS and breast tenderness; Cochrane-style reviews finding consistent modest positive effect; German Commission E and European Scientific Cooperative on Phytotherapy (ESCOP) approved for PMS.</w:t>
            </w:r>
          </w:p>
        </w:tc>
      </w:tr>
      <w:tr>
        <w:tc>
          <w:tcPr>
            <w:tcW w:type="dxa" w:w="2000"/>
            <w:tcBorders>
              <w:top w:val="single" w:color="5C4A8C" w:sz="1"/>
              <w:left w:val="single" w:color="5C4A8C" w:sz="1"/>
              <w:bottom w:val="single" w:color="5C4A8C" w:sz="1"/>
              <w:right w:val="single" w:color="5C4A8C" w:sz="1"/>
            </w:tcBorders>
            <w:shd w:fill="EEEEEE" w:val="clear"/>
            <w:tcMar>
              <w:top w:type="dxa" w:w="75"/>
              <w:left w:type="dxa" w:w="120"/>
              <w:bottom w:type="dxa" w:w="75"/>
              <w:right w:type="dxa" w:w="120"/>
            </w:tcMar>
          </w:tcPr>
          <w:p>
            <w:r>
              <w:rPr>
                <w:rFonts w:ascii="Arial" w:cs="Arial" w:eastAsia="Arial" w:hAnsi="Arial"/>
                <w:b/>
                <w:bCs/>
                <w:color w:val="5C4A8C"/>
                <w:sz w:val="19"/>
                <w:szCs w:val="19"/>
              </w:rPr>
              <w:t xml:space="preserve">Safety</w:t>
            </w:r>
          </w:p>
        </w:tc>
        <w:tc>
          <w:tcPr>
            <w:tcW w:type="dxa" w:w="7360"/>
            <w:tcBorders>
              <w:top w:val="single" w:color="5C4A8C" w:sz="1"/>
              <w:left w:val="single" w:color="5C4A8C" w:sz="1"/>
              <w:bottom w:val="single" w:color="5C4A8C" w:sz="1"/>
              <w:right w:val="single" w:color="5C4A8C"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Generally safe with extended use. Hormone-sensitive conditions: do not use with hormone-sensitive cancers or conditions without medical supervision. Drug interactions: may reduce effectiveness of dopamine antagonists (certain antipsychotics); hormonal medications may interact. Men: traditionally called "chaste" because of historical use to reduce libido in men — some men report this effect. Pregnancy: avoid — may affect hormone balance in early pregnancy. Not for women taking in-vitro fertilization drugs or hormone-based fertility treatments without physician guidance.</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A7A4A" w:sz="2"/>
              <w:left w:val="single" w:color="5A7A4A" w:sz="2"/>
              <w:bottom w:val="single" w:color="5A7A4A" w:sz="2"/>
              <w:right w:val="single" w:color="5A7A4A" w:sz="2"/>
            </w:tcBorders>
            <w:shd w:fill="5A7A4A"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Black Cohosh</w:t>
            </w:r>
          </w:p>
          <w:p>
            <w:pPr>
              <w:spacing w:before="0" w:after="0"/>
            </w:pPr>
            <w:r>
              <w:rPr>
                <w:rFonts w:ascii="Arial" w:cs="Arial" w:eastAsia="Arial" w:hAnsi="Arial"/>
                <w:i/>
                <w:iCs/>
                <w:color w:val="EEEEEE"/>
                <w:sz w:val="20"/>
                <w:szCs w:val="20"/>
              </w:rPr>
              <w:t xml:space="preserve">Actaea racemosa (formerly Cimicifuga racemosa)</w:t>
            </w:r>
          </w:p>
        </w:tc>
      </w:tr>
      <w:tr>
        <w:tc>
          <w:tcPr>
            <w:tcW w:type="dxa" w:w="2000"/>
            <w:tcBorders>
              <w:top w:val="single" w:color="5A7A4A" w:sz="1"/>
              <w:left w:val="single" w:color="5A7A4A" w:sz="1"/>
              <w:bottom w:val="single" w:color="5A7A4A" w:sz="1"/>
              <w:right w:val="single" w:color="5A7A4A" w:sz="1"/>
            </w:tcBorders>
            <w:shd w:fill="E2EDD5" w:val="clear"/>
            <w:tcMar>
              <w:top w:type="dxa" w:w="75"/>
              <w:left w:type="dxa" w:w="120"/>
              <w:bottom w:type="dxa" w:w="75"/>
              <w:right w:type="dxa" w:w="120"/>
            </w:tcMar>
          </w:tcPr>
          <w:p>
            <w:r>
              <w:rPr>
                <w:rFonts w:ascii="Arial" w:cs="Arial" w:eastAsia="Arial" w:hAnsi="Arial"/>
                <w:b/>
                <w:bCs/>
                <w:color w:val="5A7A4A"/>
                <w:sz w:val="19"/>
                <w:szCs w:val="19"/>
              </w:rPr>
              <w:t xml:space="preserve">Family</w:t>
            </w:r>
          </w:p>
        </w:tc>
        <w:tc>
          <w:tcPr>
            <w:tcW w:type="dxa" w:w="7360"/>
            <w:tcBorders>
              <w:top w:val="single" w:color="5A7A4A" w:sz="1"/>
              <w:left w:val="single" w:color="5A7A4A" w:sz="1"/>
              <w:bottom w:val="single" w:color="5A7A4A" w:sz="1"/>
              <w:right w:val="single" w:color="5A7A4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Ranunculaceae</w:t>
            </w:r>
          </w:p>
        </w:tc>
      </w:tr>
      <w:tr>
        <w:tc>
          <w:tcPr>
            <w:tcW w:type="dxa" w:w="2000"/>
            <w:tcBorders>
              <w:top w:val="single" w:color="5A7A4A" w:sz="1"/>
              <w:left w:val="single" w:color="5A7A4A" w:sz="1"/>
              <w:bottom w:val="single" w:color="5A7A4A" w:sz="1"/>
              <w:right w:val="single" w:color="5A7A4A" w:sz="1"/>
            </w:tcBorders>
            <w:shd w:fill="EEEEEE" w:val="clear"/>
            <w:tcMar>
              <w:top w:type="dxa" w:w="75"/>
              <w:left w:type="dxa" w:w="120"/>
              <w:bottom w:type="dxa" w:w="75"/>
              <w:right w:type="dxa" w:w="120"/>
            </w:tcMar>
          </w:tcPr>
          <w:p>
            <w:r>
              <w:rPr>
                <w:rFonts w:ascii="Arial" w:cs="Arial" w:eastAsia="Arial" w:hAnsi="Arial"/>
                <w:b/>
                <w:bCs/>
                <w:color w:val="5A7A4A"/>
                <w:sz w:val="19"/>
                <w:szCs w:val="19"/>
              </w:rPr>
              <w:t xml:space="preserve">Parts used</w:t>
            </w:r>
          </w:p>
        </w:tc>
        <w:tc>
          <w:tcPr>
            <w:tcW w:type="dxa" w:w="7360"/>
            <w:tcBorders>
              <w:top w:val="single" w:color="5A7A4A" w:sz="1"/>
              <w:left w:val="single" w:color="5A7A4A" w:sz="1"/>
              <w:bottom w:val="single" w:color="5A7A4A" w:sz="1"/>
              <w:right w:val="single" w:color="5A7A4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Root and rhizome — from plants at least 3 years old; wild populations are over-harvested; grow your own or buy from verified cultivated sources</w:t>
            </w:r>
          </w:p>
        </w:tc>
      </w:tr>
      <w:tr>
        <w:tc>
          <w:tcPr>
            <w:tcW w:type="dxa" w:w="2000"/>
            <w:tcBorders>
              <w:top w:val="single" w:color="5A7A4A" w:sz="1"/>
              <w:left w:val="single" w:color="5A7A4A" w:sz="1"/>
              <w:bottom w:val="single" w:color="5A7A4A" w:sz="1"/>
              <w:right w:val="single" w:color="5A7A4A" w:sz="1"/>
            </w:tcBorders>
            <w:shd w:fill="E2EDD5" w:val="clear"/>
            <w:tcMar>
              <w:top w:type="dxa" w:w="75"/>
              <w:left w:type="dxa" w:w="120"/>
              <w:bottom w:type="dxa" w:w="75"/>
              <w:right w:type="dxa" w:w="120"/>
            </w:tcMar>
          </w:tcPr>
          <w:p>
            <w:r>
              <w:rPr>
                <w:rFonts w:ascii="Arial" w:cs="Arial" w:eastAsia="Arial" w:hAnsi="Arial"/>
                <w:b/>
                <w:bCs/>
                <w:color w:val="5A7A4A"/>
                <w:sz w:val="19"/>
                <w:szCs w:val="19"/>
              </w:rPr>
              <w:t xml:space="preserve">Growing</w:t>
            </w:r>
          </w:p>
        </w:tc>
        <w:tc>
          <w:tcPr>
            <w:tcW w:type="dxa" w:w="7360"/>
            <w:tcBorders>
              <w:top w:val="single" w:color="5A7A4A" w:sz="1"/>
              <w:left w:val="single" w:color="5A7A4A" w:sz="1"/>
              <w:bottom w:val="single" w:color="5A7A4A" w:sz="1"/>
              <w:right w:val="single" w:color="5A7A4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Tall shade-loving native woodland perennial; Zones 3–8. SHADE required — grows in dense to partial shade; forest understory is its natural habitat. Rich, moist, well-drained woodland soil (pH 5.5–6.5); consistent moisture. Reaches 4–6 feet in flower. Dramatic and beautiful as a garden specimen. Slow to establish from seed; easier from rhizome division. Do not harvest roots for 3–5 years after planting.</w:t>
            </w:r>
          </w:p>
        </w:tc>
      </w:tr>
      <w:tr>
        <w:tc>
          <w:tcPr>
            <w:tcW w:type="dxa" w:w="2000"/>
            <w:tcBorders>
              <w:top w:val="single" w:color="5A7A4A" w:sz="1"/>
              <w:left w:val="single" w:color="5A7A4A" w:sz="1"/>
              <w:bottom w:val="single" w:color="5A7A4A" w:sz="1"/>
              <w:right w:val="single" w:color="5A7A4A" w:sz="1"/>
            </w:tcBorders>
            <w:shd w:fill="EEEEEE" w:val="clear"/>
            <w:tcMar>
              <w:top w:type="dxa" w:w="75"/>
              <w:left w:type="dxa" w:w="120"/>
              <w:bottom w:type="dxa" w:w="75"/>
              <w:right w:type="dxa" w:w="120"/>
            </w:tcMar>
          </w:tcPr>
          <w:p>
            <w:r>
              <w:rPr>
                <w:rFonts w:ascii="Arial" w:cs="Arial" w:eastAsia="Arial" w:hAnsi="Arial"/>
                <w:b/>
                <w:bCs/>
                <w:color w:val="5A7A4A"/>
                <w:sz w:val="19"/>
                <w:szCs w:val="19"/>
              </w:rPr>
              <w:t xml:space="preserve">Zones</w:t>
            </w:r>
          </w:p>
        </w:tc>
        <w:tc>
          <w:tcPr>
            <w:tcW w:type="dxa" w:w="7360"/>
            <w:tcBorders>
              <w:top w:val="single" w:color="5A7A4A" w:sz="1"/>
              <w:left w:val="single" w:color="5A7A4A" w:sz="1"/>
              <w:bottom w:val="single" w:color="5A7A4A" w:sz="1"/>
              <w:right w:val="single" w:color="5A7A4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Zones 3–8; a true woodland native</w:t>
            </w:r>
          </w:p>
        </w:tc>
      </w:tr>
      <w:tr>
        <w:tc>
          <w:tcPr>
            <w:tcW w:type="dxa" w:w="2000"/>
            <w:tcBorders>
              <w:top w:val="single" w:color="5A7A4A" w:sz="1"/>
              <w:left w:val="single" w:color="5A7A4A" w:sz="1"/>
              <w:bottom w:val="single" w:color="5A7A4A" w:sz="1"/>
              <w:right w:val="single" w:color="5A7A4A" w:sz="1"/>
            </w:tcBorders>
            <w:shd w:fill="E2EDD5" w:val="clear"/>
            <w:tcMar>
              <w:top w:type="dxa" w:w="75"/>
              <w:left w:type="dxa" w:w="120"/>
              <w:bottom w:type="dxa" w:w="75"/>
              <w:right w:type="dxa" w:w="120"/>
            </w:tcMar>
          </w:tcPr>
          <w:p>
            <w:r>
              <w:rPr>
                <w:rFonts w:ascii="Arial" w:cs="Arial" w:eastAsia="Arial" w:hAnsi="Arial"/>
                <w:b/>
                <w:bCs/>
                <w:color w:val="5A7A4A"/>
                <w:sz w:val="19"/>
                <w:szCs w:val="19"/>
              </w:rPr>
              <w:t xml:space="preserve">Medicinal use</w:t>
            </w:r>
          </w:p>
        </w:tc>
        <w:tc>
          <w:tcPr>
            <w:tcW w:type="dxa" w:w="7360"/>
            <w:tcBorders>
              <w:top w:val="single" w:color="5A7A4A" w:sz="1"/>
              <w:left w:val="single" w:color="5A7A4A" w:sz="1"/>
              <w:bottom w:val="single" w:color="5A7A4A" w:sz="1"/>
              <w:right w:val="single" w:color="5A7A4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Well-studied herb for menopausal symptom management: clinical evidence for hot flash reduction, sleep improvement, and mood support during menopause. Multiple positive trials; some meta-analyses show modest but consistent benefit. Mechanism not fully understood — initially thought to be estrogenic (it does not appear to bind to estrogen receptors at normal doses); likely acts on serotonergic pathways and thermoregulatory centers. Also used for menstrual cramping and PMS.</w:t>
            </w:r>
          </w:p>
        </w:tc>
      </w:tr>
      <w:tr>
        <w:tc>
          <w:tcPr>
            <w:tcW w:type="dxa" w:w="2000"/>
            <w:tcBorders>
              <w:top w:val="single" w:color="5A7A4A" w:sz="1"/>
              <w:left w:val="single" w:color="5A7A4A" w:sz="1"/>
              <w:bottom w:val="single" w:color="5A7A4A" w:sz="1"/>
              <w:right w:val="single" w:color="5A7A4A" w:sz="1"/>
            </w:tcBorders>
            <w:shd w:fill="EEEEEE" w:val="clear"/>
            <w:tcMar>
              <w:top w:type="dxa" w:w="75"/>
              <w:left w:type="dxa" w:w="120"/>
              <w:bottom w:type="dxa" w:w="75"/>
              <w:right w:type="dxa" w:w="120"/>
            </w:tcMar>
          </w:tcPr>
          <w:p>
            <w:r>
              <w:rPr>
                <w:rFonts w:ascii="Arial" w:cs="Arial" w:eastAsia="Arial" w:hAnsi="Arial"/>
                <w:b/>
                <w:bCs/>
                <w:color w:val="5A7A4A"/>
                <w:sz w:val="19"/>
                <w:szCs w:val="19"/>
              </w:rPr>
              <w:t xml:space="preserve">Preparation</w:t>
            </w:r>
          </w:p>
        </w:tc>
        <w:tc>
          <w:tcPr>
            <w:tcW w:type="dxa" w:w="7360"/>
            <w:tcBorders>
              <w:top w:val="single" w:color="5A7A4A" w:sz="1"/>
              <w:left w:val="single" w:color="5A7A4A" w:sz="1"/>
              <w:bottom w:val="single" w:color="5A7A4A" w:sz="1"/>
              <w:right w:val="single" w:color="5A7A4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Tincture: 1:5 in 60% alcohol; 2–4 ml 2x daily. Capsules of standardized extract (2.5% triterpenes, typically as 27-deoxyactein): 40–80mg daily (typical commercially standardized dose). Tea from dried root: 1 teaspoon per cup, simmered 15 minutes; 1–2 cups daily. Standard course: 6 months of consistent use; reassess at that point.</w:t>
            </w:r>
          </w:p>
        </w:tc>
      </w:tr>
      <w:tr>
        <w:tc>
          <w:tcPr>
            <w:tcW w:type="dxa" w:w="2000"/>
            <w:tcBorders>
              <w:top w:val="single" w:color="5A7A4A" w:sz="1"/>
              <w:left w:val="single" w:color="5A7A4A" w:sz="1"/>
              <w:bottom w:val="single" w:color="5A7A4A" w:sz="1"/>
              <w:right w:val="single" w:color="5A7A4A" w:sz="1"/>
            </w:tcBorders>
            <w:shd w:fill="E2EDD5" w:val="clear"/>
            <w:tcMar>
              <w:top w:type="dxa" w:w="75"/>
              <w:left w:type="dxa" w:w="120"/>
              <w:bottom w:type="dxa" w:w="75"/>
              <w:right w:type="dxa" w:w="120"/>
            </w:tcMar>
          </w:tcPr>
          <w:p>
            <w:r>
              <w:rPr>
                <w:rFonts w:ascii="Arial" w:cs="Arial" w:eastAsia="Arial" w:hAnsi="Arial"/>
                <w:b/>
                <w:bCs/>
                <w:color w:val="5A7A4A"/>
                <w:sz w:val="19"/>
                <w:szCs w:val="19"/>
              </w:rPr>
              <w:t xml:space="preserve">Evidence base</w:t>
            </w:r>
          </w:p>
        </w:tc>
        <w:tc>
          <w:tcPr>
            <w:tcW w:type="dxa" w:w="7360"/>
            <w:tcBorders>
              <w:top w:val="single" w:color="5A7A4A" w:sz="1"/>
              <w:left w:val="single" w:color="5A7A4A" w:sz="1"/>
              <w:bottom w:val="single" w:color="5A7A4A" w:sz="1"/>
              <w:right w:val="single" w:color="5A7A4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Multiple positive clinical trials for menopausal symptoms; meta-analyses show modest positive effect; considerable variation between trials; German Commission E approved; widely accepted by integrative and conventional medicine for menopausal support.</w:t>
            </w:r>
          </w:p>
        </w:tc>
      </w:tr>
      <w:tr>
        <w:tc>
          <w:tcPr>
            <w:tcW w:type="dxa" w:w="2000"/>
            <w:tcBorders>
              <w:top w:val="single" w:color="5A7A4A" w:sz="1"/>
              <w:left w:val="single" w:color="5A7A4A" w:sz="1"/>
              <w:bottom w:val="single" w:color="5A7A4A" w:sz="1"/>
              <w:right w:val="single" w:color="5A7A4A" w:sz="1"/>
            </w:tcBorders>
            <w:shd w:fill="EEEEEE" w:val="clear"/>
            <w:tcMar>
              <w:top w:type="dxa" w:w="75"/>
              <w:left w:type="dxa" w:w="120"/>
              <w:bottom w:type="dxa" w:w="75"/>
              <w:right w:type="dxa" w:w="120"/>
            </w:tcMar>
          </w:tcPr>
          <w:p>
            <w:r>
              <w:rPr>
                <w:rFonts w:ascii="Arial" w:cs="Arial" w:eastAsia="Arial" w:hAnsi="Arial"/>
                <w:b/>
                <w:bCs/>
                <w:color w:val="5A7A4A"/>
                <w:sz w:val="19"/>
                <w:szCs w:val="19"/>
              </w:rPr>
              <w:t xml:space="preserve">Safety</w:t>
            </w:r>
          </w:p>
        </w:tc>
        <w:tc>
          <w:tcPr>
            <w:tcW w:type="dxa" w:w="7360"/>
            <w:tcBorders>
              <w:top w:val="single" w:color="5A7A4A" w:sz="1"/>
              <w:left w:val="single" w:color="5A7A4A" w:sz="1"/>
              <w:bottom w:val="single" w:color="5A7A4A" w:sz="1"/>
              <w:right w:val="single" w:color="5A7A4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Important safety notes. Liver: rare case reports of hepatotoxicity (liver damage); relationship causation not firmly established but is taken seriously; avoid with other hepatotoxic substances (alcohol, hepatotoxic drugs); monitor liver function with long-term use; stop immediately if jaundice, dark urine, or abdominal pain develops. Hormone-sensitive cancers: historically avoided with estrogen-receptor-positive breast cancer; current evidence suggests it does NOT bind estrogen receptors, and several studies show no increased risk; however, discuss with oncologist before use. Not recommended in pregnancy. Not for children.</w:t>
            </w:r>
          </w:p>
        </w:tc>
      </w:tr>
    </w:tbl>
    <w:p>
      <w:pPr>
        <w:spacing w:before="160" w:after="0"/>
      </w:pPr>
      <w:r>
        <w:t xml:space="preserve"/>
      </w:r>
    </w:p>
    <w:p>
      <w:pPr>
        <w:pStyle w:val="Heading2"/>
        <w:spacing w:before="260" w:after="100"/>
      </w:pPr>
      <w:r>
        <w:rPr>
          <w:rFonts w:ascii="Arial" w:cs="Arial" w:eastAsia="Arial" w:hAnsi="Arial"/>
          <w:b/>
          <w:bCs/>
          <w:color w:val="1A6060"/>
          <w:sz w:val="28"/>
          <w:szCs w:val="28"/>
        </w:rPr>
        <w:t xml:space="preserve">Nervine and Adaptogenic Herbs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5A27" w:sz="2"/>
              <w:left w:val="single" w:color="2D5A27" w:sz="2"/>
              <w:bottom w:val="single" w:color="2D5A27" w:sz="2"/>
              <w:right w:val="single" w:color="2D5A27" w:sz="2"/>
            </w:tcBorders>
            <w:shd w:fill="2D5A27"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Holy Basil (Tulsi)</w:t>
            </w:r>
          </w:p>
          <w:p>
            <w:pPr>
              <w:spacing w:before="0" w:after="0"/>
            </w:pPr>
            <w:r>
              <w:rPr>
                <w:rFonts w:ascii="Arial" w:cs="Arial" w:eastAsia="Arial" w:hAnsi="Arial"/>
                <w:i/>
                <w:iCs/>
                <w:color w:val="EEEEEE"/>
                <w:sz w:val="20"/>
                <w:szCs w:val="20"/>
              </w:rPr>
              <w:t xml:space="preserve">Ocimum tenuiflorum (syn. O. sanctum)</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Family</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Lamiaceae (Mint family)</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Parts used</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Aerial parts (leaves, flowers, stems) — harvest before seed set</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Growing</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Annual in most of the U.S.; perennial only in tropical Zones 10–11. Easy to grow from seed or transplant; needs warm soil (plant after last frost when soil is 65°F+); full sun; well-drained soil; tolerates heat excellently. Faster and more productive in hot climates than common basil. Multiple varieties (Vana, Rama, Krishna) with slightly different flavor profiles. Very productive; harvest frequently to encourage branching.</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Zones</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Annual throughout U.S.; most productive in warm climates (Zones 7–11)</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Medicinal use</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The most sacred medicinal plant in Ayurvedic tradition ("Queen of Herbs"). Well-documented adaptogenic properties (helps body adapt to stress); clinical evidence for: cortisol-level reduction; blood sugar regulation (type 2 diabetes adjunct); cognitive function support; anxiety reduction; anti-inflammatory activity (COX-1 and COX-2 inhibition); antibacterial and antiviral activity. The full range of activity makes this one of the most comprehensively therapeutic medicinal herbs available.</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Preparation</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Tea (the traditional daily preparation): 1–2 teaspoons fresh or 1 teaspoon dried per cup, steeped 5–10 minutes; drink 2–3 cups daily as an adaptogenic tonic. The fresh herb makes extraordinary tea — a flavor unlike any other herb (complex floral, clove, and pepper notes). Tincture: 1:5 in 45% alcohol; 30–60 drops 2–3x daily. Oxymel (honey-vinegar extract): excellent preparation that preserves the herb's full character. Add fresh leaves to cooking throughout the summer harvest.</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Evidence base</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Multiple clinical trials, primarily from India; consistent findings for blood sugar, stress response, and cognitive function; adaptogenic classification well-supported; growing Western research interest; excellent safety profile in studies.</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Safety</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Excellent safety profile with millennia of traditional use. Mild anticoagulant activity — discontinue 2 weeks before surgery. Blood sugar lowering effect: monitor with diabetes medications (may need dose adjustment). Traditional texts recommend caution in pregnancy (theoretical uterine stimulant) though culinary use widely practiced. Extremely safe at normal use levels.</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6010" w:sz="2"/>
              <w:left w:val="single" w:color="8C6010" w:sz="2"/>
              <w:bottom w:val="single" w:color="8C6010" w:sz="2"/>
              <w:right w:val="single" w:color="8C6010" w:sz="2"/>
            </w:tcBorders>
            <w:shd w:fill="8C6010"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Ashwagandha</w:t>
            </w:r>
          </w:p>
          <w:p>
            <w:pPr>
              <w:spacing w:before="0" w:after="0"/>
            </w:pPr>
            <w:r>
              <w:rPr>
                <w:rFonts w:ascii="Arial" w:cs="Arial" w:eastAsia="Arial" w:hAnsi="Arial"/>
                <w:i/>
                <w:iCs/>
                <w:color w:val="EEEEEE"/>
                <w:sz w:val="20"/>
                <w:szCs w:val="20"/>
              </w:rPr>
              <w:t xml:space="preserve">Withania somnifera</w:t>
            </w:r>
          </w:p>
        </w:tc>
      </w:tr>
      <w:tr>
        <w:tc>
          <w:tcPr>
            <w:tcW w:type="dxa" w:w="2000"/>
            <w:tcBorders>
              <w:top w:val="single" w:color="8C6010" w:sz="1"/>
              <w:left w:val="single" w:color="8C6010" w:sz="1"/>
              <w:bottom w:val="single" w:color="8C6010" w:sz="1"/>
              <w:right w:val="single" w:color="8C6010" w:sz="1"/>
            </w:tcBorders>
            <w:shd w:fill="F5E8C8" w:val="clear"/>
            <w:tcMar>
              <w:top w:type="dxa" w:w="75"/>
              <w:left w:type="dxa" w:w="120"/>
              <w:bottom w:type="dxa" w:w="75"/>
              <w:right w:type="dxa" w:w="120"/>
            </w:tcMar>
          </w:tcPr>
          <w:p>
            <w:r>
              <w:rPr>
                <w:rFonts w:ascii="Arial" w:cs="Arial" w:eastAsia="Arial" w:hAnsi="Arial"/>
                <w:b/>
                <w:bCs/>
                <w:color w:val="8C6010"/>
                <w:sz w:val="19"/>
                <w:szCs w:val="19"/>
              </w:rPr>
              <w:t xml:space="preserve">Family</w:t>
            </w:r>
          </w:p>
        </w:tc>
        <w:tc>
          <w:tcPr>
            <w:tcW w:type="dxa" w:w="7360"/>
            <w:tcBorders>
              <w:top w:val="single" w:color="8C6010" w:sz="1"/>
              <w:left w:val="single" w:color="8C6010" w:sz="1"/>
              <w:bottom w:val="single" w:color="8C6010" w:sz="1"/>
              <w:right w:val="single" w:color="8C601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Solanaceae (Nightshade family)</w:t>
            </w:r>
          </w:p>
        </w:tc>
      </w:tr>
      <w:tr>
        <w:tc>
          <w:tcPr>
            <w:tcW w:type="dxa" w:w="2000"/>
            <w:tcBorders>
              <w:top w:val="single" w:color="8C6010" w:sz="1"/>
              <w:left w:val="single" w:color="8C6010" w:sz="1"/>
              <w:bottom w:val="single" w:color="8C6010" w:sz="1"/>
              <w:right w:val="single" w:color="8C6010" w:sz="1"/>
            </w:tcBorders>
            <w:shd w:fill="EEEEEE" w:val="clear"/>
            <w:tcMar>
              <w:top w:type="dxa" w:w="75"/>
              <w:left w:type="dxa" w:w="120"/>
              <w:bottom w:type="dxa" w:w="75"/>
              <w:right w:type="dxa" w:w="120"/>
            </w:tcMar>
          </w:tcPr>
          <w:p>
            <w:r>
              <w:rPr>
                <w:rFonts w:ascii="Arial" w:cs="Arial" w:eastAsia="Arial" w:hAnsi="Arial"/>
                <w:b/>
                <w:bCs/>
                <w:color w:val="8C6010"/>
                <w:sz w:val="19"/>
                <w:szCs w:val="19"/>
              </w:rPr>
              <w:t xml:space="preserve">Parts used</w:t>
            </w:r>
          </w:p>
        </w:tc>
        <w:tc>
          <w:tcPr>
            <w:tcW w:type="dxa" w:w="7360"/>
            <w:tcBorders>
              <w:top w:val="single" w:color="8C6010" w:sz="1"/>
              <w:left w:val="single" w:color="8C6010" w:sz="1"/>
              <w:bottom w:val="single" w:color="8C6010" w:sz="1"/>
              <w:right w:val="single" w:color="8C601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Root — from plants at least 1 year old; 2-year-old roots preferred; also leaves used topically</w:t>
            </w:r>
          </w:p>
        </w:tc>
      </w:tr>
      <w:tr>
        <w:tc>
          <w:tcPr>
            <w:tcW w:type="dxa" w:w="2000"/>
            <w:tcBorders>
              <w:top w:val="single" w:color="8C6010" w:sz="1"/>
              <w:left w:val="single" w:color="8C6010" w:sz="1"/>
              <w:bottom w:val="single" w:color="8C6010" w:sz="1"/>
              <w:right w:val="single" w:color="8C6010" w:sz="1"/>
            </w:tcBorders>
            <w:shd w:fill="F5E8C8" w:val="clear"/>
            <w:tcMar>
              <w:top w:type="dxa" w:w="75"/>
              <w:left w:type="dxa" w:w="120"/>
              <w:bottom w:type="dxa" w:w="75"/>
              <w:right w:type="dxa" w:w="120"/>
            </w:tcMar>
          </w:tcPr>
          <w:p>
            <w:r>
              <w:rPr>
                <w:rFonts w:ascii="Arial" w:cs="Arial" w:eastAsia="Arial" w:hAnsi="Arial"/>
                <w:b/>
                <w:bCs/>
                <w:color w:val="8C6010"/>
                <w:sz w:val="19"/>
                <w:szCs w:val="19"/>
              </w:rPr>
              <w:t xml:space="preserve">Growing</w:t>
            </w:r>
          </w:p>
        </w:tc>
        <w:tc>
          <w:tcPr>
            <w:tcW w:type="dxa" w:w="7360"/>
            <w:tcBorders>
              <w:top w:val="single" w:color="8C6010" w:sz="1"/>
              <w:left w:val="single" w:color="8C6010" w:sz="1"/>
              <w:bottom w:val="single" w:color="8C6010" w:sz="1"/>
              <w:right w:val="single" w:color="8C601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Tender perennial grown as annual in most of the U.S. (perennial in Zones 8–11). Full sun; excellent drainage; lean to moderately fertile soil; drought-tolerant once established; heat-tolerant. Start from seed indoors 6–8 weeks before last frost; transplant to garden after last frost. Grows 2–4 feet. Harvest roots in fall at first frost or end of growing season.</w:t>
            </w:r>
          </w:p>
        </w:tc>
      </w:tr>
      <w:tr>
        <w:tc>
          <w:tcPr>
            <w:tcW w:type="dxa" w:w="2000"/>
            <w:tcBorders>
              <w:top w:val="single" w:color="8C6010" w:sz="1"/>
              <w:left w:val="single" w:color="8C6010" w:sz="1"/>
              <w:bottom w:val="single" w:color="8C6010" w:sz="1"/>
              <w:right w:val="single" w:color="8C6010" w:sz="1"/>
            </w:tcBorders>
            <w:shd w:fill="EEEEEE" w:val="clear"/>
            <w:tcMar>
              <w:top w:type="dxa" w:w="75"/>
              <w:left w:type="dxa" w:w="120"/>
              <w:bottom w:type="dxa" w:w="75"/>
              <w:right w:type="dxa" w:w="120"/>
            </w:tcMar>
          </w:tcPr>
          <w:p>
            <w:r>
              <w:rPr>
                <w:rFonts w:ascii="Arial" w:cs="Arial" w:eastAsia="Arial" w:hAnsi="Arial"/>
                <w:b/>
                <w:bCs/>
                <w:color w:val="8C6010"/>
                <w:sz w:val="19"/>
                <w:szCs w:val="19"/>
              </w:rPr>
              <w:t xml:space="preserve">Zones</w:t>
            </w:r>
          </w:p>
        </w:tc>
        <w:tc>
          <w:tcPr>
            <w:tcW w:type="dxa" w:w="7360"/>
            <w:tcBorders>
              <w:top w:val="single" w:color="8C6010" w:sz="1"/>
              <w:left w:val="single" w:color="8C6010" w:sz="1"/>
              <w:bottom w:val="single" w:color="8C6010" w:sz="1"/>
              <w:right w:val="single" w:color="8C601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Annual throughout U.S.; perennial in Zones 8–11; particularly productive in hot, dry climates of the Southwest and Southeast</w:t>
            </w:r>
          </w:p>
        </w:tc>
      </w:tr>
      <w:tr>
        <w:tc>
          <w:tcPr>
            <w:tcW w:type="dxa" w:w="2000"/>
            <w:tcBorders>
              <w:top w:val="single" w:color="8C6010" w:sz="1"/>
              <w:left w:val="single" w:color="8C6010" w:sz="1"/>
              <w:bottom w:val="single" w:color="8C6010" w:sz="1"/>
              <w:right w:val="single" w:color="8C6010" w:sz="1"/>
            </w:tcBorders>
            <w:shd w:fill="F5E8C8" w:val="clear"/>
            <w:tcMar>
              <w:top w:type="dxa" w:w="75"/>
              <w:left w:type="dxa" w:w="120"/>
              <w:bottom w:type="dxa" w:w="75"/>
              <w:right w:type="dxa" w:w="120"/>
            </w:tcMar>
          </w:tcPr>
          <w:p>
            <w:r>
              <w:rPr>
                <w:rFonts w:ascii="Arial" w:cs="Arial" w:eastAsia="Arial" w:hAnsi="Arial"/>
                <w:b/>
                <w:bCs/>
                <w:color w:val="8C6010"/>
                <w:sz w:val="19"/>
                <w:szCs w:val="19"/>
              </w:rPr>
              <w:t xml:space="preserve">Medicinal use</w:t>
            </w:r>
          </w:p>
        </w:tc>
        <w:tc>
          <w:tcPr>
            <w:tcW w:type="dxa" w:w="7360"/>
            <w:tcBorders>
              <w:top w:val="single" w:color="8C6010" w:sz="1"/>
              <w:left w:val="single" w:color="8C6010" w:sz="1"/>
              <w:bottom w:val="single" w:color="8C6010" w:sz="1"/>
              <w:right w:val="single" w:color="8C601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Perhaps the most thoroughly evidence-based adaptogen available. Multiple clinical trials demonstrating: significant cortisol reduction; anxiety and stress reduction (comparable to some pharmaceuticals in some trials); improved sleep quality; increased muscle strength and recovery; testosterone enhancement in men; thyroid hormone modulation; anti-inflammatory activity through withanolides. One of the few adaptogens with consistently positive clinical trial results.</w:t>
            </w:r>
          </w:p>
        </w:tc>
      </w:tr>
      <w:tr>
        <w:tc>
          <w:tcPr>
            <w:tcW w:type="dxa" w:w="2000"/>
            <w:tcBorders>
              <w:top w:val="single" w:color="8C6010" w:sz="1"/>
              <w:left w:val="single" w:color="8C6010" w:sz="1"/>
              <w:bottom w:val="single" w:color="8C6010" w:sz="1"/>
              <w:right w:val="single" w:color="8C6010" w:sz="1"/>
            </w:tcBorders>
            <w:shd w:fill="EEEEEE" w:val="clear"/>
            <w:tcMar>
              <w:top w:type="dxa" w:w="75"/>
              <w:left w:type="dxa" w:w="120"/>
              <w:bottom w:type="dxa" w:w="75"/>
              <w:right w:type="dxa" w:w="120"/>
            </w:tcMar>
          </w:tcPr>
          <w:p>
            <w:r>
              <w:rPr>
                <w:rFonts w:ascii="Arial" w:cs="Arial" w:eastAsia="Arial" w:hAnsi="Arial"/>
                <w:b/>
                <w:bCs/>
                <w:color w:val="8C6010"/>
                <w:sz w:val="19"/>
                <w:szCs w:val="19"/>
              </w:rPr>
              <w:t xml:space="preserve">Preparation</w:t>
            </w:r>
          </w:p>
        </w:tc>
        <w:tc>
          <w:tcPr>
            <w:tcW w:type="dxa" w:w="7360"/>
            <w:tcBorders>
              <w:top w:val="single" w:color="8C6010" w:sz="1"/>
              <w:left w:val="single" w:color="8C6010" w:sz="1"/>
              <w:bottom w:val="single" w:color="8C6010" w:sz="1"/>
              <w:right w:val="single" w:color="8C601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Traditionally prepared as "Ashwagandha milk" (Warm milk + ashwagandha powder + honey + spices — the classic Ayurvedic "moon milk"). Root powder: 300–600mg standardized extract (5% withanolides) in capsules; 1–2x daily. Tincture: 1:5 in 60% alcohol; 3–5 ml 1–2x daily. Root tea: 1 teaspoon dried root per cup, simmered 15–20 minutes; slightly earthy flavor improved with cinnamon and honey.</w:t>
            </w:r>
          </w:p>
        </w:tc>
      </w:tr>
      <w:tr>
        <w:tc>
          <w:tcPr>
            <w:tcW w:type="dxa" w:w="2000"/>
            <w:tcBorders>
              <w:top w:val="single" w:color="8C6010" w:sz="1"/>
              <w:left w:val="single" w:color="8C6010" w:sz="1"/>
              <w:bottom w:val="single" w:color="8C6010" w:sz="1"/>
              <w:right w:val="single" w:color="8C6010" w:sz="1"/>
            </w:tcBorders>
            <w:shd w:fill="F5E8C8" w:val="clear"/>
            <w:tcMar>
              <w:top w:type="dxa" w:w="75"/>
              <w:left w:type="dxa" w:w="120"/>
              <w:bottom w:type="dxa" w:w="75"/>
              <w:right w:type="dxa" w:w="120"/>
            </w:tcMar>
          </w:tcPr>
          <w:p>
            <w:r>
              <w:rPr>
                <w:rFonts w:ascii="Arial" w:cs="Arial" w:eastAsia="Arial" w:hAnsi="Arial"/>
                <w:b/>
                <w:bCs/>
                <w:color w:val="8C6010"/>
                <w:sz w:val="19"/>
                <w:szCs w:val="19"/>
              </w:rPr>
              <w:t xml:space="preserve">Evidence base</w:t>
            </w:r>
          </w:p>
        </w:tc>
        <w:tc>
          <w:tcPr>
            <w:tcW w:type="dxa" w:w="7360"/>
            <w:tcBorders>
              <w:top w:val="single" w:color="8C6010" w:sz="1"/>
              <w:left w:val="single" w:color="8C6010" w:sz="1"/>
              <w:bottom w:val="single" w:color="8C6010" w:sz="1"/>
              <w:right w:val="single" w:color="8C601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Multiple positive RCTs for stress, anxiety, and sleep; several positive trials for strength and exercise performance; endocrine modulation well-documented; one of the most evidence-rich adaptogens with high-quality clinical trial data.</w:t>
            </w:r>
          </w:p>
        </w:tc>
      </w:tr>
      <w:tr>
        <w:tc>
          <w:tcPr>
            <w:tcW w:type="dxa" w:w="2000"/>
            <w:tcBorders>
              <w:top w:val="single" w:color="8C6010" w:sz="1"/>
              <w:left w:val="single" w:color="8C6010" w:sz="1"/>
              <w:bottom w:val="single" w:color="8C6010" w:sz="1"/>
              <w:right w:val="single" w:color="8C6010" w:sz="1"/>
            </w:tcBorders>
            <w:shd w:fill="EEEEEE" w:val="clear"/>
            <w:tcMar>
              <w:top w:type="dxa" w:w="75"/>
              <w:left w:type="dxa" w:w="120"/>
              <w:bottom w:type="dxa" w:w="75"/>
              <w:right w:type="dxa" w:w="120"/>
            </w:tcMar>
          </w:tcPr>
          <w:p>
            <w:r>
              <w:rPr>
                <w:rFonts w:ascii="Arial" w:cs="Arial" w:eastAsia="Arial" w:hAnsi="Arial"/>
                <w:b/>
                <w:bCs/>
                <w:color w:val="8C6010"/>
                <w:sz w:val="19"/>
                <w:szCs w:val="19"/>
              </w:rPr>
              <w:t xml:space="preserve">Safety</w:t>
            </w:r>
          </w:p>
        </w:tc>
        <w:tc>
          <w:tcPr>
            <w:tcW w:type="dxa" w:w="7360"/>
            <w:tcBorders>
              <w:top w:val="single" w:color="8C6010" w:sz="1"/>
              <w:left w:val="single" w:color="8C6010" w:sz="1"/>
              <w:bottom w:val="single" w:color="8C6010" w:sz="1"/>
              <w:right w:val="single" w:color="8C601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Generally well-tolerated. Thyroid: contains compounds that increase thyroid hormone levels — monitor if you have hyperthyroidism or are on thyroid medications. Autoimmune: Nightshade family relationship and immune-modulating effects prompt some practitioners to recommend caution in autoimmune conditions. Pregnancy: avoid — traditional texts note uterotonic properties and clinical recommendation is to avoid during pregnancy. Drug interactions: may enhance sedative medications; possible interaction with immunosuppressants; thyroid medication interactions. Rare: GI upset, especially at high doses.</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07010" w:sz="2"/>
              <w:left w:val="single" w:color="A07010" w:sz="2"/>
              <w:bottom w:val="single" w:color="A07010" w:sz="2"/>
              <w:right w:val="single" w:color="A07010" w:sz="2"/>
            </w:tcBorders>
            <w:shd w:fill="A07010"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St. John's Wort</w:t>
            </w:r>
          </w:p>
          <w:p>
            <w:pPr>
              <w:spacing w:before="0" w:after="0"/>
            </w:pPr>
            <w:r>
              <w:rPr>
                <w:rFonts w:ascii="Arial" w:cs="Arial" w:eastAsia="Arial" w:hAnsi="Arial"/>
                <w:i/>
                <w:iCs/>
                <w:color w:val="EEEEEE"/>
                <w:sz w:val="20"/>
                <w:szCs w:val="20"/>
              </w:rPr>
              <w:t xml:space="preserve">Hypericum perforatum</w:t>
            </w:r>
          </w:p>
        </w:tc>
      </w:tr>
      <w:tr>
        <w:tc>
          <w:tcPr>
            <w:tcW w:type="dxa" w:w="2000"/>
            <w:tcBorders>
              <w:top w:val="single" w:color="A07010" w:sz="1"/>
              <w:left w:val="single" w:color="A07010" w:sz="1"/>
              <w:bottom w:val="single" w:color="A07010" w:sz="1"/>
              <w:right w:val="single" w:color="A07010" w:sz="1"/>
            </w:tcBorders>
            <w:shd w:fill="F5EDCC" w:val="clear"/>
            <w:tcMar>
              <w:top w:type="dxa" w:w="75"/>
              <w:left w:type="dxa" w:w="120"/>
              <w:bottom w:type="dxa" w:w="75"/>
              <w:right w:type="dxa" w:w="120"/>
            </w:tcMar>
          </w:tcPr>
          <w:p>
            <w:r>
              <w:rPr>
                <w:rFonts w:ascii="Arial" w:cs="Arial" w:eastAsia="Arial" w:hAnsi="Arial"/>
                <w:b/>
                <w:bCs/>
                <w:color w:val="A07010"/>
                <w:sz w:val="19"/>
                <w:szCs w:val="19"/>
              </w:rPr>
              <w:t xml:space="preserve">Family</w:t>
            </w:r>
          </w:p>
        </w:tc>
        <w:tc>
          <w:tcPr>
            <w:tcW w:type="dxa" w:w="7360"/>
            <w:tcBorders>
              <w:top w:val="single" w:color="A07010" w:sz="1"/>
              <w:left w:val="single" w:color="A07010" w:sz="1"/>
              <w:bottom w:val="single" w:color="A07010" w:sz="1"/>
              <w:right w:val="single" w:color="A0701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Hypericaceae</w:t>
            </w:r>
          </w:p>
        </w:tc>
      </w:tr>
      <w:tr>
        <w:tc>
          <w:tcPr>
            <w:tcW w:type="dxa" w:w="2000"/>
            <w:tcBorders>
              <w:top w:val="single" w:color="A07010" w:sz="1"/>
              <w:left w:val="single" w:color="A07010" w:sz="1"/>
              <w:bottom w:val="single" w:color="A07010" w:sz="1"/>
              <w:right w:val="single" w:color="A07010" w:sz="1"/>
            </w:tcBorders>
            <w:shd w:fill="EEEEEE" w:val="clear"/>
            <w:tcMar>
              <w:top w:type="dxa" w:w="75"/>
              <w:left w:type="dxa" w:w="120"/>
              <w:bottom w:type="dxa" w:w="75"/>
              <w:right w:type="dxa" w:w="120"/>
            </w:tcMar>
          </w:tcPr>
          <w:p>
            <w:r>
              <w:rPr>
                <w:rFonts w:ascii="Arial" w:cs="Arial" w:eastAsia="Arial" w:hAnsi="Arial"/>
                <w:b/>
                <w:bCs/>
                <w:color w:val="A07010"/>
                <w:sz w:val="19"/>
                <w:szCs w:val="19"/>
              </w:rPr>
              <w:t xml:space="preserve">Parts used</w:t>
            </w:r>
          </w:p>
        </w:tc>
        <w:tc>
          <w:tcPr>
            <w:tcW w:type="dxa" w:w="7360"/>
            <w:tcBorders>
              <w:top w:val="single" w:color="A07010" w:sz="1"/>
              <w:left w:val="single" w:color="A07010" w:sz="1"/>
              <w:bottom w:val="single" w:color="A07010" w:sz="1"/>
              <w:right w:val="single" w:color="A0701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Flowering tops (flowers and adjacent leaves) — harvest when flowers are just opening; the red oil from crushed flowers (hypericin) indicates potent harvest</w:t>
            </w:r>
          </w:p>
        </w:tc>
      </w:tr>
      <w:tr>
        <w:tc>
          <w:tcPr>
            <w:tcW w:type="dxa" w:w="2000"/>
            <w:tcBorders>
              <w:top w:val="single" w:color="A07010" w:sz="1"/>
              <w:left w:val="single" w:color="A07010" w:sz="1"/>
              <w:bottom w:val="single" w:color="A07010" w:sz="1"/>
              <w:right w:val="single" w:color="A07010" w:sz="1"/>
            </w:tcBorders>
            <w:shd w:fill="F5EDCC" w:val="clear"/>
            <w:tcMar>
              <w:top w:type="dxa" w:w="75"/>
              <w:left w:type="dxa" w:w="120"/>
              <w:bottom w:type="dxa" w:w="75"/>
              <w:right w:type="dxa" w:w="120"/>
            </w:tcMar>
          </w:tcPr>
          <w:p>
            <w:r>
              <w:rPr>
                <w:rFonts w:ascii="Arial" w:cs="Arial" w:eastAsia="Arial" w:hAnsi="Arial"/>
                <w:b/>
                <w:bCs/>
                <w:color w:val="A07010"/>
                <w:sz w:val="19"/>
                <w:szCs w:val="19"/>
              </w:rPr>
              <w:t xml:space="preserve">Growing</w:t>
            </w:r>
          </w:p>
        </w:tc>
        <w:tc>
          <w:tcPr>
            <w:tcW w:type="dxa" w:w="7360"/>
            <w:tcBorders>
              <w:top w:val="single" w:color="A07010" w:sz="1"/>
              <w:left w:val="single" w:color="A07010" w:sz="1"/>
              <w:bottom w:val="single" w:color="A07010" w:sz="1"/>
              <w:right w:val="single" w:color="A0701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Perennial wildflower; Zones 3–8. Full sun to part shade; well-drained soil; drought-tolerant once established; spreads by seed and rhizome. Native to Europe; naturalized throughout much of North America; considered invasive or noxious in some western states (check locally before planting — regulated in several states). Very easy to grow once established. Beautiful yellow flowers appear in June–July. The red/purple color that exudes from fresh flowers when pressed between fingers indicates the hypericin content.</w:t>
            </w:r>
          </w:p>
        </w:tc>
      </w:tr>
      <w:tr>
        <w:tc>
          <w:tcPr>
            <w:tcW w:type="dxa" w:w="2000"/>
            <w:tcBorders>
              <w:top w:val="single" w:color="A07010" w:sz="1"/>
              <w:left w:val="single" w:color="A07010" w:sz="1"/>
              <w:bottom w:val="single" w:color="A07010" w:sz="1"/>
              <w:right w:val="single" w:color="A07010" w:sz="1"/>
            </w:tcBorders>
            <w:shd w:fill="EEEEEE" w:val="clear"/>
            <w:tcMar>
              <w:top w:type="dxa" w:w="75"/>
              <w:left w:type="dxa" w:w="120"/>
              <w:bottom w:type="dxa" w:w="75"/>
              <w:right w:type="dxa" w:w="120"/>
            </w:tcMar>
          </w:tcPr>
          <w:p>
            <w:r>
              <w:rPr>
                <w:rFonts w:ascii="Arial" w:cs="Arial" w:eastAsia="Arial" w:hAnsi="Arial"/>
                <w:b/>
                <w:bCs/>
                <w:color w:val="A07010"/>
                <w:sz w:val="19"/>
                <w:szCs w:val="19"/>
              </w:rPr>
              <w:t xml:space="preserve">Zones</w:t>
            </w:r>
          </w:p>
        </w:tc>
        <w:tc>
          <w:tcPr>
            <w:tcW w:type="dxa" w:w="7360"/>
            <w:tcBorders>
              <w:top w:val="single" w:color="A07010" w:sz="1"/>
              <w:left w:val="single" w:color="A07010" w:sz="1"/>
              <w:bottom w:val="single" w:color="A07010" w:sz="1"/>
              <w:right w:val="single" w:color="A0701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Zones 3–8; check invasive status in your state before planting</w:t>
            </w:r>
          </w:p>
        </w:tc>
      </w:tr>
      <w:tr>
        <w:tc>
          <w:tcPr>
            <w:tcW w:type="dxa" w:w="2000"/>
            <w:tcBorders>
              <w:top w:val="single" w:color="A07010" w:sz="1"/>
              <w:left w:val="single" w:color="A07010" w:sz="1"/>
              <w:bottom w:val="single" w:color="A07010" w:sz="1"/>
              <w:right w:val="single" w:color="A07010" w:sz="1"/>
            </w:tcBorders>
            <w:shd w:fill="F5EDCC" w:val="clear"/>
            <w:tcMar>
              <w:top w:type="dxa" w:w="75"/>
              <w:left w:type="dxa" w:w="120"/>
              <w:bottom w:type="dxa" w:w="75"/>
              <w:right w:type="dxa" w:w="120"/>
            </w:tcMar>
          </w:tcPr>
          <w:p>
            <w:r>
              <w:rPr>
                <w:rFonts w:ascii="Arial" w:cs="Arial" w:eastAsia="Arial" w:hAnsi="Arial"/>
                <w:b/>
                <w:bCs/>
                <w:color w:val="A07010"/>
                <w:sz w:val="19"/>
                <w:szCs w:val="19"/>
              </w:rPr>
              <w:t xml:space="preserve">Medicinal use</w:t>
            </w:r>
          </w:p>
        </w:tc>
        <w:tc>
          <w:tcPr>
            <w:tcW w:type="dxa" w:w="7360"/>
            <w:tcBorders>
              <w:top w:val="single" w:color="A07010" w:sz="1"/>
              <w:left w:val="single" w:color="A07010" w:sz="1"/>
              <w:bottom w:val="single" w:color="A07010" w:sz="1"/>
              <w:right w:val="single" w:color="A0701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The most clinically validated herbal antidepressant. Multiple large randomized controlled trials and meta-analyses demonstrating effectiveness comparable to standard antidepressants for mild to moderate depression with fewer side effects in most patients. Active compounds include hypericin (antidepressant) and hyperforin (antidepressant, antibacterial). Also: anti-inflammatory; antiviral; nerve pain (topical oil for neuralgia); wound healing (the red infused oil is classic for nerve damage and wounds).</w:t>
            </w:r>
          </w:p>
        </w:tc>
      </w:tr>
      <w:tr>
        <w:tc>
          <w:tcPr>
            <w:tcW w:type="dxa" w:w="2000"/>
            <w:tcBorders>
              <w:top w:val="single" w:color="A07010" w:sz="1"/>
              <w:left w:val="single" w:color="A07010" w:sz="1"/>
              <w:bottom w:val="single" w:color="A07010" w:sz="1"/>
              <w:right w:val="single" w:color="A07010" w:sz="1"/>
            </w:tcBorders>
            <w:shd w:fill="EEEEEE" w:val="clear"/>
            <w:tcMar>
              <w:top w:type="dxa" w:w="75"/>
              <w:left w:type="dxa" w:w="120"/>
              <w:bottom w:type="dxa" w:w="75"/>
              <w:right w:type="dxa" w:w="120"/>
            </w:tcMar>
          </w:tcPr>
          <w:p>
            <w:r>
              <w:rPr>
                <w:rFonts w:ascii="Arial" w:cs="Arial" w:eastAsia="Arial" w:hAnsi="Arial"/>
                <w:b/>
                <w:bCs/>
                <w:color w:val="A07010"/>
                <w:sz w:val="19"/>
                <w:szCs w:val="19"/>
              </w:rPr>
              <w:t xml:space="preserve">Preparation</w:t>
            </w:r>
          </w:p>
        </w:tc>
        <w:tc>
          <w:tcPr>
            <w:tcW w:type="dxa" w:w="7360"/>
            <w:tcBorders>
              <w:top w:val="single" w:color="A07010" w:sz="1"/>
              <w:left w:val="single" w:color="A07010" w:sz="1"/>
              <w:bottom w:val="single" w:color="A07010" w:sz="1"/>
              <w:right w:val="single" w:color="A0701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Standardized extract (the most evidence-based preparation): 300mg standardized to 0.3% hypericin, 3x daily (or 900mg 0.3% hypericin once daily). Tincture of fresh flowering tops: 1:5 in 60% alcohol (the oil turns the tincture red); 2–4 ml 3x daily. Tea: 1–2 teaspoons dried flowering tops per cup, 5–10 minutes; 3 cups daily. Infused oil (St. John's Wort oil): fresh flowering tops in olive oil (the cold-infusion method produces the characteristic red oil); use for nerve pain, bruises, and wound healing externally.</w:t>
            </w:r>
          </w:p>
        </w:tc>
      </w:tr>
      <w:tr>
        <w:tc>
          <w:tcPr>
            <w:tcW w:type="dxa" w:w="2000"/>
            <w:tcBorders>
              <w:top w:val="single" w:color="A07010" w:sz="1"/>
              <w:left w:val="single" w:color="A07010" w:sz="1"/>
              <w:bottom w:val="single" w:color="A07010" w:sz="1"/>
              <w:right w:val="single" w:color="A07010" w:sz="1"/>
            </w:tcBorders>
            <w:shd w:fill="F5EDCC" w:val="clear"/>
            <w:tcMar>
              <w:top w:type="dxa" w:w="75"/>
              <w:left w:type="dxa" w:w="120"/>
              <w:bottom w:type="dxa" w:w="75"/>
              <w:right w:type="dxa" w:w="120"/>
            </w:tcMar>
          </w:tcPr>
          <w:p>
            <w:r>
              <w:rPr>
                <w:rFonts w:ascii="Arial" w:cs="Arial" w:eastAsia="Arial" w:hAnsi="Arial"/>
                <w:b/>
                <w:bCs/>
                <w:color w:val="A07010"/>
                <w:sz w:val="19"/>
                <w:szCs w:val="19"/>
              </w:rPr>
              <w:t xml:space="preserve">Evidence base</w:t>
            </w:r>
          </w:p>
        </w:tc>
        <w:tc>
          <w:tcPr>
            <w:tcW w:type="dxa" w:w="7360"/>
            <w:tcBorders>
              <w:top w:val="single" w:color="A07010" w:sz="1"/>
              <w:left w:val="single" w:color="A07010" w:sz="1"/>
              <w:bottom w:val="single" w:color="A07010" w:sz="1"/>
              <w:right w:val="single" w:color="A0701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Multiple meta-analyses and large RCTs; Cochrane reviews finding effectiveness for mild-moderate depression comparable to SSRIs with fewer side effects; less evidence for severe depression; widely used in European medicine with strong institutional support.</w:t>
            </w:r>
          </w:p>
        </w:tc>
      </w:tr>
      <w:tr>
        <w:tc>
          <w:tcPr>
            <w:tcW w:type="dxa" w:w="2000"/>
            <w:tcBorders>
              <w:top w:val="single" w:color="A07010" w:sz="1"/>
              <w:left w:val="single" w:color="A07010" w:sz="1"/>
              <w:bottom w:val="single" w:color="A07010" w:sz="1"/>
              <w:right w:val="single" w:color="A07010" w:sz="1"/>
            </w:tcBorders>
            <w:shd w:fill="EEEEEE" w:val="clear"/>
            <w:tcMar>
              <w:top w:type="dxa" w:w="75"/>
              <w:left w:type="dxa" w:w="120"/>
              <w:bottom w:type="dxa" w:w="75"/>
              <w:right w:type="dxa" w:w="120"/>
            </w:tcMar>
          </w:tcPr>
          <w:p>
            <w:r>
              <w:rPr>
                <w:rFonts w:ascii="Arial" w:cs="Arial" w:eastAsia="Arial" w:hAnsi="Arial"/>
                <w:b/>
                <w:bCs/>
                <w:color w:val="A07010"/>
                <w:sz w:val="19"/>
                <w:szCs w:val="19"/>
              </w:rPr>
              <w:t xml:space="preserve">Safety</w:t>
            </w:r>
          </w:p>
        </w:tc>
        <w:tc>
          <w:tcPr>
            <w:tcW w:type="dxa" w:w="7360"/>
            <w:tcBorders>
              <w:top w:val="single" w:color="A07010" w:sz="1"/>
              <w:left w:val="single" w:color="A07010" w:sz="1"/>
              <w:bottom w:val="single" w:color="A07010" w:sz="1"/>
              <w:right w:val="single" w:color="A0701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CRITICAL INTERACTIONS — the most significant drug-herb interaction known. St. John's Wort is a potent inducer of CYP3A4 and P-glycoprotein enzymes — it accelerates the metabolism (breakdown) of many drugs, reducing their blood levels and effectiveness. Drugs with documented serious interactions: warfarin, birth control pills (failure risk), SSRIs (serotonin syndrome risk), HIV antiretrovirals (treatment failure risk), cyclosporine (transplant rejection risk), digoxin, many chemotherapy agents. Do NOT take St. John's Wort with any prescription medication without explicit physician approval. Photosensitivity: may increase sunburn susceptibility in fair-skinned people — use sunscreen. Avoid with severe depression (standard antidepressants needed). Discontinue 2 weeks before surgery.</w:t>
            </w:r>
          </w:p>
        </w:tc>
      </w:tr>
    </w:tbl>
    <w:p>
      <w:pPr>
        <w:spacing w:before="160" w:after="0"/>
      </w:pPr>
      <w:r>
        <w:t xml:space="preserve"/>
      </w:r>
    </w:p>
    <w:p>
      <w:pPr>
        <w:pStyle w:val="Heading2"/>
        <w:spacing w:before="260" w:after="100"/>
      </w:pPr>
      <w:r>
        <w:rPr>
          <w:rFonts w:ascii="Arial" w:cs="Arial" w:eastAsia="Arial" w:hAnsi="Arial"/>
          <w:b/>
          <w:bCs/>
          <w:color w:val="1A6060"/>
          <w:sz w:val="28"/>
          <w:szCs w:val="28"/>
        </w:rPr>
        <w:t xml:space="preserve">Skin and Wound Herbs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3A1A" w:sz="2"/>
              <w:left w:val="single" w:color="8C3A1A" w:sz="2"/>
              <w:bottom w:val="single" w:color="8C3A1A" w:sz="2"/>
              <w:right w:val="single" w:color="8C3A1A" w:sz="2"/>
            </w:tcBorders>
            <w:shd w:fill="8C3A1A"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Calendula</w:t>
            </w:r>
          </w:p>
          <w:p>
            <w:pPr>
              <w:spacing w:before="0" w:after="0"/>
            </w:pPr>
            <w:r>
              <w:rPr>
                <w:rFonts w:ascii="Arial" w:cs="Arial" w:eastAsia="Arial" w:hAnsi="Arial"/>
                <w:i/>
                <w:iCs/>
                <w:color w:val="EEEEEE"/>
                <w:sz w:val="20"/>
                <w:szCs w:val="20"/>
              </w:rPr>
              <w:t xml:space="preserve">Calendula officinalis</w:t>
            </w:r>
          </w:p>
        </w:tc>
      </w:tr>
      <w:tr>
        <w:tc>
          <w:tcPr>
            <w:tcW w:type="dxa" w:w="2000"/>
            <w:tcBorders>
              <w:top w:val="single" w:color="8C3A1A" w:sz="1"/>
              <w:left w:val="single" w:color="8C3A1A" w:sz="1"/>
              <w:bottom w:val="single" w:color="8C3A1A" w:sz="1"/>
              <w:right w:val="single" w:color="8C3A1A" w:sz="1"/>
            </w:tcBorders>
            <w:shd w:fill="F5DDD0" w:val="clear"/>
            <w:tcMar>
              <w:top w:type="dxa" w:w="75"/>
              <w:left w:type="dxa" w:w="120"/>
              <w:bottom w:type="dxa" w:w="75"/>
              <w:right w:type="dxa" w:w="120"/>
            </w:tcMar>
          </w:tcPr>
          <w:p>
            <w:r>
              <w:rPr>
                <w:rFonts w:ascii="Arial" w:cs="Arial" w:eastAsia="Arial" w:hAnsi="Arial"/>
                <w:b/>
                <w:bCs/>
                <w:color w:val="8C3A1A"/>
                <w:sz w:val="19"/>
                <w:szCs w:val="19"/>
              </w:rPr>
              <w:t xml:space="preserve">Family</w:t>
            </w:r>
          </w:p>
        </w:tc>
        <w:tc>
          <w:tcPr>
            <w:tcW w:type="dxa" w:w="7360"/>
            <w:tcBorders>
              <w:top w:val="single" w:color="8C3A1A" w:sz="1"/>
              <w:left w:val="single" w:color="8C3A1A" w:sz="1"/>
              <w:bottom w:val="single" w:color="8C3A1A" w:sz="1"/>
              <w:right w:val="single" w:color="8C3A1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Asteraceae (Daisy family)</w:t>
            </w:r>
          </w:p>
        </w:tc>
      </w:tr>
      <w:tr>
        <w:tc>
          <w:tcPr>
            <w:tcW w:type="dxa" w:w="2000"/>
            <w:tcBorders>
              <w:top w:val="single" w:color="8C3A1A" w:sz="1"/>
              <w:left w:val="single" w:color="8C3A1A" w:sz="1"/>
              <w:bottom w:val="single" w:color="8C3A1A" w:sz="1"/>
              <w:right w:val="single" w:color="8C3A1A" w:sz="1"/>
            </w:tcBorders>
            <w:shd w:fill="EEEEEE" w:val="clear"/>
            <w:tcMar>
              <w:top w:type="dxa" w:w="75"/>
              <w:left w:type="dxa" w:w="120"/>
              <w:bottom w:type="dxa" w:w="75"/>
              <w:right w:type="dxa" w:w="120"/>
            </w:tcMar>
          </w:tcPr>
          <w:p>
            <w:r>
              <w:rPr>
                <w:rFonts w:ascii="Arial" w:cs="Arial" w:eastAsia="Arial" w:hAnsi="Arial"/>
                <w:b/>
                <w:bCs/>
                <w:color w:val="8C3A1A"/>
                <w:sz w:val="19"/>
                <w:szCs w:val="19"/>
              </w:rPr>
              <w:t xml:space="preserve">Parts used</w:t>
            </w:r>
          </w:p>
        </w:tc>
        <w:tc>
          <w:tcPr>
            <w:tcW w:type="dxa" w:w="7360"/>
            <w:tcBorders>
              <w:top w:val="single" w:color="8C3A1A" w:sz="1"/>
              <w:left w:val="single" w:color="8C3A1A" w:sz="1"/>
              <w:bottom w:val="single" w:color="8C3A1A" w:sz="1"/>
              <w:right w:val="single" w:color="8C3A1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Flowers — harvest fully open flowers; deadhead regularly to extend bloom season; harvest in morning when resin is most abundant</w:t>
            </w:r>
          </w:p>
        </w:tc>
      </w:tr>
      <w:tr>
        <w:tc>
          <w:tcPr>
            <w:tcW w:type="dxa" w:w="2000"/>
            <w:tcBorders>
              <w:top w:val="single" w:color="8C3A1A" w:sz="1"/>
              <w:left w:val="single" w:color="8C3A1A" w:sz="1"/>
              <w:bottom w:val="single" w:color="8C3A1A" w:sz="1"/>
              <w:right w:val="single" w:color="8C3A1A" w:sz="1"/>
            </w:tcBorders>
            <w:shd w:fill="F5DDD0" w:val="clear"/>
            <w:tcMar>
              <w:top w:type="dxa" w:w="75"/>
              <w:left w:type="dxa" w:w="120"/>
              <w:bottom w:type="dxa" w:w="75"/>
              <w:right w:type="dxa" w:w="120"/>
            </w:tcMar>
          </w:tcPr>
          <w:p>
            <w:r>
              <w:rPr>
                <w:rFonts w:ascii="Arial" w:cs="Arial" w:eastAsia="Arial" w:hAnsi="Arial"/>
                <w:b/>
                <w:bCs/>
                <w:color w:val="8C3A1A"/>
                <w:sz w:val="19"/>
                <w:szCs w:val="19"/>
              </w:rPr>
              <w:t xml:space="preserve">Growing</w:t>
            </w:r>
          </w:p>
        </w:tc>
        <w:tc>
          <w:tcPr>
            <w:tcW w:type="dxa" w:w="7360"/>
            <w:tcBorders>
              <w:top w:val="single" w:color="8C3A1A" w:sz="1"/>
              <w:left w:val="single" w:color="8C3A1A" w:sz="1"/>
              <w:bottom w:val="single" w:color="8C3A1A" w:sz="1"/>
              <w:right w:val="single" w:color="8C3A1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Annual or biennial; grows in all zones. Full sun to part shade; cool-season plant that thrives in spring and fall but goes dormant in summer heat in hot climates; performs year-round in mild West Coast climates. Easy from seed directly sown in garden; tolerates light frost. One of the most productive medicinal plants per square foot — a single plant produces dozens of flowers if harvested regularly. One of the most beautiful herb garden plants; available in shades from pale yellow to deep orange.</w:t>
            </w:r>
          </w:p>
        </w:tc>
      </w:tr>
      <w:tr>
        <w:tc>
          <w:tcPr>
            <w:tcW w:type="dxa" w:w="2000"/>
            <w:tcBorders>
              <w:top w:val="single" w:color="8C3A1A" w:sz="1"/>
              <w:left w:val="single" w:color="8C3A1A" w:sz="1"/>
              <w:bottom w:val="single" w:color="8C3A1A" w:sz="1"/>
              <w:right w:val="single" w:color="8C3A1A" w:sz="1"/>
            </w:tcBorders>
            <w:shd w:fill="EEEEEE" w:val="clear"/>
            <w:tcMar>
              <w:top w:type="dxa" w:w="75"/>
              <w:left w:type="dxa" w:w="120"/>
              <w:bottom w:type="dxa" w:w="75"/>
              <w:right w:type="dxa" w:w="120"/>
            </w:tcMar>
          </w:tcPr>
          <w:p>
            <w:r>
              <w:rPr>
                <w:rFonts w:ascii="Arial" w:cs="Arial" w:eastAsia="Arial" w:hAnsi="Arial"/>
                <w:b/>
                <w:bCs/>
                <w:color w:val="8C3A1A"/>
                <w:sz w:val="19"/>
                <w:szCs w:val="19"/>
              </w:rPr>
              <w:t xml:space="preserve">Zones</w:t>
            </w:r>
          </w:p>
        </w:tc>
        <w:tc>
          <w:tcPr>
            <w:tcW w:type="dxa" w:w="7360"/>
            <w:tcBorders>
              <w:top w:val="single" w:color="8C3A1A" w:sz="1"/>
              <w:left w:val="single" w:color="8C3A1A" w:sz="1"/>
              <w:bottom w:val="single" w:color="8C3A1A" w:sz="1"/>
              <w:right w:val="single" w:color="8C3A1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All zones as annual; winter annual in frost-free climates; self-seeds prolifically</w:t>
            </w:r>
          </w:p>
        </w:tc>
      </w:tr>
      <w:tr>
        <w:tc>
          <w:tcPr>
            <w:tcW w:type="dxa" w:w="2000"/>
            <w:tcBorders>
              <w:top w:val="single" w:color="8C3A1A" w:sz="1"/>
              <w:left w:val="single" w:color="8C3A1A" w:sz="1"/>
              <w:bottom w:val="single" w:color="8C3A1A" w:sz="1"/>
              <w:right w:val="single" w:color="8C3A1A" w:sz="1"/>
            </w:tcBorders>
            <w:shd w:fill="F5DDD0" w:val="clear"/>
            <w:tcMar>
              <w:top w:type="dxa" w:w="75"/>
              <w:left w:type="dxa" w:w="120"/>
              <w:bottom w:type="dxa" w:w="75"/>
              <w:right w:type="dxa" w:w="120"/>
            </w:tcMar>
          </w:tcPr>
          <w:p>
            <w:r>
              <w:rPr>
                <w:rFonts w:ascii="Arial" w:cs="Arial" w:eastAsia="Arial" w:hAnsi="Arial"/>
                <w:b/>
                <w:bCs/>
                <w:color w:val="8C3A1A"/>
                <w:sz w:val="19"/>
                <w:szCs w:val="19"/>
              </w:rPr>
              <w:t xml:space="preserve">Medicinal use</w:t>
            </w:r>
          </w:p>
        </w:tc>
        <w:tc>
          <w:tcPr>
            <w:tcW w:type="dxa" w:w="7360"/>
            <w:tcBorders>
              <w:top w:val="single" w:color="8C3A1A" w:sz="1"/>
              <w:left w:val="single" w:color="8C3A1A" w:sz="1"/>
              <w:bottom w:val="single" w:color="8C3A1A" w:sz="1"/>
              <w:right w:val="single" w:color="8C3A1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The premier external wound-healing herb in Western herbalism. Scientifically documented: anti-inflammatory (inhibits NF-κB and COX-2); antimicrobial (broad-spectrum antibacterial, antifungal, antiviral); wound healing acceleration (increased fibroblast migration and proliferation; promotes new skin growth); lymphagogue (stimulates lymphatic drainage). Clinical trials showing effectiveness for: radiation dermatitis; diaper rash; episiotomy healing; wound healing. Internal use: anti-inflammatory digestive support; possible antitumor activity (in vitro).</w:t>
            </w:r>
          </w:p>
        </w:tc>
      </w:tr>
      <w:tr>
        <w:tc>
          <w:tcPr>
            <w:tcW w:type="dxa" w:w="2000"/>
            <w:tcBorders>
              <w:top w:val="single" w:color="8C3A1A" w:sz="1"/>
              <w:left w:val="single" w:color="8C3A1A" w:sz="1"/>
              <w:bottom w:val="single" w:color="8C3A1A" w:sz="1"/>
              <w:right w:val="single" w:color="8C3A1A" w:sz="1"/>
            </w:tcBorders>
            <w:shd w:fill="EEEEEE" w:val="clear"/>
            <w:tcMar>
              <w:top w:type="dxa" w:w="75"/>
              <w:left w:type="dxa" w:w="120"/>
              <w:bottom w:type="dxa" w:w="75"/>
              <w:right w:type="dxa" w:w="120"/>
            </w:tcMar>
          </w:tcPr>
          <w:p>
            <w:r>
              <w:rPr>
                <w:rFonts w:ascii="Arial" w:cs="Arial" w:eastAsia="Arial" w:hAnsi="Arial"/>
                <w:b/>
                <w:bCs/>
                <w:color w:val="8C3A1A"/>
                <w:sz w:val="19"/>
                <w:szCs w:val="19"/>
              </w:rPr>
              <w:t xml:space="preserve">Preparation</w:t>
            </w:r>
          </w:p>
        </w:tc>
        <w:tc>
          <w:tcPr>
            <w:tcW w:type="dxa" w:w="7360"/>
            <w:tcBorders>
              <w:top w:val="single" w:color="8C3A1A" w:sz="1"/>
              <w:left w:val="single" w:color="8C3A1A" w:sz="1"/>
              <w:bottom w:val="single" w:color="8C3A1A" w:sz="1"/>
              <w:right w:val="single" w:color="8C3A1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Infused oil (primary preparation): whole dried flowers in olive oil; cold-infused 4–6 weeks; forms the base for calendula salve. Calendula salve: infused oil + beeswax; the classic wound and skin healing preparation. Tea (internal): 1–2 teaspoons dried flowers per cup, 10 minutes; anti-inflammatory digestive support. Tincture: 1:5 in 60% alcohol; can be used topically in diluted form (1:3 in water) as wound wash. Infused oil can be used directly on skin without making a salve.</w:t>
            </w:r>
          </w:p>
        </w:tc>
      </w:tr>
      <w:tr>
        <w:tc>
          <w:tcPr>
            <w:tcW w:type="dxa" w:w="2000"/>
            <w:tcBorders>
              <w:top w:val="single" w:color="8C3A1A" w:sz="1"/>
              <w:left w:val="single" w:color="8C3A1A" w:sz="1"/>
              <w:bottom w:val="single" w:color="8C3A1A" w:sz="1"/>
              <w:right w:val="single" w:color="8C3A1A" w:sz="1"/>
            </w:tcBorders>
            <w:shd w:fill="F5DDD0" w:val="clear"/>
            <w:tcMar>
              <w:top w:type="dxa" w:w="75"/>
              <w:left w:type="dxa" w:w="120"/>
              <w:bottom w:type="dxa" w:w="75"/>
              <w:right w:type="dxa" w:w="120"/>
            </w:tcMar>
          </w:tcPr>
          <w:p>
            <w:r>
              <w:rPr>
                <w:rFonts w:ascii="Arial" w:cs="Arial" w:eastAsia="Arial" w:hAnsi="Arial"/>
                <w:b/>
                <w:bCs/>
                <w:color w:val="8C3A1A"/>
                <w:sz w:val="19"/>
                <w:szCs w:val="19"/>
              </w:rPr>
              <w:t xml:space="preserve">Evidence base</w:t>
            </w:r>
          </w:p>
        </w:tc>
        <w:tc>
          <w:tcPr>
            <w:tcW w:type="dxa" w:w="7360"/>
            <w:tcBorders>
              <w:top w:val="single" w:color="8C3A1A" w:sz="1"/>
              <w:left w:val="single" w:color="8C3A1A" w:sz="1"/>
              <w:bottom w:val="single" w:color="8C3A1A" w:sz="1"/>
              <w:right w:val="single" w:color="8C3A1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Multiple positive clinical trials for wound healing and radiation dermatitis; in vitro evidence very strong for anti-inflammatory and antimicrobial activity; extensive traditional use well-documented; German Commission E approved for internal and external anti-inflammatory use.</w:t>
            </w:r>
          </w:p>
        </w:tc>
      </w:tr>
      <w:tr>
        <w:tc>
          <w:tcPr>
            <w:tcW w:type="dxa" w:w="2000"/>
            <w:tcBorders>
              <w:top w:val="single" w:color="8C3A1A" w:sz="1"/>
              <w:left w:val="single" w:color="8C3A1A" w:sz="1"/>
              <w:bottom w:val="single" w:color="8C3A1A" w:sz="1"/>
              <w:right w:val="single" w:color="8C3A1A" w:sz="1"/>
            </w:tcBorders>
            <w:shd w:fill="EEEEEE" w:val="clear"/>
            <w:tcMar>
              <w:top w:type="dxa" w:w="75"/>
              <w:left w:type="dxa" w:w="120"/>
              <w:bottom w:type="dxa" w:w="75"/>
              <w:right w:type="dxa" w:w="120"/>
            </w:tcMar>
          </w:tcPr>
          <w:p>
            <w:r>
              <w:rPr>
                <w:rFonts w:ascii="Arial" w:cs="Arial" w:eastAsia="Arial" w:hAnsi="Arial"/>
                <w:b/>
                <w:bCs/>
                <w:color w:val="8C3A1A"/>
                <w:sz w:val="19"/>
                <w:szCs w:val="19"/>
              </w:rPr>
              <w:t xml:space="preserve">Safety</w:t>
            </w:r>
          </w:p>
        </w:tc>
        <w:tc>
          <w:tcPr>
            <w:tcW w:type="dxa" w:w="7360"/>
            <w:tcBorders>
              <w:top w:val="single" w:color="8C3A1A" w:sz="1"/>
              <w:left w:val="single" w:color="8C3A1A" w:sz="1"/>
              <w:bottom w:val="single" w:color="8C3A1A" w:sz="1"/>
              <w:right w:val="single" w:color="8C3A1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Outstanding safety profile externally. Asteraceae allergy: same caution as chamomile — people with ragweed allergy may react. Contact dermatitis (rare). Internal use: avoid in pregnancy in medicinal doses (traditional emmenagogue; though normal culinary use as food is safe). Generally very safe; one of the first herbs to recommend to beginners.</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5A27" w:sz="2"/>
              <w:left w:val="single" w:color="2D5A27" w:sz="2"/>
              <w:bottom w:val="single" w:color="2D5A27" w:sz="2"/>
              <w:right w:val="single" w:color="2D5A27" w:sz="2"/>
            </w:tcBorders>
            <w:shd w:fill="2D5A27"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Plantain</w:t>
            </w:r>
          </w:p>
          <w:p>
            <w:pPr>
              <w:spacing w:before="0" w:after="0"/>
            </w:pPr>
            <w:r>
              <w:rPr>
                <w:rFonts w:ascii="Arial" w:cs="Arial" w:eastAsia="Arial" w:hAnsi="Arial"/>
                <w:i/>
                <w:iCs/>
                <w:color w:val="EEEEEE"/>
                <w:sz w:val="20"/>
                <w:szCs w:val="20"/>
              </w:rPr>
              <w:t xml:space="preserve">Plantago major / P. lanceolata</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Family</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Plantaginaceae</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Parts used</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Leaves (fresh most potent medicinally); seeds (psyllium effect from seed husk)</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Growing</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Perennial "weed" native to Europe, naturalized throughout North America; Zones 3–9. Already growing in most American lawns, gardens, and disturbed areas. If you need to cultivate it intentionally: full sun to shade; any soil; very drought-tolerant once established. Identifying it in your lawn and learning to use it "in the wild" may be more practical than cultivating it. Broad-leaf plantain (P. major) and narrow-leaf/ribwort plantain (P. lanceolata) are both equally medicinal.</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Zones</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Zones 3–9 and beyond; found virtually throughout the U.S.</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Medicinal use</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One of the most useful first-aid herbs available: the classic field medicine application is chewing a fresh plantain leaf and applying it immediately to a bee sting, insect bite, or minor wound — antihistamine and anti-inflammatory activity provides rapid itch and pain relief. More broadly: anti-inflammatory for mucous membranes (tea for sore throat, IBS, UTI symptoms); expectorant for cough; diuretic; wound healing (draws splinters and infection); urinary tract soothing; seeds as gentle bulk laxative (same family as commercial psyllium).</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Preparation</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Fresh leaf poultice: chew leaf and apply directly to sting or bite; or mash leaves and apply with bandage. Tea: 1–2 teaspoons dried leaf per cup, 10 minutes; for sore throat, digestive, or urinary tract applications. Tincture: 1:5 in 40% alcohol; 30–60 drops. Infused oil for wound-healing salve (classic combination with calendula). Seeds: soak 1 tablespoon seeds in water overnight; drink with additional water for bulk laxative effect.</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Evidence base</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Primarily traditional and in vitro evidence; limited clinical trials; anti-inflammatory compounds (aucubin, acteoside) well-characterized in laboratory studies; long cross-cultural traditional history in diverse healing traditions worldwide; excellent basis for field-medicine applications.</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Safety</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Excellent safety profile — one of the most used and least problematic medicinal herbs. Allergy: rare. Psyllium-related concerns with seeds (allergy to psyllium; GI obstruction without adequate water) apply to seeds. Generally considered safe in pregnancy and for children.</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A7A4A" w:sz="2"/>
              <w:left w:val="single" w:color="5A7A4A" w:sz="2"/>
              <w:bottom w:val="single" w:color="5A7A4A" w:sz="2"/>
              <w:right w:val="single" w:color="5A7A4A" w:sz="2"/>
            </w:tcBorders>
            <w:shd w:fill="5A7A4A"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Aloe Vera</w:t>
            </w:r>
          </w:p>
          <w:p>
            <w:pPr>
              <w:spacing w:before="0" w:after="0"/>
            </w:pPr>
            <w:r>
              <w:rPr>
                <w:rFonts w:ascii="Arial" w:cs="Arial" w:eastAsia="Arial" w:hAnsi="Arial"/>
                <w:i/>
                <w:iCs/>
                <w:color w:val="EEEEEE"/>
                <w:sz w:val="20"/>
                <w:szCs w:val="20"/>
              </w:rPr>
              <w:t xml:space="preserve">Aloe vera (syn. A. barbadensis)</w:t>
            </w:r>
          </w:p>
        </w:tc>
      </w:tr>
      <w:tr>
        <w:tc>
          <w:tcPr>
            <w:tcW w:type="dxa" w:w="2000"/>
            <w:tcBorders>
              <w:top w:val="single" w:color="5A7A4A" w:sz="1"/>
              <w:left w:val="single" w:color="5A7A4A" w:sz="1"/>
              <w:bottom w:val="single" w:color="5A7A4A" w:sz="1"/>
              <w:right w:val="single" w:color="5A7A4A" w:sz="1"/>
            </w:tcBorders>
            <w:shd w:fill="E2EDD5" w:val="clear"/>
            <w:tcMar>
              <w:top w:type="dxa" w:w="75"/>
              <w:left w:type="dxa" w:w="120"/>
              <w:bottom w:type="dxa" w:w="75"/>
              <w:right w:type="dxa" w:w="120"/>
            </w:tcMar>
          </w:tcPr>
          <w:p>
            <w:r>
              <w:rPr>
                <w:rFonts w:ascii="Arial" w:cs="Arial" w:eastAsia="Arial" w:hAnsi="Arial"/>
                <w:b/>
                <w:bCs/>
                <w:color w:val="5A7A4A"/>
                <w:sz w:val="19"/>
                <w:szCs w:val="19"/>
              </w:rPr>
              <w:t xml:space="preserve">Family</w:t>
            </w:r>
          </w:p>
        </w:tc>
        <w:tc>
          <w:tcPr>
            <w:tcW w:type="dxa" w:w="7360"/>
            <w:tcBorders>
              <w:top w:val="single" w:color="5A7A4A" w:sz="1"/>
              <w:left w:val="single" w:color="5A7A4A" w:sz="1"/>
              <w:bottom w:val="single" w:color="5A7A4A" w:sz="1"/>
              <w:right w:val="single" w:color="5A7A4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Asphodelaceae (Liliaceae)</w:t>
            </w:r>
          </w:p>
        </w:tc>
      </w:tr>
      <w:tr>
        <w:tc>
          <w:tcPr>
            <w:tcW w:type="dxa" w:w="2000"/>
            <w:tcBorders>
              <w:top w:val="single" w:color="5A7A4A" w:sz="1"/>
              <w:left w:val="single" w:color="5A7A4A" w:sz="1"/>
              <w:bottom w:val="single" w:color="5A7A4A" w:sz="1"/>
              <w:right w:val="single" w:color="5A7A4A" w:sz="1"/>
            </w:tcBorders>
            <w:shd w:fill="EEEEEE" w:val="clear"/>
            <w:tcMar>
              <w:top w:type="dxa" w:w="75"/>
              <w:left w:type="dxa" w:w="120"/>
              <w:bottom w:type="dxa" w:w="75"/>
              <w:right w:type="dxa" w:w="120"/>
            </w:tcMar>
          </w:tcPr>
          <w:p>
            <w:r>
              <w:rPr>
                <w:rFonts w:ascii="Arial" w:cs="Arial" w:eastAsia="Arial" w:hAnsi="Arial"/>
                <w:b/>
                <w:bCs/>
                <w:color w:val="5A7A4A"/>
                <w:sz w:val="19"/>
                <w:szCs w:val="19"/>
              </w:rPr>
              <w:t xml:space="preserve">Parts used</w:t>
            </w:r>
          </w:p>
        </w:tc>
        <w:tc>
          <w:tcPr>
            <w:tcW w:type="dxa" w:w="7360"/>
            <w:tcBorders>
              <w:top w:val="single" w:color="5A7A4A" w:sz="1"/>
              <w:left w:val="single" w:color="5A7A4A" w:sz="1"/>
              <w:bottom w:val="single" w:color="5A7A4A" w:sz="1"/>
              <w:right w:val="single" w:color="5A7A4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Leaf gel (inner clear gel); NOT the yellow latex just under the skin (contains aloin — potent laxative; very different properties from the gel)</w:t>
            </w:r>
          </w:p>
        </w:tc>
      </w:tr>
      <w:tr>
        <w:tc>
          <w:tcPr>
            <w:tcW w:type="dxa" w:w="2000"/>
            <w:tcBorders>
              <w:top w:val="single" w:color="5A7A4A" w:sz="1"/>
              <w:left w:val="single" w:color="5A7A4A" w:sz="1"/>
              <w:bottom w:val="single" w:color="5A7A4A" w:sz="1"/>
              <w:right w:val="single" w:color="5A7A4A" w:sz="1"/>
            </w:tcBorders>
            <w:shd w:fill="E2EDD5" w:val="clear"/>
            <w:tcMar>
              <w:top w:type="dxa" w:w="75"/>
              <w:left w:type="dxa" w:w="120"/>
              <w:bottom w:type="dxa" w:w="75"/>
              <w:right w:type="dxa" w:w="120"/>
            </w:tcMar>
          </w:tcPr>
          <w:p>
            <w:r>
              <w:rPr>
                <w:rFonts w:ascii="Arial" w:cs="Arial" w:eastAsia="Arial" w:hAnsi="Arial"/>
                <w:b/>
                <w:bCs/>
                <w:color w:val="5A7A4A"/>
                <w:sz w:val="19"/>
                <w:szCs w:val="19"/>
              </w:rPr>
              <w:t xml:space="preserve">Growing</w:t>
            </w:r>
          </w:p>
        </w:tc>
        <w:tc>
          <w:tcPr>
            <w:tcW w:type="dxa" w:w="7360"/>
            <w:tcBorders>
              <w:top w:val="single" w:color="5A7A4A" w:sz="1"/>
              <w:left w:val="single" w:color="5A7A4A" w:sz="1"/>
              <w:bottom w:val="single" w:color="5A7A4A" w:sz="1"/>
              <w:right w:val="single" w:color="5A7A4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Succulent perennial; Zones 9–11 outdoors; container plant throughout the U.S. Extremely easy to grow indoors — requires very little water, tolerates low light better than most succulents, and grows well in any warm indoor environment. Use fast-draining cactus mix; water thoroughly but allow to dry completely between waterings. Produces offsets (pups) freely. Outdoors in warm climates: full sun to part shade; excellent drainage essential.</w:t>
            </w:r>
          </w:p>
        </w:tc>
      </w:tr>
      <w:tr>
        <w:tc>
          <w:tcPr>
            <w:tcW w:type="dxa" w:w="2000"/>
            <w:tcBorders>
              <w:top w:val="single" w:color="5A7A4A" w:sz="1"/>
              <w:left w:val="single" w:color="5A7A4A" w:sz="1"/>
              <w:bottom w:val="single" w:color="5A7A4A" w:sz="1"/>
              <w:right w:val="single" w:color="5A7A4A" w:sz="1"/>
            </w:tcBorders>
            <w:shd w:fill="EEEEEE" w:val="clear"/>
            <w:tcMar>
              <w:top w:type="dxa" w:w="75"/>
              <w:left w:type="dxa" w:w="120"/>
              <w:bottom w:type="dxa" w:w="75"/>
              <w:right w:type="dxa" w:w="120"/>
            </w:tcMar>
          </w:tcPr>
          <w:p>
            <w:r>
              <w:rPr>
                <w:rFonts w:ascii="Arial" w:cs="Arial" w:eastAsia="Arial" w:hAnsi="Arial"/>
                <w:b/>
                <w:bCs/>
                <w:color w:val="5A7A4A"/>
                <w:sz w:val="19"/>
                <w:szCs w:val="19"/>
              </w:rPr>
              <w:t xml:space="preserve">Zones</w:t>
            </w:r>
          </w:p>
        </w:tc>
        <w:tc>
          <w:tcPr>
            <w:tcW w:type="dxa" w:w="7360"/>
            <w:tcBorders>
              <w:top w:val="single" w:color="5A7A4A" w:sz="1"/>
              <w:left w:val="single" w:color="5A7A4A" w:sz="1"/>
              <w:bottom w:val="single" w:color="5A7A4A" w:sz="1"/>
              <w:right w:val="single" w:color="5A7A4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Outdoors: Zones 9–11; Container/indoor: all zones</w:t>
            </w:r>
          </w:p>
        </w:tc>
      </w:tr>
      <w:tr>
        <w:tc>
          <w:tcPr>
            <w:tcW w:type="dxa" w:w="2000"/>
            <w:tcBorders>
              <w:top w:val="single" w:color="5A7A4A" w:sz="1"/>
              <w:left w:val="single" w:color="5A7A4A" w:sz="1"/>
              <w:bottom w:val="single" w:color="5A7A4A" w:sz="1"/>
              <w:right w:val="single" w:color="5A7A4A" w:sz="1"/>
            </w:tcBorders>
            <w:shd w:fill="E2EDD5" w:val="clear"/>
            <w:tcMar>
              <w:top w:type="dxa" w:w="75"/>
              <w:left w:type="dxa" w:w="120"/>
              <w:bottom w:type="dxa" w:w="75"/>
              <w:right w:type="dxa" w:w="120"/>
            </w:tcMar>
          </w:tcPr>
          <w:p>
            <w:r>
              <w:rPr>
                <w:rFonts w:ascii="Arial" w:cs="Arial" w:eastAsia="Arial" w:hAnsi="Arial"/>
                <w:b/>
                <w:bCs/>
                <w:color w:val="5A7A4A"/>
                <w:sz w:val="19"/>
                <w:szCs w:val="19"/>
              </w:rPr>
              <w:t xml:space="preserve">Medicinal use</w:t>
            </w:r>
          </w:p>
        </w:tc>
        <w:tc>
          <w:tcPr>
            <w:tcW w:type="dxa" w:w="7360"/>
            <w:tcBorders>
              <w:top w:val="single" w:color="5A7A4A" w:sz="1"/>
              <w:left w:val="single" w:color="5A7A4A" w:sz="1"/>
              <w:bottom w:val="single" w:color="5A7A4A" w:sz="1"/>
              <w:right w:val="single" w:color="5A7A4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The most widely used topical medicinal plant in America: burns (first and second degree) — multiple clinical trials showing accelerated healing compared to petroleum jelly dressings; radiation dermatitis; sunburn; minor wounds; inflammatory skin conditions (psoriasis, acne); insect bites; cold sores. Internal use (properly prepared inner gel only, not the whole leaf or latex): digestive support; blood sugar lowering (clinical evidence); constipation is treated with the latex (aloin) but this is harsh and not recommended.</w:t>
            </w:r>
          </w:p>
        </w:tc>
      </w:tr>
      <w:tr>
        <w:tc>
          <w:tcPr>
            <w:tcW w:type="dxa" w:w="2000"/>
            <w:tcBorders>
              <w:top w:val="single" w:color="5A7A4A" w:sz="1"/>
              <w:left w:val="single" w:color="5A7A4A" w:sz="1"/>
              <w:bottom w:val="single" w:color="5A7A4A" w:sz="1"/>
              <w:right w:val="single" w:color="5A7A4A" w:sz="1"/>
            </w:tcBorders>
            <w:shd w:fill="EEEEEE" w:val="clear"/>
            <w:tcMar>
              <w:top w:type="dxa" w:w="75"/>
              <w:left w:type="dxa" w:w="120"/>
              <w:bottom w:type="dxa" w:w="75"/>
              <w:right w:type="dxa" w:w="120"/>
            </w:tcMar>
          </w:tcPr>
          <w:p>
            <w:r>
              <w:rPr>
                <w:rFonts w:ascii="Arial" w:cs="Arial" w:eastAsia="Arial" w:hAnsi="Arial"/>
                <w:b/>
                <w:bCs/>
                <w:color w:val="5A7A4A"/>
                <w:sz w:val="19"/>
                <w:szCs w:val="19"/>
              </w:rPr>
              <w:t xml:space="preserve">Preparation</w:t>
            </w:r>
          </w:p>
        </w:tc>
        <w:tc>
          <w:tcPr>
            <w:tcW w:type="dxa" w:w="7360"/>
            <w:tcBorders>
              <w:top w:val="single" w:color="5A7A4A" w:sz="1"/>
              <w:left w:val="single" w:color="5A7A4A" w:sz="1"/>
              <w:bottom w:val="single" w:color="5A7A4A" w:sz="1"/>
              <w:right w:val="single" w:color="5A7A4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Fresh gel application: cut off a mature outer leaf; slice open lengthwise; scoop or squeeze out the clear inner gel; apply directly to affected skin. The fresh gel is far more potent than most commercial aloe products (which are heavily processed). For burns: apply generously and frequently (4–6 times daily). Gel can be refrigerated for up to 1 week or frozen for later use. For internal use: only the inner clear gel, thoroughly separated from the yellow latex; blend; start with 1–2 tablespoons daily.</w:t>
            </w:r>
          </w:p>
        </w:tc>
      </w:tr>
      <w:tr>
        <w:tc>
          <w:tcPr>
            <w:tcW w:type="dxa" w:w="2000"/>
            <w:tcBorders>
              <w:top w:val="single" w:color="5A7A4A" w:sz="1"/>
              <w:left w:val="single" w:color="5A7A4A" w:sz="1"/>
              <w:bottom w:val="single" w:color="5A7A4A" w:sz="1"/>
              <w:right w:val="single" w:color="5A7A4A" w:sz="1"/>
            </w:tcBorders>
            <w:shd w:fill="E2EDD5" w:val="clear"/>
            <w:tcMar>
              <w:top w:type="dxa" w:w="75"/>
              <w:left w:type="dxa" w:w="120"/>
              <w:bottom w:type="dxa" w:w="75"/>
              <w:right w:type="dxa" w:w="120"/>
            </w:tcMar>
          </w:tcPr>
          <w:p>
            <w:r>
              <w:rPr>
                <w:rFonts w:ascii="Arial" w:cs="Arial" w:eastAsia="Arial" w:hAnsi="Arial"/>
                <w:b/>
                <w:bCs/>
                <w:color w:val="5A7A4A"/>
                <w:sz w:val="19"/>
                <w:szCs w:val="19"/>
              </w:rPr>
              <w:t xml:space="preserve">Evidence base</w:t>
            </w:r>
          </w:p>
        </w:tc>
        <w:tc>
          <w:tcPr>
            <w:tcW w:type="dxa" w:w="7360"/>
            <w:tcBorders>
              <w:top w:val="single" w:color="5A7A4A" w:sz="1"/>
              <w:left w:val="single" w:color="5A7A4A" w:sz="1"/>
              <w:bottom w:val="single" w:color="5A7A4A" w:sz="1"/>
              <w:right w:val="single" w:color="5A7A4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Multiple clinical trials for burn and wound healing; positive trials for radiation dermatitis; some clinical evidence for blood sugar effects; well-established mechanistic understanding of wound-healing compounds (glucomannans, acemannan).</w:t>
            </w:r>
          </w:p>
        </w:tc>
      </w:tr>
      <w:tr>
        <w:tc>
          <w:tcPr>
            <w:tcW w:type="dxa" w:w="2000"/>
            <w:tcBorders>
              <w:top w:val="single" w:color="5A7A4A" w:sz="1"/>
              <w:left w:val="single" w:color="5A7A4A" w:sz="1"/>
              <w:bottom w:val="single" w:color="5A7A4A" w:sz="1"/>
              <w:right w:val="single" w:color="5A7A4A" w:sz="1"/>
            </w:tcBorders>
            <w:shd w:fill="EEEEEE" w:val="clear"/>
            <w:tcMar>
              <w:top w:type="dxa" w:w="75"/>
              <w:left w:type="dxa" w:w="120"/>
              <w:bottom w:type="dxa" w:w="75"/>
              <w:right w:type="dxa" w:w="120"/>
            </w:tcMar>
          </w:tcPr>
          <w:p>
            <w:r>
              <w:rPr>
                <w:rFonts w:ascii="Arial" w:cs="Arial" w:eastAsia="Arial" w:hAnsi="Arial"/>
                <w:b/>
                <w:bCs/>
                <w:color w:val="5A7A4A"/>
                <w:sz w:val="19"/>
                <w:szCs w:val="19"/>
              </w:rPr>
              <w:t xml:space="preserve">Safety</w:t>
            </w:r>
          </w:p>
        </w:tc>
        <w:tc>
          <w:tcPr>
            <w:tcW w:type="dxa" w:w="7360"/>
            <w:tcBorders>
              <w:top w:val="single" w:color="5A7A4A" w:sz="1"/>
              <w:left w:val="single" w:color="5A7A4A" w:sz="1"/>
              <w:bottom w:val="single" w:color="5A7A4A" w:sz="1"/>
              <w:right w:val="single" w:color="5A7A4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Fresh gel externally: excellent safety profile; rare contact dermatitis. Do NOT use aloe on deep wounds or surgical incisions — may delay deep wound closure. Internal use caution: ensure only inner gel without any yellow latex; the latex (aloin) is a harsh laxative and long-term use is associated with electrolyte disturbances and potentially carcinogenic compounds; do not use internally if pregnant; do not use latex preparations long-term. Drug interactions (internal use): blood sugar-lowering effect may enhance diabetes medications.</w:t>
            </w:r>
          </w:p>
        </w:tc>
      </w:tr>
    </w:tbl>
    <w:p>
      <w:pPr>
        <w:spacing w:before="160" w:after="0"/>
      </w:pPr>
      <w:r>
        <w:t xml:space="preserve"/>
      </w:r>
    </w:p>
    <w:p>
      <w:pPr>
        <w:pStyle w:val="Heading2"/>
        <w:spacing w:before="260" w:after="100"/>
      </w:pPr>
      <w:r>
        <w:rPr>
          <w:rFonts w:ascii="Arial" w:cs="Arial" w:eastAsia="Arial" w:hAnsi="Arial"/>
          <w:b/>
          <w:bCs/>
          <w:color w:val="1A6060"/>
          <w:sz w:val="28"/>
          <w:szCs w:val="28"/>
        </w:rPr>
        <w:t xml:space="preserve">Circulatory and Cardiovascular Herbs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3A1A" w:sz="2"/>
              <w:left w:val="single" w:color="8C3A1A" w:sz="2"/>
              <w:bottom w:val="single" w:color="8C3A1A" w:sz="2"/>
              <w:right w:val="single" w:color="8C3A1A" w:sz="2"/>
            </w:tcBorders>
            <w:shd w:fill="8C3A1A"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Hawthorn</w:t>
            </w:r>
          </w:p>
          <w:p>
            <w:pPr>
              <w:spacing w:before="0" w:after="0"/>
            </w:pPr>
            <w:r>
              <w:rPr>
                <w:rFonts w:ascii="Arial" w:cs="Arial" w:eastAsia="Arial" w:hAnsi="Arial"/>
                <w:i/>
                <w:iCs/>
                <w:color w:val="EEEEEE"/>
                <w:sz w:val="20"/>
                <w:szCs w:val="20"/>
              </w:rPr>
              <w:t xml:space="preserve">Crataegus monogyna / C. laevigata / C. oxyacantha</w:t>
            </w:r>
          </w:p>
        </w:tc>
      </w:tr>
      <w:tr>
        <w:tc>
          <w:tcPr>
            <w:tcW w:type="dxa" w:w="2000"/>
            <w:tcBorders>
              <w:top w:val="single" w:color="8C3A1A" w:sz="1"/>
              <w:left w:val="single" w:color="8C3A1A" w:sz="1"/>
              <w:bottom w:val="single" w:color="8C3A1A" w:sz="1"/>
              <w:right w:val="single" w:color="8C3A1A" w:sz="1"/>
            </w:tcBorders>
            <w:shd w:fill="F5DDD0" w:val="clear"/>
            <w:tcMar>
              <w:top w:type="dxa" w:w="75"/>
              <w:left w:type="dxa" w:w="120"/>
              <w:bottom w:type="dxa" w:w="75"/>
              <w:right w:type="dxa" w:w="120"/>
            </w:tcMar>
          </w:tcPr>
          <w:p>
            <w:r>
              <w:rPr>
                <w:rFonts w:ascii="Arial" w:cs="Arial" w:eastAsia="Arial" w:hAnsi="Arial"/>
                <w:b/>
                <w:bCs/>
                <w:color w:val="8C3A1A"/>
                <w:sz w:val="19"/>
                <w:szCs w:val="19"/>
              </w:rPr>
              <w:t xml:space="preserve">Family</w:t>
            </w:r>
          </w:p>
        </w:tc>
        <w:tc>
          <w:tcPr>
            <w:tcW w:type="dxa" w:w="7360"/>
            <w:tcBorders>
              <w:top w:val="single" w:color="8C3A1A" w:sz="1"/>
              <w:left w:val="single" w:color="8C3A1A" w:sz="1"/>
              <w:bottom w:val="single" w:color="8C3A1A" w:sz="1"/>
              <w:right w:val="single" w:color="8C3A1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Rosaceae</w:t>
            </w:r>
          </w:p>
        </w:tc>
      </w:tr>
      <w:tr>
        <w:tc>
          <w:tcPr>
            <w:tcW w:type="dxa" w:w="2000"/>
            <w:tcBorders>
              <w:top w:val="single" w:color="8C3A1A" w:sz="1"/>
              <w:left w:val="single" w:color="8C3A1A" w:sz="1"/>
              <w:bottom w:val="single" w:color="8C3A1A" w:sz="1"/>
              <w:right w:val="single" w:color="8C3A1A" w:sz="1"/>
            </w:tcBorders>
            <w:shd w:fill="EEEEEE" w:val="clear"/>
            <w:tcMar>
              <w:top w:type="dxa" w:w="75"/>
              <w:left w:type="dxa" w:w="120"/>
              <w:bottom w:type="dxa" w:w="75"/>
              <w:right w:type="dxa" w:w="120"/>
            </w:tcMar>
          </w:tcPr>
          <w:p>
            <w:r>
              <w:rPr>
                <w:rFonts w:ascii="Arial" w:cs="Arial" w:eastAsia="Arial" w:hAnsi="Arial"/>
                <w:b/>
                <w:bCs/>
                <w:color w:val="8C3A1A"/>
                <w:sz w:val="19"/>
                <w:szCs w:val="19"/>
              </w:rPr>
              <w:t xml:space="preserve">Parts used</w:t>
            </w:r>
          </w:p>
        </w:tc>
        <w:tc>
          <w:tcPr>
            <w:tcW w:type="dxa" w:w="7360"/>
            <w:tcBorders>
              <w:top w:val="single" w:color="8C3A1A" w:sz="1"/>
              <w:left w:val="single" w:color="8C3A1A" w:sz="1"/>
              <w:bottom w:val="single" w:color="8C3A1A" w:sz="1"/>
              <w:right w:val="single" w:color="8C3A1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Berries (haws), flowers and leaves (together) — different compounds in each part; comprehensive preparations use all parts</w:t>
            </w:r>
          </w:p>
        </w:tc>
      </w:tr>
      <w:tr>
        <w:tc>
          <w:tcPr>
            <w:tcW w:type="dxa" w:w="2000"/>
            <w:tcBorders>
              <w:top w:val="single" w:color="8C3A1A" w:sz="1"/>
              <w:left w:val="single" w:color="8C3A1A" w:sz="1"/>
              <w:bottom w:val="single" w:color="8C3A1A" w:sz="1"/>
              <w:right w:val="single" w:color="8C3A1A" w:sz="1"/>
            </w:tcBorders>
            <w:shd w:fill="F5DDD0" w:val="clear"/>
            <w:tcMar>
              <w:top w:type="dxa" w:w="75"/>
              <w:left w:type="dxa" w:w="120"/>
              <w:bottom w:type="dxa" w:w="75"/>
              <w:right w:type="dxa" w:w="120"/>
            </w:tcMar>
          </w:tcPr>
          <w:p>
            <w:r>
              <w:rPr>
                <w:rFonts w:ascii="Arial" w:cs="Arial" w:eastAsia="Arial" w:hAnsi="Arial"/>
                <w:b/>
                <w:bCs/>
                <w:color w:val="8C3A1A"/>
                <w:sz w:val="19"/>
                <w:szCs w:val="19"/>
              </w:rPr>
              <w:t xml:space="preserve">Growing</w:t>
            </w:r>
          </w:p>
        </w:tc>
        <w:tc>
          <w:tcPr>
            <w:tcW w:type="dxa" w:w="7360"/>
            <w:tcBorders>
              <w:top w:val="single" w:color="8C3A1A" w:sz="1"/>
              <w:left w:val="single" w:color="8C3A1A" w:sz="1"/>
              <w:bottom w:val="single" w:color="8C3A1A" w:sz="1"/>
              <w:right w:val="single" w:color="8C3A1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Thorny deciduous shrub or small tree; Zones 3–9. Full sun to part shade; adaptable to most soils; drought-tolerant once established; very long-lived. Native Crataegus species grow throughout North America (many American hawthorn species have similar medicinal properties to European species). Start from seed (needs stratification); easier from nursery transplant. Multi-season ornamental value: spring flowers, summer foliage, fall berries, winter branch structure.</w:t>
            </w:r>
          </w:p>
        </w:tc>
      </w:tr>
      <w:tr>
        <w:tc>
          <w:tcPr>
            <w:tcW w:type="dxa" w:w="2000"/>
            <w:tcBorders>
              <w:top w:val="single" w:color="8C3A1A" w:sz="1"/>
              <w:left w:val="single" w:color="8C3A1A" w:sz="1"/>
              <w:bottom w:val="single" w:color="8C3A1A" w:sz="1"/>
              <w:right w:val="single" w:color="8C3A1A" w:sz="1"/>
            </w:tcBorders>
            <w:shd w:fill="EEEEEE" w:val="clear"/>
            <w:tcMar>
              <w:top w:type="dxa" w:w="75"/>
              <w:left w:type="dxa" w:w="120"/>
              <w:bottom w:type="dxa" w:w="75"/>
              <w:right w:type="dxa" w:w="120"/>
            </w:tcMar>
          </w:tcPr>
          <w:p>
            <w:r>
              <w:rPr>
                <w:rFonts w:ascii="Arial" w:cs="Arial" w:eastAsia="Arial" w:hAnsi="Arial"/>
                <w:b/>
                <w:bCs/>
                <w:color w:val="8C3A1A"/>
                <w:sz w:val="19"/>
                <w:szCs w:val="19"/>
              </w:rPr>
              <w:t xml:space="preserve">Zones</w:t>
            </w:r>
          </w:p>
        </w:tc>
        <w:tc>
          <w:tcPr>
            <w:tcW w:type="dxa" w:w="7360"/>
            <w:tcBorders>
              <w:top w:val="single" w:color="8C3A1A" w:sz="1"/>
              <w:left w:val="single" w:color="8C3A1A" w:sz="1"/>
              <w:bottom w:val="single" w:color="8C3A1A" w:sz="1"/>
              <w:right w:val="single" w:color="8C3A1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Zones 3–9; most Crataegus species very cold-hardy</w:t>
            </w:r>
          </w:p>
        </w:tc>
      </w:tr>
      <w:tr>
        <w:tc>
          <w:tcPr>
            <w:tcW w:type="dxa" w:w="2000"/>
            <w:tcBorders>
              <w:top w:val="single" w:color="8C3A1A" w:sz="1"/>
              <w:left w:val="single" w:color="8C3A1A" w:sz="1"/>
              <w:bottom w:val="single" w:color="8C3A1A" w:sz="1"/>
              <w:right w:val="single" w:color="8C3A1A" w:sz="1"/>
            </w:tcBorders>
            <w:shd w:fill="F5DDD0" w:val="clear"/>
            <w:tcMar>
              <w:top w:type="dxa" w:w="75"/>
              <w:left w:type="dxa" w:w="120"/>
              <w:bottom w:type="dxa" w:w="75"/>
              <w:right w:type="dxa" w:w="120"/>
            </w:tcMar>
          </w:tcPr>
          <w:p>
            <w:r>
              <w:rPr>
                <w:rFonts w:ascii="Arial" w:cs="Arial" w:eastAsia="Arial" w:hAnsi="Arial"/>
                <w:b/>
                <w:bCs/>
                <w:color w:val="8C3A1A"/>
                <w:sz w:val="19"/>
                <w:szCs w:val="19"/>
              </w:rPr>
              <w:t xml:space="preserve">Medicinal use</w:t>
            </w:r>
          </w:p>
        </w:tc>
        <w:tc>
          <w:tcPr>
            <w:tcW w:type="dxa" w:w="7360"/>
            <w:tcBorders>
              <w:top w:val="single" w:color="8C3A1A" w:sz="1"/>
              <w:left w:val="single" w:color="8C3A1A" w:sz="1"/>
              <w:bottom w:val="single" w:color="8C3A1A" w:sz="1"/>
              <w:right w:val="single" w:color="8C3A1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The pre-eminent cardiac tonic herb — used specifically for cardiovascular support over decades of clinical research. Well-documented effects: improved cardiac output (mild positive inotropic effect); dilation of coronary blood vessels; reduced peripheral vascular resistance (mild antihypertensive); antioxidant protection of cardiovascular tissue; antiarrhythmic properties; cholesterol reduction. Used for: early heart failure (NYHA Class I–II); angina support; hypertension adjunct; atherosclerosis prevention; age-related cardiovascular decline.</w:t>
            </w:r>
          </w:p>
        </w:tc>
      </w:tr>
      <w:tr>
        <w:tc>
          <w:tcPr>
            <w:tcW w:type="dxa" w:w="2000"/>
            <w:tcBorders>
              <w:top w:val="single" w:color="8C3A1A" w:sz="1"/>
              <w:left w:val="single" w:color="8C3A1A" w:sz="1"/>
              <w:bottom w:val="single" w:color="8C3A1A" w:sz="1"/>
              <w:right w:val="single" w:color="8C3A1A" w:sz="1"/>
            </w:tcBorders>
            <w:shd w:fill="EEEEEE" w:val="clear"/>
            <w:tcMar>
              <w:top w:type="dxa" w:w="75"/>
              <w:left w:type="dxa" w:w="120"/>
              <w:bottom w:type="dxa" w:w="75"/>
              <w:right w:type="dxa" w:w="120"/>
            </w:tcMar>
          </w:tcPr>
          <w:p>
            <w:r>
              <w:rPr>
                <w:rFonts w:ascii="Arial" w:cs="Arial" w:eastAsia="Arial" w:hAnsi="Arial"/>
                <w:b/>
                <w:bCs/>
                <w:color w:val="8C3A1A"/>
                <w:sz w:val="19"/>
                <w:szCs w:val="19"/>
              </w:rPr>
              <w:t xml:space="preserve">Preparation</w:t>
            </w:r>
          </w:p>
        </w:tc>
        <w:tc>
          <w:tcPr>
            <w:tcW w:type="dxa" w:w="7360"/>
            <w:tcBorders>
              <w:top w:val="single" w:color="8C3A1A" w:sz="1"/>
              <w:left w:val="single" w:color="8C3A1A" w:sz="1"/>
              <w:bottom w:val="single" w:color="8C3A1A" w:sz="1"/>
              <w:right w:val="single" w:color="8C3A1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Tincture of fresh berries + flowers + leaves: 1:5 in 45% alcohol; 3–5 ml 2–3x daily — the most comprehensive preparation capturing all active fractions. Berry tea / decoction: 1–2 tablespoons dried berries per cup, simmered 20 minutes; drink 2 cups daily. Standardized extract: 300mg (1.8% vitexin and 18.75% OPCs) twice daily — the preparation with the most clinical trial evidence. Hawthorn berry jam: preserves; eaten as a food. Consistency over months is key — hawthorn works slowly but durably.</w:t>
            </w:r>
          </w:p>
        </w:tc>
      </w:tr>
      <w:tr>
        <w:tc>
          <w:tcPr>
            <w:tcW w:type="dxa" w:w="2000"/>
            <w:tcBorders>
              <w:top w:val="single" w:color="8C3A1A" w:sz="1"/>
              <w:left w:val="single" w:color="8C3A1A" w:sz="1"/>
              <w:bottom w:val="single" w:color="8C3A1A" w:sz="1"/>
              <w:right w:val="single" w:color="8C3A1A" w:sz="1"/>
            </w:tcBorders>
            <w:shd w:fill="F5DDD0" w:val="clear"/>
            <w:tcMar>
              <w:top w:type="dxa" w:w="75"/>
              <w:left w:type="dxa" w:w="120"/>
              <w:bottom w:type="dxa" w:w="75"/>
              <w:right w:type="dxa" w:w="120"/>
            </w:tcMar>
          </w:tcPr>
          <w:p>
            <w:r>
              <w:rPr>
                <w:rFonts w:ascii="Arial" w:cs="Arial" w:eastAsia="Arial" w:hAnsi="Arial"/>
                <w:b/>
                <w:bCs/>
                <w:color w:val="8C3A1A"/>
                <w:sz w:val="19"/>
                <w:szCs w:val="19"/>
              </w:rPr>
              <w:t xml:space="preserve">Evidence base</w:t>
            </w:r>
          </w:p>
        </w:tc>
        <w:tc>
          <w:tcPr>
            <w:tcW w:type="dxa" w:w="7360"/>
            <w:tcBorders>
              <w:top w:val="single" w:color="8C3A1A" w:sz="1"/>
              <w:left w:val="single" w:color="8C3A1A" w:sz="1"/>
              <w:bottom w:val="single" w:color="8C3A1A" w:sz="1"/>
              <w:right w:val="single" w:color="8C3A1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Multiple positive clinical trials for heart failure symptoms; meta-analyses confirming cardiovascular benefits for CHF; one large RCT (SPICE trial) showing reduced risk of cardiac events; European and German regulatory approval for cardiovascular indications; well-integrated into German integrative cardiology practice.</w:t>
            </w:r>
          </w:p>
        </w:tc>
      </w:tr>
      <w:tr>
        <w:tc>
          <w:tcPr>
            <w:tcW w:type="dxa" w:w="2000"/>
            <w:tcBorders>
              <w:top w:val="single" w:color="8C3A1A" w:sz="1"/>
              <w:left w:val="single" w:color="8C3A1A" w:sz="1"/>
              <w:bottom w:val="single" w:color="8C3A1A" w:sz="1"/>
              <w:right w:val="single" w:color="8C3A1A" w:sz="1"/>
            </w:tcBorders>
            <w:shd w:fill="EEEEEE" w:val="clear"/>
            <w:tcMar>
              <w:top w:type="dxa" w:w="75"/>
              <w:left w:type="dxa" w:w="120"/>
              <w:bottom w:type="dxa" w:w="75"/>
              <w:right w:type="dxa" w:w="120"/>
            </w:tcMar>
          </w:tcPr>
          <w:p>
            <w:r>
              <w:rPr>
                <w:rFonts w:ascii="Arial" w:cs="Arial" w:eastAsia="Arial" w:hAnsi="Arial"/>
                <w:b/>
                <w:bCs/>
                <w:color w:val="8C3A1A"/>
                <w:sz w:val="19"/>
                <w:szCs w:val="19"/>
              </w:rPr>
              <w:t xml:space="preserve">Safety</w:t>
            </w:r>
          </w:p>
        </w:tc>
        <w:tc>
          <w:tcPr>
            <w:tcW w:type="dxa" w:w="7360"/>
            <w:tcBorders>
              <w:top w:val="single" w:color="8C3A1A" w:sz="1"/>
              <w:left w:val="single" w:color="8C3A1A" w:sz="1"/>
              <w:bottom w:val="single" w:color="8C3A1A" w:sz="1"/>
              <w:right w:val="single" w:color="8C3A1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Very safe — considered one of the safest herbs for long-term use. Drug interactions: may enhance the effects of cardiac glycosides (digoxin) — monitor; may enhance effects of antihypertensive medications; potential interaction with nitrates. IMPORTANT: hawthorn is appropriate for supporting mild cardiovascular conditions but is NOT a substitute for conventional heart disease treatment — use as adjunct with physician awareness and monitoring. Stop 2 weeks before any cardiac surgery.</w:t>
            </w:r>
          </w:p>
        </w:tc>
      </w:tr>
    </w:tbl>
    <w:p>
      <w:pPr>
        <w:spacing w:before="160" w:after="0"/>
      </w:pPr>
      <w:r>
        <w:t xml:space="preserve"/>
      </w:r>
    </w:p>
    <w:p>
      <w:pPr>
        <w:pStyle w:val="Heading2"/>
        <w:spacing w:before="260" w:after="100"/>
      </w:pPr>
      <w:r>
        <w:rPr>
          <w:rFonts w:ascii="Arial" w:cs="Arial" w:eastAsia="Arial" w:hAnsi="Arial"/>
          <w:b/>
          <w:bCs/>
          <w:color w:val="1A6060"/>
          <w:sz w:val="28"/>
          <w:szCs w:val="28"/>
        </w:rPr>
        <w:t xml:space="preserve">Anti-inflammatory and Pain Herbs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3A1A" w:sz="2"/>
              <w:left w:val="single" w:color="8C3A1A" w:sz="2"/>
              <w:bottom w:val="single" w:color="8C3A1A" w:sz="2"/>
              <w:right w:val="single" w:color="8C3A1A" w:sz="2"/>
            </w:tcBorders>
            <w:shd w:fill="8C3A1A"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Arnica</w:t>
            </w:r>
          </w:p>
          <w:p>
            <w:pPr>
              <w:spacing w:before="0" w:after="0"/>
            </w:pPr>
            <w:r>
              <w:rPr>
                <w:rFonts w:ascii="Arial" w:cs="Arial" w:eastAsia="Arial" w:hAnsi="Arial"/>
                <w:i/>
                <w:iCs/>
                <w:color w:val="EEEEEE"/>
                <w:sz w:val="20"/>
                <w:szCs w:val="20"/>
              </w:rPr>
              <w:t xml:space="preserve">Arnica montana / A. chamissonis</w:t>
            </w:r>
          </w:p>
        </w:tc>
      </w:tr>
      <w:tr>
        <w:tc>
          <w:tcPr>
            <w:tcW w:type="dxa" w:w="2000"/>
            <w:tcBorders>
              <w:top w:val="single" w:color="8C3A1A" w:sz="1"/>
              <w:left w:val="single" w:color="8C3A1A" w:sz="1"/>
              <w:bottom w:val="single" w:color="8C3A1A" w:sz="1"/>
              <w:right w:val="single" w:color="8C3A1A" w:sz="1"/>
            </w:tcBorders>
            <w:shd w:fill="F5DDD0" w:val="clear"/>
            <w:tcMar>
              <w:top w:type="dxa" w:w="75"/>
              <w:left w:type="dxa" w:w="120"/>
              <w:bottom w:type="dxa" w:w="75"/>
              <w:right w:type="dxa" w:w="120"/>
            </w:tcMar>
          </w:tcPr>
          <w:p>
            <w:r>
              <w:rPr>
                <w:rFonts w:ascii="Arial" w:cs="Arial" w:eastAsia="Arial" w:hAnsi="Arial"/>
                <w:b/>
                <w:bCs/>
                <w:color w:val="8C3A1A"/>
                <w:sz w:val="19"/>
                <w:szCs w:val="19"/>
              </w:rPr>
              <w:t xml:space="preserve">Family</w:t>
            </w:r>
          </w:p>
        </w:tc>
        <w:tc>
          <w:tcPr>
            <w:tcW w:type="dxa" w:w="7360"/>
            <w:tcBorders>
              <w:top w:val="single" w:color="8C3A1A" w:sz="1"/>
              <w:left w:val="single" w:color="8C3A1A" w:sz="1"/>
              <w:bottom w:val="single" w:color="8C3A1A" w:sz="1"/>
              <w:right w:val="single" w:color="8C3A1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Asteraceae</w:t>
            </w:r>
          </w:p>
        </w:tc>
      </w:tr>
      <w:tr>
        <w:tc>
          <w:tcPr>
            <w:tcW w:type="dxa" w:w="2000"/>
            <w:tcBorders>
              <w:top w:val="single" w:color="8C3A1A" w:sz="1"/>
              <w:left w:val="single" w:color="8C3A1A" w:sz="1"/>
              <w:bottom w:val="single" w:color="8C3A1A" w:sz="1"/>
              <w:right w:val="single" w:color="8C3A1A" w:sz="1"/>
            </w:tcBorders>
            <w:shd w:fill="EEEEEE" w:val="clear"/>
            <w:tcMar>
              <w:top w:type="dxa" w:w="75"/>
              <w:left w:type="dxa" w:w="120"/>
              <w:bottom w:type="dxa" w:w="75"/>
              <w:right w:type="dxa" w:w="120"/>
            </w:tcMar>
          </w:tcPr>
          <w:p>
            <w:r>
              <w:rPr>
                <w:rFonts w:ascii="Arial" w:cs="Arial" w:eastAsia="Arial" w:hAnsi="Arial"/>
                <w:b/>
                <w:bCs/>
                <w:color w:val="8C3A1A"/>
                <w:sz w:val="19"/>
                <w:szCs w:val="19"/>
              </w:rPr>
              <w:t xml:space="preserve">Parts used</w:t>
            </w:r>
          </w:p>
        </w:tc>
        <w:tc>
          <w:tcPr>
            <w:tcW w:type="dxa" w:w="7360"/>
            <w:tcBorders>
              <w:top w:val="single" w:color="8C3A1A" w:sz="1"/>
              <w:left w:val="single" w:color="8C3A1A" w:sz="1"/>
              <w:bottom w:val="single" w:color="8C3A1A" w:sz="1"/>
              <w:right w:val="single" w:color="8C3A1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Flowers — harvested fully open; A. chamissonis (meadow arnica) preferred for garden growing; A. montana is European species of conservation concern</w:t>
            </w:r>
          </w:p>
        </w:tc>
      </w:tr>
      <w:tr>
        <w:tc>
          <w:tcPr>
            <w:tcW w:type="dxa" w:w="2000"/>
            <w:tcBorders>
              <w:top w:val="single" w:color="8C3A1A" w:sz="1"/>
              <w:left w:val="single" w:color="8C3A1A" w:sz="1"/>
              <w:bottom w:val="single" w:color="8C3A1A" w:sz="1"/>
              <w:right w:val="single" w:color="8C3A1A" w:sz="1"/>
            </w:tcBorders>
            <w:shd w:fill="F5DDD0" w:val="clear"/>
            <w:tcMar>
              <w:top w:type="dxa" w:w="75"/>
              <w:left w:type="dxa" w:w="120"/>
              <w:bottom w:type="dxa" w:w="75"/>
              <w:right w:type="dxa" w:w="120"/>
            </w:tcMar>
          </w:tcPr>
          <w:p>
            <w:r>
              <w:rPr>
                <w:rFonts w:ascii="Arial" w:cs="Arial" w:eastAsia="Arial" w:hAnsi="Arial"/>
                <w:b/>
                <w:bCs/>
                <w:color w:val="8C3A1A"/>
                <w:sz w:val="19"/>
                <w:szCs w:val="19"/>
              </w:rPr>
              <w:t xml:space="preserve">Growing</w:t>
            </w:r>
          </w:p>
        </w:tc>
        <w:tc>
          <w:tcPr>
            <w:tcW w:type="dxa" w:w="7360"/>
            <w:tcBorders>
              <w:top w:val="single" w:color="8C3A1A" w:sz="1"/>
              <w:left w:val="single" w:color="8C3A1A" w:sz="1"/>
              <w:bottom w:val="single" w:color="8C3A1A" w:sz="1"/>
              <w:right w:val="single" w:color="8C3A1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Perennial mountain meadow plant; Zones 4–9 (A. montana); A. chamissonis somewhat easier to grow. Full sun to light shade; acidic, nutrient-poor, well-drained soil (the opposite of what most gardeners provide); needs excellent air circulation. Challenging to grow in hot, humid climates — excels in mountain and northern regions. Worth the effort for its exceptional topical value. Start from seed or transplant; establish in a lean, gritty soil bed.</w:t>
            </w:r>
          </w:p>
        </w:tc>
      </w:tr>
      <w:tr>
        <w:tc>
          <w:tcPr>
            <w:tcW w:type="dxa" w:w="2000"/>
            <w:tcBorders>
              <w:top w:val="single" w:color="8C3A1A" w:sz="1"/>
              <w:left w:val="single" w:color="8C3A1A" w:sz="1"/>
              <w:bottom w:val="single" w:color="8C3A1A" w:sz="1"/>
              <w:right w:val="single" w:color="8C3A1A" w:sz="1"/>
            </w:tcBorders>
            <w:shd w:fill="EEEEEE" w:val="clear"/>
            <w:tcMar>
              <w:top w:type="dxa" w:w="75"/>
              <w:left w:type="dxa" w:w="120"/>
              <w:bottom w:type="dxa" w:w="75"/>
              <w:right w:type="dxa" w:w="120"/>
            </w:tcMar>
          </w:tcPr>
          <w:p>
            <w:r>
              <w:rPr>
                <w:rFonts w:ascii="Arial" w:cs="Arial" w:eastAsia="Arial" w:hAnsi="Arial"/>
                <w:b/>
                <w:bCs/>
                <w:color w:val="8C3A1A"/>
                <w:sz w:val="19"/>
                <w:szCs w:val="19"/>
              </w:rPr>
              <w:t xml:space="preserve">Zones</w:t>
            </w:r>
          </w:p>
        </w:tc>
        <w:tc>
          <w:tcPr>
            <w:tcW w:type="dxa" w:w="7360"/>
            <w:tcBorders>
              <w:top w:val="single" w:color="8C3A1A" w:sz="1"/>
              <w:left w:val="single" w:color="8C3A1A" w:sz="1"/>
              <w:bottom w:val="single" w:color="8C3A1A" w:sz="1"/>
              <w:right w:val="single" w:color="8C3A1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Zones 4–9; grows best in cool mountain climates</w:t>
            </w:r>
          </w:p>
        </w:tc>
      </w:tr>
      <w:tr>
        <w:tc>
          <w:tcPr>
            <w:tcW w:type="dxa" w:w="2000"/>
            <w:tcBorders>
              <w:top w:val="single" w:color="8C3A1A" w:sz="1"/>
              <w:left w:val="single" w:color="8C3A1A" w:sz="1"/>
              <w:bottom w:val="single" w:color="8C3A1A" w:sz="1"/>
              <w:right w:val="single" w:color="8C3A1A" w:sz="1"/>
            </w:tcBorders>
            <w:shd w:fill="F5DDD0" w:val="clear"/>
            <w:tcMar>
              <w:top w:type="dxa" w:w="75"/>
              <w:left w:type="dxa" w:w="120"/>
              <w:bottom w:type="dxa" w:w="75"/>
              <w:right w:type="dxa" w:w="120"/>
            </w:tcMar>
          </w:tcPr>
          <w:p>
            <w:r>
              <w:rPr>
                <w:rFonts w:ascii="Arial" w:cs="Arial" w:eastAsia="Arial" w:hAnsi="Arial"/>
                <w:b/>
                <w:bCs/>
                <w:color w:val="8C3A1A"/>
                <w:sz w:val="19"/>
                <w:szCs w:val="19"/>
              </w:rPr>
              <w:t xml:space="preserve">Medicinal use</w:t>
            </w:r>
          </w:p>
        </w:tc>
        <w:tc>
          <w:tcPr>
            <w:tcW w:type="dxa" w:w="7360"/>
            <w:tcBorders>
              <w:top w:val="single" w:color="8C3A1A" w:sz="1"/>
              <w:left w:val="single" w:color="8C3A1A" w:sz="1"/>
              <w:bottom w:val="single" w:color="8C3A1A" w:sz="1"/>
              <w:right w:val="single" w:color="8C3A1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The classic topical herb for bruises, muscle pain, sprains, and joint pain. Well-documented anti-inflammatory activity (sesquiterpene lactones, particularly helenalin); clinically validated for: post-surgical bruising and swelling; osteoarthritis pain (topical gel comparable to ibuprofen gel in clinical trials); muscle soreness after exercise; bruise healing acceleration. STRICTLY FOR EXTERNAL USE in most preparations — internal use at medicinal doses is toxic.</w:t>
            </w:r>
          </w:p>
        </w:tc>
      </w:tr>
      <w:tr>
        <w:tc>
          <w:tcPr>
            <w:tcW w:type="dxa" w:w="2000"/>
            <w:tcBorders>
              <w:top w:val="single" w:color="8C3A1A" w:sz="1"/>
              <w:left w:val="single" w:color="8C3A1A" w:sz="1"/>
              <w:bottom w:val="single" w:color="8C3A1A" w:sz="1"/>
              <w:right w:val="single" w:color="8C3A1A" w:sz="1"/>
            </w:tcBorders>
            <w:shd w:fill="EEEEEE" w:val="clear"/>
            <w:tcMar>
              <w:top w:type="dxa" w:w="75"/>
              <w:left w:type="dxa" w:w="120"/>
              <w:bottom w:type="dxa" w:w="75"/>
              <w:right w:type="dxa" w:w="120"/>
            </w:tcMar>
          </w:tcPr>
          <w:p>
            <w:r>
              <w:rPr>
                <w:rFonts w:ascii="Arial" w:cs="Arial" w:eastAsia="Arial" w:hAnsi="Arial"/>
                <w:b/>
                <w:bCs/>
                <w:color w:val="8C3A1A"/>
                <w:sz w:val="19"/>
                <w:szCs w:val="19"/>
              </w:rPr>
              <w:t xml:space="preserve">Preparation</w:t>
            </w:r>
          </w:p>
        </w:tc>
        <w:tc>
          <w:tcPr>
            <w:tcW w:type="dxa" w:w="7360"/>
            <w:tcBorders>
              <w:top w:val="single" w:color="8C3A1A" w:sz="1"/>
              <w:left w:val="single" w:color="8C3A1A" w:sz="1"/>
              <w:bottom w:val="single" w:color="8C3A1A" w:sz="1"/>
              <w:right w:val="single" w:color="8C3A1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Infused oil: fresh flowers (wilted 24 hours) or dried flowers in olive oil; cold-infused 4–6 weeks; apply to bruises, sprains, and muscle pain. Arnica salve from infused oil + beeswax — convenient application. Tincture for topical use: 1:10 in 70% alcohol (diluted further to 1:10 in water for skin application as a compress or wash). Commercial arnica gel (standardized to 50g arnica tincture D1 per 100g) validated in clinical trials. Homeopathic arnica pellets (different mechanism and dose from herbal arnica).</w:t>
            </w:r>
          </w:p>
        </w:tc>
      </w:tr>
      <w:tr>
        <w:tc>
          <w:tcPr>
            <w:tcW w:type="dxa" w:w="2000"/>
            <w:tcBorders>
              <w:top w:val="single" w:color="8C3A1A" w:sz="1"/>
              <w:left w:val="single" w:color="8C3A1A" w:sz="1"/>
              <w:bottom w:val="single" w:color="8C3A1A" w:sz="1"/>
              <w:right w:val="single" w:color="8C3A1A" w:sz="1"/>
            </w:tcBorders>
            <w:shd w:fill="F5DDD0" w:val="clear"/>
            <w:tcMar>
              <w:top w:type="dxa" w:w="75"/>
              <w:left w:type="dxa" w:w="120"/>
              <w:bottom w:type="dxa" w:w="75"/>
              <w:right w:type="dxa" w:w="120"/>
            </w:tcMar>
          </w:tcPr>
          <w:p>
            <w:r>
              <w:rPr>
                <w:rFonts w:ascii="Arial" w:cs="Arial" w:eastAsia="Arial" w:hAnsi="Arial"/>
                <w:b/>
                <w:bCs/>
                <w:color w:val="8C3A1A"/>
                <w:sz w:val="19"/>
                <w:szCs w:val="19"/>
              </w:rPr>
              <w:t xml:space="preserve">Evidence base</w:t>
            </w:r>
          </w:p>
        </w:tc>
        <w:tc>
          <w:tcPr>
            <w:tcW w:type="dxa" w:w="7360"/>
            <w:tcBorders>
              <w:top w:val="single" w:color="8C3A1A" w:sz="1"/>
              <w:left w:val="single" w:color="8C3A1A" w:sz="1"/>
              <w:bottom w:val="single" w:color="8C3A1A" w:sz="1"/>
              <w:right w:val="single" w:color="8C3A1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Multiple positive clinical trials for osteoarthritis pain (topical); positive trials for post-surgical bruising; anti-inflammatory mechanisms well-documented.</w:t>
            </w:r>
          </w:p>
        </w:tc>
      </w:tr>
      <w:tr>
        <w:tc>
          <w:tcPr>
            <w:tcW w:type="dxa" w:w="2000"/>
            <w:tcBorders>
              <w:top w:val="single" w:color="8C3A1A" w:sz="1"/>
              <w:left w:val="single" w:color="8C3A1A" w:sz="1"/>
              <w:bottom w:val="single" w:color="8C3A1A" w:sz="1"/>
              <w:right w:val="single" w:color="8C3A1A" w:sz="1"/>
            </w:tcBorders>
            <w:shd w:fill="EEEEEE" w:val="clear"/>
            <w:tcMar>
              <w:top w:type="dxa" w:w="75"/>
              <w:left w:type="dxa" w:w="120"/>
              <w:bottom w:type="dxa" w:w="75"/>
              <w:right w:type="dxa" w:w="120"/>
            </w:tcMar>
          </w:tcPr>
          <w:p>
            <w:r>
              <w:rPr>
                <w:rFonts w:ascii="Arial" w:cs="Arial" w:eastAsia="Arial" w:hAnsi="Arial"/>
                <w:b/>
                <w:bCs/>
                <w:color w:val="8C3A1A"/>
                <w:sz w:val="19"/>
                <w:szCs w:val="19"/>
              </w:rPr>
              <w:t xml:space="preserve">Safety</w:t>
            </w:r>
          </w:p>
        </w:tc>
        <w:tc>
          <w:tcPr>
            <w:tcW w:type="dxa" w:w="7360"/>
            <w:tcBorders>
              <w:top w:val="single" w:color="8C3A1A" w:sz="1"/>
              <w:left w:val="single" w:color="8C3A1A" w:sz="1"/>
              <w:bottom w:val="single" w:color="8C3A1A" w:sz="1"/>
              <w:right w:val="single" w:color="8C3A1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FOR EXTERNAL USE ONLY in herbal preparations at normal concentrations. Internal use at medicinal doses: toxic — causes gastroenteritis, arrhythmia, cardiovascular collapse in significant doses. DO NOT take arnica tincture or herbal preparations internally. Do not apply to broken skin or open wounds (concentrate the toxic compounds into circulation). Asteraceae allergy: avoid if allergic to ragweed, chamomile, etc. Contact dermatitis possible with repeated application.</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6010" w:sz="2"/>
              <w:left w:val="single" w:color="8C6010" w:sz="2"/>
              <w:bottom w:val="single" w:color="8C6010" w:sz="2"/>
              <w:right w:val="single" w:color="8C6010" w:sz="2"/>
            </w:tcBorders>
            <w:shd w:fill="8C6010"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Turmeric</w:t>
            </w:r>
          </w:p>
          <w:p>
            <w:pPr>
              <w:spacing w:before="0" w:after="0"/>
            </w:pPr>
            <w:r>
              <w:rPr>
                <w:rFonts w:ascii="Arial" w:cs="Arial" w:eastAsia="Arial" w:hAnsi="Arial"/>
                <w:i/>
                <w:iCs/>
                <w:color w:val="EEEEEE"/>
                <w:sz w:val="20"/>
                <w:szCs w:val="20"/>
              </w:rPr>
              <w:t xml:space="preserve">Curcuma longa</w:t>
            </w:r>
          </w:p>
        </w:tc>
      </w:tr>
      <w:tr>
        <w:tc>
          <w:tcPr>
            <w:tcW w:type="dxa" w:w="2000"/>
            <w:tcBorders>
              <w:top w:val="single" w:color="8C6010" w:sz="1"/>
              <w:left w:val="single" w:color="8C6010" w:sz="1"/>
              <w:bottom w:val="single" w:color="8C6010" w:sz="1"/>
              <w:right w:val="single" w:color="8C6010" w:sz="1"/>
            </w:tcBorders>
            <w:shd w:fill="F5E8C8" w:val="clear"/>
            <w:tcMar>
              <w:top w:type="dxa" w:w="75"/>
              <w:left w:type="dxa" w:w="120"/>
              <w:bottom w:type="dxa" w:w="75"/>
              <w:right w:type="dxa" w:w="120"/>
            </w:tcMar>
          </w:tcPr>
          <w:p>
            <w:r>
              <w:rPr>
                <w:rFonts w:ascii="Arial" w:cs="Arial" w:eastAsia="Arial" w:hAnsi="Arial"/>
                <w:b/>
                <w:bCs/>
                <w:color w:val="8C6010"/>
                <w:sz w:val="19"/>
                <w:szCs w:val="19"/>
              </w:rPr>
              <w:t xml:space="preserve">Family</w:t>
            </w:r>
          </w:p>
        </w:tc>
        <w:tc>
          <w:tcPr>
            <w:tcW w:type="dxa" w:w="7360"/>
            <w:tcBorders>
              <w:top w:val="single" w:color="8C6010" w:sz="1"/>
              <w:left w:val="single" w:color="8C6010" w:sz="1"/>
              <w:bottom w:val="single" w:color="8C6010" w:sz="1"/>
              <w:right w:val="single" w:color="8C601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Zingiberaceae</w:t>
            </w:r>
          </w:p>
        </w:tc>
      </w:tr>
      <w:tr>
        <w:tc>
          <w:tcPr>
            <w:tcW w:type="dxa" w:w="2000"/>
            <w:tcBorders>
              <w:top w:val="single" w:color="8C6010" w:sz="1"/>
              <w:left w:val="single" w:color="8C6010" w:sz="1"/>
              <w:bottom w:val="single" w:color="8C6010" w:sz="1"/>
              <w:right w:val="single" w:color="8C6010" w:sz="1"/>
            </w:tcBorders>
            <w:shd w:fill="EEEEEE" w:val="clear"/>
            <w:tcMar>
              <w:top w:type="dxa" w:w="75"/>
              <w:left w:type="dxa" w:w="120"/>
              <w:bottom w:type="dxa" w:w="75"/>
              <w:right w:type="dxa" w:w="120"/>
            </w:tcMar>
          </w:tcPr>
          <w:p>
            <w:r>
              <w:rPr>
                <w:rFonts w:ascii="Arial" w:cs="Arial" w:eastAsia="Arial" w:hAnsi="Arial"/>
                <w:b/>
                <w:bCs/>
                <w:color w:val="8C6010"/>
                <w:sz w:val="19"/>
                <w:szCs w:val="19"/>
              </w:rPr>
              <w:t xml:space="preserve">Parts used</w:t>
            </w:r>
          </w:p>
        </w:tc>
        <w:tc>
          <w:tcPr>
            <w:tcW w:type="dxa" w:w="7360"/>
            <w:tcBorders>
              <w:top w:val="single" w:color="8C6010" w:sz="1"/>
              <w:left w:val="single" w:color="8C6010" w:sz="1"/>
              <w:bottom w:val="single" w:color="8C6010" w:sz="1"/>
              <w:right w:val="single" w:color="8C601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Rhizome — fresh or dried and ground to powder; fresh rhizome has different compound profile (more curcumin; more volatile oils) from dried</w:t>
            </w:r>
          </w:p>
        </w:tc>
      </w:tr>
      <w:tr>
        <w:tc>
          <w:tcPr>
            <w:tcW w:type="dxa" w:w="2000"/>
            <w:tcBorders>
              <w:top w:val="single" w:color="8C6010" w:sz="1"/>
              <w:left w:val="single" w:color="8C6010" w:sz="1"/>
              <w:bottom w:val="single" w:color="8C6010" w:sz="1"/>
              <w:right w:val="single" w:color="8C6010" w:sz="1"/>
            </w:tcBorders>
            <w:shd w:fill="F5E8C8" w:val="clear"/>
            <w:tcMar>
              <w:top w:type="dxa" w:w="75"/>
              <w:left w:type="dxa" w:w="120"/>
              <w:bottom w:type="dxa" w:w="75"/>
              <w:right w:type="dxa" w:w="120"/>
            </w:tcMar>
          </w:tcPr>
          <w:p>
            <w:r>
              <w:rPr>
                <w:rFonts w:ascii="Arial" w:cs="Arial" w:eastAsia="Arial" w:hAnsi="Arial"/>
                <w:b/>
                <w:bCs/>
                <w:color w:val="8C6010"/>
                <w:sz w:val="19"/>
                <w:szCs w:val="19"/>
              </w:rPr>
              <w:t xml:space="preserve">Growing</w:t>
            </w:r>
          </w:p>
        </w:tc>
        <w:tc>
          <w:tcPr>
            <w:tcW w:type="dxa" w:w="7360"/>
            <w:tcBorders>
              <w:top w:val="single" w:color="8C6010" w:sz="1"/>
              <w:left w:val="single" w:color="8C6010" w:sz="1"/>
              <w:bottom w:val="single" w:color="8C6010" w:sz="1"/>
              <w:right w:val="single" w:color="8C601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Tropical rhizome crop; perennial in Zones 8–11; grown as annual in colder climates — start indoors 4–6 weeks before last frost; plant out when soil is 65°F+; dig before first frost and store the rhizomes over winter. Needs: rich, consistently moist soil; partial shade (tolerates full shade); warm temperatures. Can be remarkably productive in warm climates — ornamental foliage and flowers (in Zones 9+). Store excess rhizomes dry at 55–60°F over winter.</w:t>
            </w:r>
          </w:p>
        </w:tc>
      </w:tr>
      <w:tr>
        <w:tc>
          <w:tcPr>
            <w:tcW w:type="dxa" w:w="2000"/>
            <w:tcBorders>
              <w:top w:val="single" w:color="8C6010" w:sz="1"/>
              <w:left w:val="single" w:color="8C6010" w:sz="1"/>
              <w:bottom w:val="single" w:color="8C6010" w:sz="1"/>
              <w:right w:val="single" w:color="8C6010" w:sz="1"/>
            </w:tcBorders>
            <w:shd w:fill="EEEEEE" w:val="clear"/>
            <w:tcMar>
              <w:top w:type="dxa" w:w="75"/>
              <w:left w:type="dxa" w:w="120"/>
              <w:bottom w:type="dxa" w:w="75"/>
              <w:right w:type="dxa" w:w="120"/>
            </w:tcMar>
          </w:tcPr>
          <w:p>
            <w:r>
              <w:rPr>
                <w:rFonts w:ascii="Arial" w:cs="Arial" w:eastAsia="Arial" w:hAnsi="Arial"/>
                <w:b/>
                <w:bCs/>
                <w:color w:val="8C6010"/>
                <w:sz w:val="19"/>
                <w:szCs w:val="19"/>
              </w:rPr>
              <w:t xml:space="preserve">Zones</w:t>
            </w:r>
          </w:p>
        </w:tc>
        <w:tc>
          <w:tcPr>
            <w:tcW w:type="dxa" w:w="7360"/>
            <w:tcBorders>
              <w:top w:val="single" w:color="8C6010" w:sz="1"/>
              <w:left w:val="single" w:color="8C6010" w:sz="1"/>
              <w:bottom w:val="single" w:color="8C6010" w:sz="1"/>
              <w:right w:val="single" w:color="8C601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Annual throughout U.S.; perennial in Zones 8–11</w:t>
            </w:r>
          </w:p>
        </w:tc>
      </w:tr>
      <w:tr>
        <w:tc>
          <w:tcPr>
            <w:tcW w:type="dxa" w:w="2000"/>
            <w:tcBorders>
              <w:top w:val="single" w:color="8C6010" w:sz="1"/>
              <w:left w:val="single" w:color="8C6010" w:sz="1"/>
              <w:bottom w:val="single" w:color="8C6010" w:sz="1"/>
              <w:right w:val="single" w:color="8C6010" w:sz="1"/>
            </w:tcBorders>
            <w:shd w:fill="F5E8C8" w:val="clear"/>
            <w:tcMar>
              <w:top w:type="dxa" w:w="75"/>
              <w:left w:type="dxa" w:w="120"/>
              <w:bottom w:type="dxa" w:w="75"/>
              <w:right w:type="dxa" w:w="120"/>
            </w:tcMar>
          </w:tcPr>
          <w:p>
            <w:r>
              <w:rPr>
                <w:rFonts w:ascii="Arial" w:cs="Arial" w:eastAsia="Arial" w:hAnsi="Arial"/>
                <w:b/>
                <w:bCs/>
                <w:color w:val="8C6010"/>
                <w:sz w:val="19"/>
                <w:szCs w:val="19"/>
              </w:rPr>
              <w:t xml:space="preserve">Medicinal use</w:t>
            </w:r>
          </w:p>
        </w:tc>
        <w:tc>
          <w:tcPr>
            <w:tcW w:type="dxa" w:w="7360"/>
            <w:tcBorders>
              <w:top w:val="single" w:color="8C6010" w:sz="1"/>
              <w:left w:val="single" w:color="8C6010" w:sz="1"/>
              <w:bottom w:val="single" w:color="8C6010" w:sz="1"/>
              <w:right w:val="single" w:color="8C601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One of the most researched anti-inflammatory natural compounds. Curcumin (the primary polyphenol) has documented effects on dozens of inflammatory pathways — NF-κB, COX-2, LOX, and many others. Clinical evidence for: osteoarthritis pain (comparable to ibuprofen in some trials); IBD (inflammatory bowel disease) — adjunct support; metabolic syndrome; cancer prevention research (extensive but not definitive for clinical application). Bioavailability challenge: curcumin is poorly absorbed from the gut — always combine with black pepper (piperine, which increases absorption 2000%) or use phospholipid-complexed formulations.</w:t>
            </w:r>
          </w:p>
        </w:tc>
      </w:tr>
      <w:tr>
        <w:tc>
          <w:tcPr>
            <w:tcW w:type="dxa" w:w="2000"/>
            <w:tcBorders>
              <w:top w:val="single" w:color="8C6010" w:sz="1"/>
              <w:left w:val="single" w:color="8C6010" w:sz="1"/>
              <w:bottom w:val="single" w:color="8C6010" w:sz="1"/>
              <w:right w:val="single" w:color="8C6010" w:sz="1"/>
            </w:tcBorders>
            <w:shd w:fill="EEEEEE" w:val="clear"/>
            <w:tcMar>
              <w:top w:type="dxa" w:w="75"/>
              <w:left w:type="dxa" w:w="120"/>
              <w:bottom w:type="dxa" w:w="75"/>
              <w:right w:type="dxa" w:w="120"/>
            </w:tcMar>
          </w:tcPr>
          <w:p>
            <w:r>
              <w:rPr>
                <w:rFonts w:ascii="Arial" w:cs="Arial" w:eastAsia="Arial" w:hAnsi="Arial"/>
                <w:b/>
                <w:bCs/>
                <w:color w:val="8C6010"/>
                <w:sz w:val="19"/>
                <w:szCs w:val="19"/>
              </w:rPr>
              <w:t xml:space="preserve">Preparation</w:t>
            </w:r>
          </w:p>
        </w:tc>
        <w:tc>
          <w:tcPr>
            <w:tcW w:type="dxa" w:w="7360"/>
            <w:tcBorders>
              <w:top w:val="single" w:color="8C6010" w:sz="1"/>
              <w:left w:val="single" w:color="8C6010" w:sz="1"/>
              <w:bottom w:val="single" w:color="8C6010" w:sz="1"/>
              <w:right w:val="single" w:color="8C601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Golden milk: 1 teaspoon turmeric + 1/4 teaspoon black pepper + honey + warm milk or plant milk — the traditional Ayurvedic daily preparation; effective delivery. Capsules of curcumin with piperine: 500–1000mg standardized curcumin complex 2–3x daily with food and black pepper. Tincture: 1:5 fresh rhizome in 60% alcohol; 3–5 ml daily. Fresh rhizome in cooking: far more pleasant than capsules; less concentrated but still valuable; cook with fat (curcumin is fat-soluble and fat enhances absorption).</w:t>
            </w:r>
          </w:p>
        </w:tc>
      </w:tr>
      <w:tr>
        <w:tc>
          <w:tcPr>
            <w:tcW w:type="dxa" w:w="2000"/>
            <w:tcBorders>
              <w:top w:val="single" w:color="8C6010" w:sz="1"/>
              <w:left w:val="single" w:color="8C6010" w:sz="1"/>
              <w:bottom w:val="single" w:color="8C6010" w:sz="1"/>
              <w:right w:val="single" w:color="8C6010" w:sz="1"/>
            </w:tcBorders>
            <w:shd w:fill="F5E8C8" w:val="clear"/>
            <w:tcMar>
              <w:top w:type="dxa" w:w="75"/>
              <w:left w:type="dxa" w:w="120"/>
              <w:bottom w:type="dxa" w:w="75"/>
              <w:right w:type="dxa" w:w="120"/>
            </w:tcMar>
          </w:tcPr>
          <w:p>
            <w:r>
              <w:rPr>
                <w:rFonts w:ascii="Arial" w:cs="Arial" w:eastAsia="Arial" w:hAnsi="Arial"/>
                <w:b/>
                <w:bCs/>
                <w:color w:val="8C6010"/>
                <w:sz w:val="19"/>
                <w:szCs w:val="19"/>
              </w:rPr>
              <w:t xml:space="preserve">Evidence base</w:t>
            </w:r>
          </w:p>
        </w:tc>
        <w:tc>
          <w:tcPr>
            <w:tcW w:type="dxa" w:w="7360"/>
            <w:tcBorders>
              <w:top w:val="single" w:color="8C6010" w:sz="1"/>
              <w:left w:val="single" w:color="8C6010" w:sz="1"/>
              <w:bottom w:val="single" w:color="8C6010" w:sz="1"/>
              <w:right w:val="single" w:color="8C601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Extensive preclinical evidence; multiple positive clinical trials for arthritis and IBD; bioavailability research continues to improve preparations; one of the most published natural compounds in medical literature; results vary with preparation and bioavailability.</w:t>
            </w:r>
          </w:p>
        </w:tc>
      </w:tr>
      <w:tr>
        <w:tc>
          <w:tcPr>
            <w:tcW w:type="dxa" w:w="2000"/>
            <w:tcBorders>
              <w:top w:val="single" w:color="8C6010" w:sz="1"/>
              <w:left w:val="single" w:color="8C6010" w:sz="1"/>
              <w:bottom w:val="single" w:color="8C6010" w:sz="1"/>
              <w:right w:val="single" w:color="8C6010" w:sz="1"/>
            </w:tcBorders>
            <w:shd w:fill="EEEEEE" w:val="clear"/>
            <w:tcMar>
              <w:top w:type="dxa" w:w="75"/>
              <w:left w:type="dxa" w:w="120"/>
              <w:bottom w:type="dxa" w:w="75"/>
              <w:right w:type="dxa" w:w="120"/>
            </w:tcMar>
          </w:tcPr>
          <w:p>
            <w:r>
              <w:rPr>
                <w:rFonts w:ascii="Arial" w:cs="Arial" w:eastAsia="Arial" w:hAnsi="Arial"/>
                <w:b/>
                <w:bCs/>
                <w:color w:val="8C6010"/>
                <w:sz w:val="19"/>
                <w:szCs w:val="19"/>
              </w:rPr>
              <w:t xml:space="preserve">Safety</w:t>
            </w:r>
          </w:p>
        </w:tc>
        <w:tc>
          <w:tcPr>
            <w:tcW w:type="dxa" w:w="7360"/>
            <w:tcBorders>
              <w:top w:val="single" w:color="8C6010" w:sz="1"/>
              <w:left w:val="single" w:color="8C6010" w:sz="1"/>
              <w:bottom w:val="single" w:color="8C6010" w:sz="1"/>
              <w:right w:val="single" w:color="8C601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Very safe at culinary and moderate supplemental doses. Gallstones: curcumin stimulates bile flow — caution with existing gallstones (may trigger colic). Anticoagulant: at high doses, modest antiplatelet activity — caution with warfarin and antiplatelet drugs; stop supplements 2 weeks before surgery. GI: high doses can cause loose stools, nausea. Drug interactions: may affect hepatic drug metabolism (CYP enzymes). Pregnancy: culinary amounts safe; medicinal supplemental doses should be cleared with physician.</w:t>
            </w:r>
          </w:p>
        </w:tc>
      </w:tr>
    </w:tbl>
    <w:p>
      <w:pPr>
        <w:spacing w:before="160" w:after="0"/>
      </w:pPr>
      <w:r>
        <w:t xml:space="preserve"/>
      </w:r>
    </w:p>
    <w:p>
      <w:pPr>
        <w:pStyle w:val="Heading2"/>
        <w:spacing w:before="260" w:after="100"/>
      </w:pPr>
      <w:r>
        <w:rPr>
          <w:rFonts w:ascii="Arial" w:cs="Arial" w:eastAsia="Arial" w:hAnsi="Arial"/>
          <w:b/>
          <w:bCs/>
          <w:color w:val="1A6060"/>
          <w:sz w:val="28"/>
          <w:szCs w:val="28"/>
        </w:rPr>
        <w:t xml:space="preserve">Respiratory Herbs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A5068" w:sz="2"/>
              <w:left w:val="single" w:color="3A5068" w:sz="2"/>
              <w:bottom w:val="single" w:color="3A5068" w:sz="2"/>
              <w:right w:val="single" w:color="3A5068" w:sz="2"/>
            </w:tcBorders>
            <w:shd w:fill="3A5068"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Mullein</w:t>
            </w:r>
          </w:p>
          <w:p>
            <w:pPr>
              <w:spacing w:before="0" w:after="0"/>
            </w:pPr>
            <w:r>
              <w:rPr>
                <w:rFonts w:ascii="Arial" w:cs="Arial" w:eastAsia="Arial" w:hAnsi="Arial"/>
                <w:i/>
                <w:iCs/>
                <w:color w:val="EEEEEE"/>
                <w:sz w:val="20"/>
                <w:szCs w:val="20"/>
              </w:rPr>
              <w:t xml:space="preserve">Verbascum thapsus</w:t>
            </w:r>
          </w:p>
        </w:tc>
      </w:tr>
      <w:tr>
        <w:tc>
          <w:tcPr>
            <w:tcW w:type="dxa" w:w="2000"/>
            <w:tcBorders>
              <w:top w:val="single" w:color="3A5068" w:sz="1"/>
              <w:left w:val="single" w:color="3A5068" w:sz="1"/>
              <w:bottom w:val="single" w:color="3A5068" w:sz="1"/>
              <w:right w:val="single" w:color="3A5068" w:sz="1"/>
            </w:tcBorders>
            <w:shd w:fill="D5E5EF" w:val="clear"/>
            <w:tcMar>
              <w:top w:type="dxa" w:w="75"/>
              <w:left w:type="dxa" w:w="120"/>
              <w:bottom w:type="dxa" w:w="75"/>
              <w:right w:type="dxa" w:w="120"/>
            </w:tcMar>
          </w:tcPr>
          <w:p>
            <w:r>
              <w:rPr>
                <w:rFonts w:ascii="Arial" w:cs="Arial" w:eastAsia="Arial" w:hAnsi="Arial"/>
                <w:b/>
                <w:bCs/>
                <w:color w:val="3A5068"/>
                <w:sz w:val="19"/>
                <w:szCs w:val="19"/>
              </w:rPr>
              <w:t xml:space="preserve">Family</w:t>
            </w:r>
          </w:p>
        </w:tc>
        <w:tc>
          <w:tcPr>
            <w:tcW w:type="dxa" w:w="7360"/>
            <w:tcBorders>
              <w:top w:val="single" w:color="3A5068" w:sz="1"/>
              <w:left w:val="single" w:color="3A5068" w:sz="1"/>
              <w:bottom w:val="single" w:color="3A5068" w:sz="1"/>
              <w:right w:val="single" w:color="3A5068"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Scrophulariaceae</w:t>
            </w:r>
          </w:p>
        </w:tc>
      </w:tr>
      <w:tr>
        <w:tc>
          <w:tcPr>
            <w:tcW w:type="dxa" w:w="2000"/>
            <w:tcBorders>
              <w:top w:val="single" w:color="3A5068" w:sz="1"/>
              <w:left w:val="single" w:color="3A5068" w:sz="1"/>
              <w:bottom w:val="single" w:color="3A5068" w:sz="1"/>
              <w:right w:val="single" w:color="3A5068" w:sz="1"/>
            </w:tcBorders>
            <w:shd w:fill="EEEEEE" w:val="clear"/>
            <w:tcMar>
              <w:top w:type="dxa" w:w="75"/>
              <w:left w:type="dxa" w:w="120"/>
              <w:bottom w:type="dxa" w:w="75"/>
              <w:right w:type="dxa" w:w="120"/>
            </w:tcMar>
          </w:tcPr>
          <w:p>
            <w:r>
              <w:rPr>
                <w:rFonts w:ascii="Arial" w:cs="Arial" w:eastAsia="Arial" w:hAnsi="Arial"/>
                <w:b/>
                <w:bCs/>
                <w:color w:val="3A5068"/>
                <w:sz w:val="19"/>
                <w:szCs w:val="19"/>
              </w:rPr>
              <w:t xml:space="preserve">Parts used</w:t>
            </w:r>
          </w:p>
        </w:tc>
        <w:tc>
          <w:tcPr>
            <w:tcW w:type="dxa" w:w="7360"/>
            <w:tcBorders>
              <w:top w:val="single" w:color="3A5068" w:sz="1"/>
              <w:left w:val="single" w:color="3A5068" w:sz="1"/>
              <w:bottom w:val="single" w:color="3A5068" w:sz="1"/>
              <w:right w:val="single" w:color="3A5068"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Leaves (first year rosette); flowers; occasionally roots</w:t>
            </w:r>
          </w:p>
        </w:tc>
      </w:tr>
      <w:tr>
        <w:tc>
          <w:tcPr>
            <w:tcW w:type="dxa" w:w="2000"/>
            <w:tcBorders>
              <w:top w:val="single" w:color="3A5068" w:sz="1"/>
              <w:left w:val="single" w:color="3A5068" w:sz="1"/>
              <w:bottom w:val="single" w:color="3A5068" w:sz="1"/>
              <w:right w:val="single" w:color="3A5068" w:sz="1"/>
            </w:tcBorders>
            <w:shd w:fill="D5E5EF" w:val="clear"/>
            <w:tcMar>
              <w:top w:type="dxa" w:w="75"/>
              <w:left w:type="dxa" w:w="120"/>
              <w:bottom w:type="dxa" w:w="75"/>
              <w:right w:type="dxa" w:w="120"/>
            </w:tcMar>
          </w:tcPr>
          <w:p>
            <w:r>
              <w:rPr>
                <w:rFonts w:ascii="Arial" w:cs="Arial" w:eastAsia="Arial" w:hAnsi="Arial"/>
                <w:b/>
                <w:bCs/>
                <w:color w:val="3A5068"/>
                <w:sz w:val="19"/>
                <w:szCs w:val="19"/>
              </w:rPr>
              <w:t xml:space="preserve">Growing</w:t>
            </w:r>
          </w:p>
        </w:tc>
        <w:tc>
          <w:tcPr>
            <w:tcW w:type="dxa" w:w="7360"/>
            <w:tcBorders>
              <w:top w:val="single" w:color="3A5068" w:sz="1"/>
              <w:left w:val="single" w:color="3A5068" w:sz="1"/>
              <w:bottom w:val="single" w:color="3A5068" w:sz="1"/>
              <w:right w:val="single" w:color="3A5068"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Biennial "weed" native to Eurasia; naturalized throughout North America. Year 1: large velvety rosette of soft, silver-green leaves close to the ground. Year 2: dramatic 6–8 foot flowering stalk covered in yellow flowers. Full sun; well-drained to dry soil; tolerates poor soil and drought; self-seeds prolifically. Likely already growing in disturbed ground near you — it inhabits roadsides, old fields, and disturbed edges throughout the U.S. Check your local area before cultivating.</w:t>
            </w:r>
          </w:p>
        </w:tc>
      </w:tr>
      <w:tr>
        <w:tc>
          <w:tcPr>
            <w:tcW w:type="dxa" w:w="2000"/>
            <w:tcBorders>
              <w:top w:val="single" w:color="3A5068" w:sz="1"/>
              <w:left w:val="single" w:color="3A5068" w:sz="1"/>
              <w:bottom w:val="single" w:color="3A5068" w:sz="1"/>
              <w:right w:val="single" w:color="3A5068" w:sz="1"/>
            </w:tcBorders>
            <w:shd w:fill="EEEEEE" w:val="clear"/>
            <w:tcMar>
              <w:top w:type="dxa" w:w="75"/>
              <w:left w:type="dxa" w:w="120"/>
              <w:bottom w:type="dxa" w:w="75"/>
              <w:right w:type="dxa" w:w="120"/>
            </w:tcMar>
          </w:tcPr>
          <w:p>
            <w:r>
              <w:rPr>
                <w:rFonts w:ascii="Arial" w:cs="Arial" w:eastAsia="Arial" w:hAnsi="Arial"/>
                <w:b/>
                <w:bCs/>
                <w:color w:val="3A5068"/>
                <w:sz w:val="19"/>
                <w:szCs w:val="19"/>
              </w:rPr>
              <w:t xml:space="preserve">Zones</w:t>
            </w:r>
          </w:p>
        </w:tc>
        <w:tc>
          <w:tcPr>
            <w:tcW w:type="dxa" w:w="7360"/>
            <w:tcBorders>
              <w:top w:val="single" w:color="3A5068" w:sz="1"/>
              <w:left w:val="single" w:color="3A5068" w:sz="1"/>
              <w:bottom w:val="single" w:color="3A5068" w:sz="1"/>
              <w:right w:val="single" w:color="3A5068"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All zones; found virtually throughout the continental U.S.</w:t>
            </w:r>
          </w:p>
        </w:tc>
      </w:tr>
      <w:tr>
        <w:tc>
          <w:tcPr>
            <w:tcW w:type="dxa" w:w="2000"/>
            <w:tcBorders>
              <w:top w:val="single" w:color="3A5068" w:sz="1"/>
              <w:left w:val="single" w:color="3A5068" w:sz="1"/>
              <w:bottom w:val="single" w:color="3A5068" w:sz="1"/>
              <w:right w:val="single" w:color="3A5068" w:sz="1"/>
            </w:tcBorders>
            <w:shd w:fill="D5E5EF" w:val="clear"/>
            <w:tcMar>
              <w:top w:type="dxa" w:w="75"/>
              <w:left w:type="dxa" w:w="120"/>
              <w:bottom w:type="dxa" w:w="75"/>
              <w:right w:type="dxa" w:w="120"/>
            </w:tcMar>
          </w:tcPr>
          <w:p>
            <w:r>
              <w:rPr>
                <w:rFonts w:ascii="Arial" w:cs="Arial" w:eastAsia="Arial" w:hAnsi="Arial"/>
                <w:b/>
                <w:bCs/>
                <w:color w:val="3A5068"/>
                <w:sz w:val="19"/>
                <w:szCs w:val="19"/>
              </w:rPr>
              <w:t xml:space="preserve">Medicinal use</w:t>
            </w:r>
          </w:p>
        </w:tc>
        <w:tc>
          <w:tcPr>
            <w:tcW w:type="dxa" w:w="7360"/>
            <w:tcBorders>
              <w:top w:val="single" w:color="3A5068" w:sz="1"/>
              <w:left w:val="single" w:color="3A5068" w:sz="1"/>
              <w:bottom w:val="single" w:color="3A5068" w:sz="1"/>
              <w:right w:val="single" w:color="3A5068"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The classic pulmonary herb — specifically for lung and bronchial conditions. The soft leaf hairs (trichomes) contain mucilaginous compounds that coat and soothe inflamed respiratory membranes; expectorant effect loosens phlegm; anti-inflammatory; mild antiviral activity. Used for: chronic bronchitis; dry irritating cough; asthma support (not substitute for rescue inhaler); congestion and phlegm; ear infection (mullein flower oil is a traditional topical ear preparation — soothes inflammation, may inhibit bacterial growth). Smoked medicinally in some traditions — counterintuitive but traditional for asthma.</w:t>
            </w:r>
          </w:p>
        </w:tc>
      </w:tr>
      <w:tr>
        <w:tc>
          <w:tcPr>
            <w:tcW w:type="dxa" w:w="2000"/>
            <w:tcBorders>
              <w:top w:val="single" w:color="3A5068" w:sz="1"/>
              <w:left w:val="single" w:color="3A5068" w:sz="1"/>
              <w:bottom w:val="single" w:color="3A5068" w:sz="1"/>
              <w:right w:val="single" w:color="3A5068" w:sz="1"/>
            </w:tcBorders>
            <w:shd w:fill="EEEEEE" w:val="clear"/>
            <w:tcMar>
              <w:top w:type="dxa" w:w="75"/>
              <w:left w:type="dxa" w:w="120"/>
              <w:bottom w:type="dxa" w:w="75"/>
              <w:right w:type="dxa" w:w="120"/>
            </w:tcMar>
          </w:tcPr>
          <w:p>
            <w:r>
              <w:rPr>
                <w:rFonts w:ascii="Arial" w:cs="Arial" w:eastAsia="Arial" w:hAnsi="Arial"/>
                <w:b/>
                <w:bCs/>
                <w:color w:val="3A5068"/>
                <w:sz w:val="19"/>
                <w:szCs w:val="19"/>
              </w:rPr>
              <w:t xml:space="preserve">Preparation</w:t>
            </w:r>
          </w:p>
        </w:tc>
        <w:tc>
          <w:tcPr>
            <w:tcW w:type="dxa" w:w="7360"/>
            <w:tcBorders>
              <w:top w:val="single" w:color="3A5068" w:sz="1"/>
              <w:left w:val="single" w:color="3A5068" w:sz="1"/>
              <w:bottom w:val="single" w:color="3A5068" w:sz="1"/>
              <w:right w:val="single" w:color="3A5068"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Leaf tea: 1–2 teaspoons dried leaf per cup, steep 10–15 minutes (STRAIN CAREFULLY through fine cloth or coffee filter — the fine leaf hairs cause throat irritation if not completely removed); add honey; drink 3–4 cups daily for acute respiratory conditions. Flower oil: pack fresh mullein flowers loosely in a jar; cover with olive oil; infuse 2–4 weeks; strain; use 2–3 warm drops in ear canal for ear pain (do not use if eardrum may be perforated). Steam inhalation with leaf.</w:t>
            </w:r>
          </w:p>
        </w:tc>
      </w:tr>
      <w:tr>
        <w:tc>
          <w:tcPr>
            <w:tcW w:type="dxa" w:w="2000"/>
            <w:tcBorders>
              <w:top w:val="single" w:color="3A5068" w:sz="1"/>
              <w:left w:val="single" w:color="3A5068" w:sz="1"/>
              <w:bottom w:val="single" w:color="3A5068" w:sz="1"/>
              <w:right w:val="single" w:color="3A5068" w:sz="1"/>
            </w:tcBorders>
            <w:shd w:fill="D5E5EF" w:val="clear"/>
            <w:tcMar>
              <w:top w:type="dxa" w:w="75"/>
              <w:left w:type="dxa" w:w="120"/>
              <w:bottom w:type="dxa" w:w="75"/>
              <w:right w:type="dxa" w:w="120"/>
            </w:tcMar>
          </w:tcPr>
          <w:p>
            <w:r>
              <w:rPr>
                <w:rFonts w:ascii="Arial" w:cs="Arial" w:eastAsia="Arial" w:hAnsi="Arial"/>
                <w:b/>
                <w:bCs/>
                <w:color w:val="3A5068"/>
                <w:sz w:val="19"/>
                <w:szCs w:val="19"/>
              </w:rPr>
              <w:t xml:space="preserve">Evidence base</w:t>
            </w:r>
          </w:p>
        </w:tc>
        <w:tc>
          <w:tcPr>
            <w:tcW w:type="dxa" w:w="7360"/>
            <w:tcBorders>
              <w:top w:val="single" w:color="3A5068" w:sz="1"/>
              <w:left w:val="single" w:color="3A5068" w:sz="1"/>
              <w:bottom w:val="single" w:color="3A5068" w:sz="1"/>
              <w:right w:val="single" w:color="3A5068"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Primarily traditional and in vitro evidence; antiviral activity (against influenza and herpes) documented in laboratory studies; ear oil studies have modest positive evidence; extensive cross-cultural traditional use history.</w:t>
            </w:r>
          </w:p>
        </w:tc>
      </w:tr>
      <w:tr>
        <w:tc>
          <w:tcPr>
            <w:tcW w:type="dxa" w:w="2000"/>
            <w:tcBorders>
              <w:top w:val="single" w:color="3A5068" w:sz="1"/>
              <w:left w:val="single" w:color="3A5068" w:sz="1"/>
              <w:bottom w:val="single" w:color="3A5068" w:sz="1"/>
              <w:right w:val="single" w:color="3A5068" w:sz="1"/>
            </w:tcBorders>
            <w:shd w:fill="EEEEEE" w:val="clear"/>
            <w:tcMar>
              <w:top w:type="dxa" w:w="75"/>
              <w:left w:type="dxa" w:w="120"/>
              <w:bottom w:type="dxa" w:w="75"/>
              <w:right w:type="dxa" w:w="120"/>
            </w:tcMar>
          </w:tcPr>
          <w:p>
            <w:r>
              <w:rPr>
                <w:rFonts w:ascii="Arial" w:cs="Arial" w:eastAsia="Arial" w:hAnsi="Arial"/>
                <w:b/>
                <w:bCs/>
                <w:color w:val="3A5068"/>
                <w:sz w:val="19"/>
                <w:szCs w:val="19"/>
              </w:rPr>
              <w:t xml:space="preserve">Safety</w:t>
            </w:r>
          </w:p>
        </w:tc>
        <w:tc>
          <w:tcPr>
            <w:tcW w:type="dxa" w:w="7360"/>
            <w:tcBorders>
              <w:top w:val="single" w:color="3A5068" w:sz="1"/>
              <w:left w:val="single" w:color="3A5068" w:sz="1"/>
              <w:bottom w:val="single" w:color="3A5068" w:sz="1"/>
              <w:right w:val="single" w:color="3A5068"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Generally very safe. The leaf hairs cause throat and skin irritation if not strained from tea — always strain through a very fine filter. Do not put ear drops in ear if eardrum may be ruptured (any prior perforation history, recent ear infection with discharge) — see a doctor first.</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5A27" w:sz="2"/>
              <w:left w:val="single" w:color="2D5A27" w:sz="2"/>
              <w:bottom w:val="single" w:color="2D5A27" w:sz="2"/>
              <w:right w:val="single" w:color="2D5A27" w:sz="2"/>
            </w:tcBorders>
            <w:shd w:fill="2D5A27"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Oregano</w:t>
            </w:r>
          </w:p>
          <w:p>
            <w:pPr>
              <w:spacing w:before="0" w:after="0"/>
            </w:pPr>
            <w:r>
              <w:rPr>
                <w:rFonts w:ascii="Arial" w:cs="Arial" w:eastAsia="Arial" w:hAnsi="Arial"/>
                <w:i/>
                <w:iCs/>
                <w:color w:val="EEEEEE"/>
                <w:sz w:val="20"/>
                <w:szCs w:val="20"/>
              </w:rPr>
              <w:t xml:space="preserve">Origanum vulgare / O. vulgare subsp. hirtum (Greek oregano)</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Family</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Lamiaceae (Mint family)</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Parts used</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Aerial parts (leaves and flowering tops) — Greek oregano (O. vulgare subsp. hirtum) is the species with high carvacrol and thymol content essential for medicinal use; common garden oregano (O. vulgare) has much lower essential oil content</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Growing</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Perennial in Zones 4–9; easy to grow; full sun; well-drained lean soil; drought-tolerant once established. Greek oregano (the medicinally potent type) is available at specialty herb nurseries; buy specifically labeled varieties. Culinary oregano from the garden may or may not have adequate essential oil content for medicinal use — smell before harvest; it should be intensely aromatic. Harvest before flowering for best essential oil content.</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Zones</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Zones 4–9</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Medicinal use</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High-carvacrol oregano essential oil and concentrated extracts have some of the most potent antimicrobial activity of any plant — laboratory studies show effectiveness against MRSA, Candida, E. coli, Salmonella, and many other pathogens. Used medicinally as: immune support during respiratory infections; anti-Candida preparation (oil of oregano); digestive antimicrobial; antifungal for nail and skin fungal infections (topical).</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Preparation</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Tea: 1–2 teaspoons fresh or dried Greek oregano per cup, steep 10 minutes — antimicrobial, pleasantly flavored. Oil of oregano (commercial product): 150–200mg standardized to 70%+ carvacrol; 1–2 capsules 2–3x daily for immune/antimicrobial support; dilute in carrier oil (olive oil) for topical use. Culinary use: freely use Greek oregano in cooking — cooking in olive oil at moderate temperatures maintains much of the antimicrobial activity.</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Evidence base</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Very strong in vitro antimicrobial evidence; clinical evidence is limited — few human trials; the laboratory activity is genuine but clinical translation requires more research; used empirically with apparent success in integrative medicine.</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Safety</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Culinary amounts: very safe. Oil of oregano: concentrated — do not apply undiluted to skin (causes burns); do not take during pregnancy (uterotonic effects at high doses); caution with blood thinners at high doses; may irritate GI tract — always dilute and take with food. Some individuals have a mild reaction to high carvacrol content.</w:t>
            </w:r>
          </w:p>
        </w:tc>
      </w:tr>
    </w:tbl>
    <w:p>
      <w:pPr>
        <w:spacing w:before="160" w:after="0"/>
      </w:pPr>
      <w:r>
        <w:t xml:space="preserve"/>
      </w:r>
    </w:p>
    <w:p>
      <w:pPr>
        <w:pStyle w:val="Heading2"/>
        <w:spacing w:before="260" w:after="100"/>
      </w:pPr>
      <w:r>
        <w:rPr>
          <w:rFonts w:ascii="Arial" w:cs="Arial" w:eastAsia="Arial" w:hAnsi="Arial"/>
          <w:b/>
          <w:bCs/>
          <w:color w:val="1A6060"/>
          <w:sz w:val="28"/>
          <w:szCs w:val="28"/>
        </w:rPr>
        <w:t xml:space="preserve">Liver and Detoxification Herbs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A2D6B" w:sz="2"/>
              <w:left w:val="single" w:color="5A2D6B" w:sz="2"/>
              <w:bottom w:val="single" w:color="5A2D6B" w:sz="2"/>
              <w:right w:val="single" w:color="5A2D6B" w:sz="2"/>
            </w:tcBorders>
            <w:shd w:fill="5A2D6B"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Milk Thistle</w:t>
            </w:r>
          </w:p>
          <w:p>
            <w:pPr>
              <w:spacing w:before="0" w:after="0"/>
            </w:pPr>
            <w:r>
              <w:rPr>
                <w:rFonts w:ascii="Arial" w:cs="Arial" w:eastAsia="Arial" w:hAnsi="Arial"/>
                <w:i/>
                <w:iCs/>
                <w:color w:val="EEEEEE"/>
                <w:sz w:val="20"/>
                <w:szCs w:val="20"/>
              </w:rPr>
              <w:t xml:space="preserve">Silybum marianum</w:t>
            </w:r>
          </w:p>
        </w:tc>
      </w:tr>
      <w:tr>
        <w:tc>
          <w:tcPr>
            <w:tcW w:type="dxa" w:w="2000"/>
            <w:tcBorders>
              <w:top w:val="single" w:color="5A2D6B" w:sz="1"/>
              <w:left w:val="single" w:color="5A2D6B" w:sz="1"/>
              <w:bottom w:val="single" w:color="5A2D6B" w:sz="1"/>
              <w:right w:val="single" w:color="5A2D6B" w:sz="1"/>
            </w:tcBorders>
            <w:shd w:fill="EDE0F5" w:val="clear"/>
            <w:tcMar>
              <w:top w:type="dxa" w:w="75"/>
              <w:left w:type="dxa" w:w="120"/>
              <w:bottom w:type="dxa" w:w="75"/>
              <w:right w:type="dxa" w:w="120"/>
            </w:tcMar>
          </w:tcPr>
          <w:p>
            <w:r>
              <w:rPr>
                <w:rFonts w:ascii="Arial" w:cs="Arial" w:eastAsia="Arial" w:hAnsi="Arial"/>
                <w:b/>
                <w:bCs/>
                <w:color w:val="5A2D6B"/>
                <w:sz w:val="19"/>
                <w:szCs w:val="19"/>
              </w:rPr>
              <w:t xml:space="preserve">Family</w:t>
            </w:r>
          </w:p>
        </w:tc>
        <w:tc>
          <w:tcPr>
            <w:tcW w:type="dxa" w:w="7360"/>
            <w:tcBorders>
              <w:top w:val="single" w:color="5A2D6B" w:sz="1"/>
              <w:left w:val="single" w:color="5A2D6B" w:sz="1"/>
              <w:bottom w:val="single" w:color="5A2D6B" w:sz="1"/>
              <w:right w:val="single" w:color="5A2D6B"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Asteraceae</w:t>
            </w:r>
          </w:p>
        </w:tc>
      </w:tr>
      <w:tr>
        <w:tc>
          <w:tcPr>
            <w:tcW w:type="dxa" w:w="2000"/>
            <w:tcBorders>
              <w:top w:val="single" w:color="5A2D6B" w:sz="1"/>
              <w:left w:val="single" w:color="5A2D6B" w:sz="1"/>
              <w:bottom w:val="single" w:color="5A2D6B" w:sz="1"/>
              <w:right w:val="single" w:color="5A2D6B" w:sz="1"/>
            </w:tcBorders>
            <w:shd w:fill="EEEEEE" w:val="clear"/>
            <w:tcMar>
              <w:top w:type="dxa" w:w="75"/>
              <w:left w:type="dxa" w:w="120"/>
              <w:bottom w:type="dxa" w:w="75"/>
              <w:right w:type="dxa" w:w="120"/>
            </w:tcMar>
          </w:tcPr>
          <w:p>
            <w:r>
              <w:rPr>
                <w:rFonts w:ascii="Arial" w:cs="Arial" w:eastAsia="Arial" w:hAnsi="Arial"/>
                <w:b/>
                <w:bCs/>
                <w:color w:val="5A2D6B"/>
                <w:sz w:val="19"/>
                <w:szCs w:val="19"/>
              </w:rPr>
              <w:t xml:space="preserve">Parts used</w:t>
            </w:r>
          </w:p>
        </w:tc>
        <w:tc>
          <w:tcPr>
            <w:tcW w:type="dxa" w:w="7360"/>
            <w:tcBorders>
              <w:top w:val="single" w:color="5A2D6B" w:sz="1"/>
              <w:left w:val="single" w:color="5A2D6B" w:sz="1"/>
              <w:bottom w:val="single" w:color="5A2D6B" w:sz="1"/>
              <w:right w:val="single" w:color="5A2D6B"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Seeds/achenes — ripen in late summer; harvest before they disperse (plant is a significant self-seeder)</w:t>
            </w:r>
          </w:p>
        </w:tc>
      </w:tr>
      <w:tr>
        <w:tc>
          <w:tcPr>
            <w:tcW w:type="dxa" w:w="2000"/>
            <w:tcBorders>
              <w:top w:val="single" w:color="5A2D6B" w:sz="1"/>
              <w:left w:val="single" w:color="5A2D6B" w:sz="1"/>
              <w:bottom w:val="single" w:color="5A2D6B" w:sz="1"/>
              <w:right w:val="single" w:color="5A2D6B" w:sz="1"/>
            </w:tcBorders>
            <w:shd w:fill="EDE0F5" w:val="clear"/>
            <w:tcMar>
              <w:top w:type="dxa" w:w="75"/>
              <w:left w:type="dxa" w:w="120"/>
              <w:bottom w:type="dxa" w:w="75"/>
              <w:right w:type="dxa" w:w="120"/>
            </w:tcMar>
          </w:tcPr>
          <w:p>
            <w:r>
              <w:rPr>
                <w:rFonts w:ascii="Arial" w:cs="Arial" w:eastAsia="Arial" w:hAnsi="Arial"/>
                <w:b/>
                <w:bCs/>
                <w:color w:val="5A2D6B"/>
                <w:sz w:val="19"/>
                <w:szCs w:val="19"/>
              </w:rPr>
              <w:t xml:space="preserve">Growing</w:t>
            </w:r>
          </w:p>
        </w:tc>
        <w:tc>
          <w:tcPr>
            <w:tcW w:type="dxa" w:w="7360"/>
            <w:tcBorders>
              <w:top w:val="single" w:color="5A2D6B" w:sz="1"/>
              <w:left w:val="single" w:color="5A2D6B" w:sz="1"/>
              <w:bottom w:val="single" w:color="5A2D6B" w:sz="1"/>
              <w:right w:val="single" w:color="5A2D6B"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Annual or biennial; grows in all zones. Full sun; well-drained to dry soil; very drought-tolerant. Easy from direct seed; self-seeds aggressively and can become weedy in garden areas — grow in a contained bed or be prepared to manage self-seeding. Dramatic architectural plant (3–5 feet) with beautiful white-veined leaves and purple thistle flowers. Can be invasive in some western states — check local status. Harvest seed heads as they mature; dry in paper bags.</w:t>
            </w:r>
          </w:p>
        </w:tc>
      </w:tr>
      <w:tr>
        <w:tc>
          <w:tcPr>
            <w:tcW w:type="dxa" w:w="2000"/>
            <w:tcBorders>
              <w:top w:val="single" w:color="5A2D6B" w:sz="1"/>
              <w:left w:val="single" w:color="5A2D6B" w:sz="1"/>
              <w:bottom w:val="single" w:color="5A2D6B" w:sz="1"/>
              <w:right w:val="single" w:color="5A2D6B" w:sz="1"/>
            </w:tcBorders>
            <w:shd w:fill="EEEEEE" w:val="clear"/>
            <w:tcMar>
              <w:top w:type="dxa" w:w="75"/>
              <w:left w:type="dxa" w:w="120"/>
              <w:bottom w:type="dxa" w:w="75"/>
              <w:right w:type="dxa" w:w="120"/>
            </w:tcMar>
          </w:tcPr>
          <w:p>
            <w:r>
              <w:rPr>
                <w:rFonts w:ascii="Arial" w:cs="Arial" w:eastAsia="Arial" w:hAnsi="Arial"/>
                <w:b/>
                <w:bCs/>
                <w:color w:val="5A2D6B"/>
                <w:sz w:val="19"/>
                <w:szCs w:val="19"/>
              </w:rPr>
              <w:t xml:space="preserve">Zones</w:t>
            </w:r>
          </w:p>
        </w:tc>
        <w:tc>
          <w:tcPr>
            <w:tcW w:type="dxa" w:w="7360"/>
            <w:tcBorders>
              <w:top w:val="single" w:color="5A2D6B" w:sz="1"/>
              <w:left w:val="single" w:color="5A2D6B" w:sz="1"/>
              <w:bottom w:val="single" w:color="5A2D6B" w:sz="1"/>
              <w:right w:val="single" w:color="5A2D6B"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All zones as annual; check invasive status in your state</w:t>
            </w:r>
          </w:p>
        </w:tc>
      </w:tr>
      <w:tr>
        <w:tc>
          <w:tcPr>
            <w:tcW w:type="dxa" w:w="2000"/>
            <w:tcBorders>
              <w:top w:val="single" w:color="5A2D6B" w:sz="1"/>
              <w:left w:val="single" w:color="5A2D6B" w:sz="1"/>
              <w:bottom w:val="single" w:color="5A2D6B" w:sz="1"/>
              <w:right w:val="single" w:color="5A2D6B" w:sz="1"/>
            </w:tcBorders>
            <w:shd w:fill="EDE0F5" w:val="clear"/>
            <w:tcMar>
              <w:top w:type="dxa" w:w="75"/>
              <w:left w:type="dxa" w:w="120"/>
              <w:bottom w:type="dxa" w:w="75"/>
              <w:right w:type="dxa" w:w="120"/>
            </w:tcMar>
          </w:tcPr>
          <w:p>
            <w:r>
              <w:rPr>
                <w:rFonts w:ascii="Arial" w:cs="Arial" w:eastAsia="Arial" w:hAnsi="Arial"/>
                <w:b/>
                <w:bCs/>
                <w:color w:val="5A2D6B"/>
                <w:sz w:val="19"/>
                <w:szCs w:val="19"/>
              </w:rPr>
              <w:t xml:space="preserve">Medicinal use</w:t>
            </w:r>
          </w:p>
        </w:tc>
        <w:tc>
          <w:tcPr>
            <w:tcW w:type="dxa" w:w="7360"/>
            <w:tcBorders>
              <w:top w:val="single" w:color="5A2D6B" w:sz="1"/>
              <w:left w:val="single" w:color="5A2D6B" w:sz="1"/>
              <w:bottom w:val="single" w:color="5A2D6B" w:sz="1"/>
              <w:right w:val="single" w:color="5A2D6B"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The gold standard hepatoprotective (liver-protecting) herb. Silymarin — the flavonolignans complex from the seeds — has documented: stabilization of hepatocyte cell membranes; stimulation of liver cell protein synthesis (liver regeneration); antioxidant protection; anti-inflammatory activity in liver tissue; protection against toxin-induced liver damage. Clinical evidence for: alcoholic liver disease; non-alcoholic fatty liver disease; hepatitis C adjunct; reduction of drug-induced liver toxicity; potential protection against Amanita phalloides mushroom poisoning (established emergency IV treatment in Europe).</w:t>
            </w:r>
          </w:p>
        </w:tc>
      </w:tr>
      <w:tr>
        <w:tc>
          <w:tcPr>
            <w:tcW w:type="dxa" w:w="2000"/>
            <w:tcBorders>
              <w:top w:val="single" w:color="5A2D6B" w:sz="1"/>
              <w:left w:val="single" w:color="5A2D6B" w:sz="1"/>
              <w:bottom w:val="single" w:color="5A2D6B" w:sz="1"/>
              <w:right w:val="single" w:color="5A2D6B" w:sz="1"/>
            </w:tcBorders>
            <w:shd w:fill="EEEEEE" w:val="clear"/>
            <w:tcMar>
              <w:top w:type="dxa" w:w="75"/>
              <w:left w:type="dxa" w:w="120"/>
              <w:bottom w:type="dxa" w:w="75"/>
              <w:right w:type="dxa" w:w="120"/>
            </w:tcMar>
          </w:tcPr>
          <w:p>
            <w:r>
              <w:rPr>
                <w:rFonts w:ascii="Arial" w:cs="Arial" w:eastAsia="Arial" w:hAnsi="Arial"/>
                <w:b/>
                <w:bCs/>
                <w:color w:val="5A2D6B"/>
                <w:sz w:val="19"/>
                <w:szCs w:val="19"/>
              </w:rPr>
              <w:t xml:space="preserve">Preparation</w:t>
            </w:r>
          </w:p>
        </w:tc>
        <w:tc>
          <w:tcPr>
            <w:tcW w:type="dxa" w:w="7360"/>
            <w:tcBorders>
              <w:top w:val="single" w:color="5A2D6B" w:sz="1"/>
              <w:left w:val="single" w:color="5A2D6B" w:sz="1"/>
              <w:bottom w:val="single" w:color="5A2D6B" w:sz="1"/>
              <w:right w:val="single" w:color="5A2D6B"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Standardized silymarin extract (75–80% silymarin) in capsules: 200–400mg 3x daily — standardized extract provides the most reliable and clinically relevant dose. Seeds ground in coffee grinder (seeds must be broken to access silymarin — whole seeds pass through mostly undigested): add 1–2 tablespoons ground seeds to smoothies, oatmeal, or yogurt daily. Tincture: 1:5 in 60% alcohol; 3–5 ml 3x daily (less standardized than capsules for clinical use).</w:t>
            </w:r>
          </w:p>
        </w:tc>
      </w:tr>
      <w:tr>
        <w:tc>
          <w:tcPr>
            <w:tcW w:type="dxa" w:w="2000"/>
            <w:tcBorders>
              <w:top w:val="single" w:color="5A2D6B" w:sz="1"/>
              <w:left w:val="single" w:color="5A2D6B" w:sz="1"/>
              <w:bottom w:val="single" w:color="5A2D6B" w:sz="1"/>
              <w:right w:val="single" w:color="5A2D6B" w:sz="1"/>
            </w:tcBorders>
            <w:shd w:fill="EDE0F5" w:val="clear"/>
            <w:tcMar>
              <w:top w:type="dxa" w:w="75"/>
              <w:left w:type="dxa" w:w="120"/>
              <w:bottom w:type="dxa" w:w="75"/>
              <w:right w:type="dxa" w:w="120"/>
            </w:tcMar>
          </w:tcPr>
          <w:p>
            <w:r>
              <w:rPr>
                <w:rFonts w:ascii="Arial" w:cs="Arial" w:eastAsia="Arial" w:hAnsi="Arial"/>
                <w:b/>
                <w:bCs/>
                <w:color w:val="5A2D6B"/>
                <w:sz w:val="19"/>
                <w:szCs w:val="19"/>
              </w:rPr>
              <w:t xml:space="preserve">Evidence base</w:t>
            </w:r>
          </w:p>
        </w:tc>
        <w:tc>
          <w:tcPr>
            <w:tcW w:type="dxa" w:w="7360"/>
            <w:tcBorders>
              <w:top w:val="single" w:color="5A2D6B" w:sz="1"/>
              <w:left w:val="single" w:color="5A2D6B" w:sz="1"/>
              <w:bottom w:val="single" w:color="5A2D6B" w:sz="1"/>
              <w:right w:val="single" w:color="5A2D6B"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Multiple clinical trials for liver protection; Cochrane review for alcoholic liver disease showing modest positive trend; established use in European emergency medicine for mushroom poisoning (IV silybin); German Commission E approved; one of the most evidence-supported herbs for liver conditions.</w:t>
            </w:r>
          </w:p>
        </w:tc>
      </w:tr>
      <w:tr>
        <w:tc>
          <w:tcPr>
            <w:tcW w:type="dxa" w:w="2000"/>
            <w:tcBorders>
              <w:top w:val="single" w:color="5A2D6B" w:sz="1"/>
              <w:left w:val="single" w:color="5A2D6B" w:sz="1"/>
              <w:bottom w:val="single" w:color="5A2D6B" w:sz="1"/>
              <w:right w:val="single" w:color="5A2D6B" w:sz="1"/>
            </w:tcBorders>
            <w:shd w:fill="EEEEEE" w:val="clear"/>
            <w:tcMar>
              <w:top w:type="dxa" w:w="75"/>
              <w:left w:type="dxa" w:w="120"/>
              <w:bottom w:type="dxa" w:w="75"/>
              <w:right w:type="dxa" w:w="120"/>
            </w:tcMar>
          </w:tcPr>
          <w:p>
            <w:r>
              <w:rPr>
                <w:rFonts w:ascii="Arial" w:cs="Arial" w:eastAsia="Arial" w:hAnsi="Arial"/>
                <w:b/>
                <w:bCs/>
                <w:color w:val="5A2D6B"/>
                <w:sz w:val="19"/>
                <w:szCs w:val="19"/>
              </w:rPr>
              <w:t xml:space="preserve">Safety</w:t>
            </w:r>
          </w:p>
        </w:tc>
        <w:tc>
          <w:tcPr>
            <w:tcW w:type="dxa" w:w="7360"/>
            <w:tcBorders>
              <w:top w:val="single" w:color="5A2D6B" w:sz="1"/>
              <w:left w:val="single" w:color="5A2D6B" w:sz="1"/>
              <w:bottom w:val="single" w:color="5A2D6B" w:sz="1"/>
              <w:right w:val="single" w:color="5A2D6B"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Excellent safety profile — one of the safest medicinal herbs and extensively used in clinical settings. Mild laxative effect at high doses (common and transient). Drug interactions: may affect drug metabolism (CYP2C9 and CYP3A4) — check if on relevant medications. Asteraceae allergy: same precaution as other family members. Very safe in most populations; some pregnancy caution with high standardized doses.</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5A27" w:sz="2"/>
              <w:left w:val="single" w:color="2D5A27" w:sz="2"/>
              <w:bottom w:val="single" w:color="2D5A27" w:sz="2"/>
              <w:right w:val="single" w:color="2D5A27" w:sz="2"/>
            </w:tcBorders>
            <w:shd w:fill="2D5A27"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Dandelion</w:t>
            </w:r>
          </w:p>
          <w:p>
            <w:pPr>
              <w:spacing w:before="0" w:after="0"/>
            </w:pPr>
            <w:r>
              <w:rPr>
                <w:rFonts w:ascii="Arial" w:cs="Arial" w:eastAsia="Arial" w:hAnsi="Arial"/>
                <w:i/>
                <w:iCs/>
                <w:color w:val="EEEEEE"/>
                <w:sz w:val="20"/>
                <w:szCs w:val="20"/>
              </w:rPr>
              <w:t xml:space="preserve">Taraxacum officinale</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Family</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Asteraceae</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Parts used</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All parts — leaves (nutritive, diuretic); roots (liver tonic, digestive bitter); flowers (antioxidant)</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Growing</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Already growing in virtually every American lawn and garden without any cultivation effort required. A true weed in the best sense — productive, adaptable, and useful. If you want to cultivate specifically: full sun to part shade; any soil; very easy from seed. Broadleaf dandelion for larger roots (longer, fatter for better root medicine); various cultivated varieties. The key skill is not growing dandelion but recognizing and using what is already growing — and ensuring it hasn't been treated with herbicides.</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Zones</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All zones throughout the continental U.S.</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Medicinal use</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The quintessential tonic herb — free, abundant, and comprehensively nutritious and medicinal. Leaves: one of the most nutritious foods available (higher in vitamins A, C, and K than most garden vegetables; significant calcium, iron); diuretic that preserves potassium (unlike pharmaceutical diuretics); bitter digestive stimulant. Roots: liver tonic; digestive bitter (stimulates bile production); prebiotic (inulin); mild laxative; anti-inflammatory. Flowers: high antioxidant content; edible raw in salads.</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Preparation</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Fresh leaf: eat raw in salads (young spring leaves least bitter); steep as tea (1 cup leaves per cup water, 5 minutes). Root tea: 1 tablespoon chopped root per cup water, simmered 15 minutes (decoction); 2 cups daily as liver/digestive tonic. Root tincture: 1:5 in 40% alcohol; 2–4 ml 3x daily. Dandelion root "coffee": roast cleaned roots at 350°F for 30–40 minutes until dark brown; grind; brew as coffee substitute — pleasant bitter digestive stimulant. Dandelion wine: flowers fermented with lemon and sugar — traditional hedgerow wine.</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Evidence base</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Strong laboratory evidence for diuretic, anti-inflammatory, and liver-protective activities; clinical trials limited; well-established nutritional profile; European regulatory acceptance as traditional medicine; the safety and availability justify confident use as a tonic herb.</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Safety</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Excellent safety profile — one of the most used and safest medicinal plants. Asteraceae allergy: apply same precautions. Diuretic effect: may increase frequency of urination (this is the intended effect); caution with water-losing medications. Potassium-sparing diuretic — unlike pharmaceutical diuretics, dandelion leaf preserves potassium levels. Do not use plants from areas treated with herbicides or pesticides. Bile duct obstruction: caution with active bile duct obstruction or gallstones (may increase bile flow).</w:t>
            </w:r>
          </w:p>
        </w:tc>
      </w:tr>
    </w:tbl>
    <w:p>
      <w:pPr>
        <w:spacing w:before="160" w:after="0"/>
      </w:pPr>
      <w:r>
        <w:t xml:space="preserve"/>
      </w:r>
    </w:p>
    <w:p>
      <w:pPr>
        <w:pStyle w:val="Heading2"/>
        <w:spacing w:before="260" w:after="100"/>
      </w:pPr>
      <w:r>
        <w:rPr>
          <w:rFonts w:ascii="Arial" w:cs="Arial" w:eastAsia="Arial" w:hAnsi="Arial"/>
          <w:b/>
          <w:bCs/>
          <w:color w:val="1A6060"/>
          <w:sz w:val="28"/>
          <w:szCs w:val="28"/>
        </w:rPr>
        <w:t xml:space="preserve">Additional Essential Herbs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A7A4A" w:sz="2"/>
              <w:left w:val="single" w:color="5A7A4A" w:sz="2"/>
              <w:bottom w:val="single" w:color="5A7A4A" w:sz="2"/>
              <w:right w:val="single" w:color="5A7A4A" w:sz="2"/>
            </w:tcBorders>
            <w:shd w:fill="5A7A4A"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Yarrow</w:t>
            </w:r>
          </w:p>
          <w:p>
            <w:pPr>
              <w:spacing w:before="0" w:after="0"/>
            </w:pPr>
            <w:r>
              <w:rPr>
                <w:rFonts w:ascii="Arial" w:cs="Arial" w:eastAsia="Arial" w:hAnsi="Arial"/>
                <w:i/>
                <w:iCs/>
                <w:color w:val="EEEEEE"/>
                <w:sz w:val="20"/>
                <w:szCs w:val="20"/>
              </w:rPr>
              <w:t xml:space="preserve">Achillea millefolium</w:t>
            </w:r>
          </w:p>
        </w:tc>
      </w:tr>
      <w:tr>
        <w:tc>
          <w:tcPr>
            <w:tcW w:type="dxa" w:w="2000"/>
            <w:tcBorders>
              <w:top w:val="single" w:color="5A7A4A" w:sz="1"/>
              <w:left w:val="single" w:color="5A7A4A" w:sz="1"/>
              <w:bottom w:val="single" w:color="5A7A4A" w:sz="1"/>
              <w:right w:val="single" w:color="5A7A4A" w:sz="1"/>
            </w:tcBorders>
            <w:shd w:fill="E2EDD5" w:val="clear"/>
            <w:tcMar>
              <w:top w:type="dxa" w:w="75"/>
              <w:left w:type="dxa" w:w="120"/>
              <w:bottom w:type="dxa" w:w="75"/>
              <w:right w:type="dxa" w:w="120"/>
            </w:tcMar>
          </w:tcPr>
          <w:p>
            <w:r>
              <w:rPr>
                <w:rFonts w:ascii="Arial" w:cs="Arial" w:eastAsia="Arial" w:hAnsi="Arial"/>
                <w:b/>
                <w:bCs/>
                <w:color w:val="5A7A4A"/>
                <w:sz w:val="19"/>
                <w:szCs w:val="19"/>
              </w:rPr>
              <w:t xml:space="preserve">Family</w:t>
            </w:r>
          </w:p>
        </w:tc>
        <w:tc>
          <w:tcPr>
            <w:tcW w:type="dxa" w:w="7360"/>
            <w:tcBorders>
              <w:top w:val="single" w:color="5A7A4A" w:sz="1"/>
              <w:left w:val="single" w:color="5A7A4A" w:sz="1"/>
              <w:bottom w:val="single" w:color="5A7A4A" w:sz="1"/>
              <w:right w:val="single" w:color="5A7A4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Asteraceae</w:t>
            </w:r>
          </w:p>
        </w:tc>
      </w:tr>
      <w:tr>
        <w:tc>
          <w:tcPr>
            <w:tcW w:type="dxa" w:w="2000"/>
            <w:tcBorders>
              <w:top w:val="single" w:color="5A7A4A" w:sz="1"/>
              <w:left w:val="single" w:color="5A7A4A" w:sz="1"/>
              <w:bottom w:val="single" w:color="5A7A4A" w:sz="1"/>
              <w:right w:val="single" w:color="5A7A4A" w:sz="1"/>
            </w:tcBorders>
            <w:shd w:fill="EEEEEE" w:val="clear"/>
            <w:tcMar>
              <w:top w:type="dxa" w:w="75"/>
              <w:left w:type="dxa" w:w="120"/>
              <w:bottom w:type="dxa" w:w="75"/>
              <w:right w:type="dxa" w:w="120"/>
            </w:tcMar>
          </w:tcPr>
          <w:p>
            <w:r>
              <w:rPr>
                <w:rFonts w:ascii="Arial" w:cs="Arial" w:eastAsia="Arial" w:hAnsi="Arial"/>
                <w:b/>
                <w:bCs/>
                <w:color w:val="5A7A4A"/>
                <w:sz w:val="19"/>
                <w:szCs w:val="19"/>
              </w:rPr>
              <w:t xml:space="preserve">Parts used</w:t>
            </w:r>
          </w:p>
        </w:tc>
        <w:tc>
          <w:tcPr>
            <w:tcW w:type="dxa" w:w="7360"/>
            <w:tcBorders>
              <w:top w:val="single" w:color="5A7A4A" w:sz="1"/>
              <w:left w:val="single" w:color="5A7A4A" w:sz="1"/>
              <w:bottom w:val="single" w:color="5A7A4A" w:sz="1"/>
              <w:right w:val="single" w:color="5A7A4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Aerial parts (leaves and flowers) — harvest when in full bloom</w:t>
            </w:r>
          </w:p>
        </w:tc>
      </w:tr>
      <w:tr>
        <w:tc>
          <w:tcPr>
            <w:tcW w:type="dxa" w:w="2000"/>
            <w:tcBorders>
              <w:top w:val="single" w:color="5A7A4A" w:sz="1"/>
              <w:left w:val="single" w:color="5A7A4A" w:sz="1"/>
              <w:bottom w:val="single" w:color="5A7A4A" w:sz="1"/>
              <w:right w:val="single" w:color="5A7A4A" w:sz="1"/>
            </w:tcBorders>
            <w:shd w:fill="E2EDD5" w:val="clear"/>
            <w:tcMar>
              <w:top w:type="dxa" w:w="75"/>
              <w:left w:type="dxa" w:w="120"/>
              <w:bottom w:type="dxa" w:w="75"/>
              <w:right w:type="dxa" w:w="120"/>
            </w:tcMar>
          </w:tcPr>
          <w:p>
            <w:r>
              <w:rPr>
                <w:rFonts w:ascii="Arial" w:cs="Arial" w:eastAsia="Arial" w:hAnsi="Arial"/>
                <w:b/>
                <w:bCs/>
                <w:color w:val="5A7A4A"/>
                <w:sz w:val="19"/>
                <w:szCs w:val="19"/>
              </w:rPr>
              <w:t xml:space="preserve">Growing</w:t>
            </w:r>
          </w:p>
        </w:tc>
        <w:tc>
          <w:tcPr>
            <w:tcW w:type="dxa" w:w="7360"/>
            <w:tcBorders>
              <w:top w:val="single" w:color="5A7A4A" w:sz="1"/>
              <w:left w:val="single" w:color="5A7A4A" w:sz="1"/>
              <w:bottom w:val="single" w:color="5A7A4A" w:sz="1"/>
              <w:right w:val="single" w:color="5A7A4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Perennial native to both Europe and North America; Zones 2–9. Full sun; well-drained to dry soil; drought-tolerant; spreads by rhizome and self-seed. Extremely cold-hardy and adaptable — one of the most versatile medicinal herbs for difficult growing conditions. White-flowered plants are traditional for medicine (colored cultivars have similar but sometimes lower activity). Easy to grow from seed or transplant; division every 2–3 years maintains vigor.</w:t>
            </w:r>
          </w:p>
        </w:tc>
      </w:tr>
      <w:tr>
        <w:tc>
          <w:tcPr>
            <w:tcW w:type="dxa" w:w="2000"/>
            <w:tcBorders>
              <w:top w:val="single" w:color="5A7A4A" w:sz="1"/>
              <w:left w:val="single" w:color="5A7A4A" w:sz="1"/>
              <w:bottom w:val="single" w:color="5A7A4A" w:sz="1"/>
              <w:right w:val="single" w:color="5A7A4A" w:sz="1"/>
            </w:tcBorders>
            <w:shd w:fill="EEEEEE" w:val="clear"/>
            <w:tcMar>
              <w:top w:type="dxa" w:w="75"/>
              <w:left w:type="dxa" w:w="120"/>
              <w:bottom w:type="dxa" w:w="75"/>
              <w:right w:type="dxa" w:w="120"/>
            </w:tcMar>
          </w:tcPr>
          <w:p>
            <w:r>
              <w:rPr>
                <w:rFonts w:ascii="Arial" w:cs="Arial" w:eastAsia="Arial" w:hAnsi="Arial"/>
                <w:b/>
                <w:bCs/>
                <w:color w:val="5A7A4A"/>
                <w:sz w:val="19"/>
                <w:szCs w:val="19"/>
              </w:rPr>
              <w:t xml:space="preserve">Zones</w:t>
            </w:r>
          </w:p>
        </w:tc>
        <w:tc>
          <w:tcPr>
            <w:tcW w:type="dxa" w:w="7360"/>
            <w:tcBorders>
              <w:top w:val="single" w:color="5A7A4A" w:sz="1"/>
              <w:left w:val="single" w:color="5A7A4A" w:sz="1"/>
              <w:bottom w:val="single" w:color="5A7A4A" w:sz="1"/>
              <w:right w:val="single" w:color="5A7A4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Zones 2–9; extremely cold-hardy</w:t>
            </w:r>
          </w:p>
        </w:tc>
      </w:tr>
      <w:tr>
        <w:tc>
          <w:tcPr>
            <w:tcW w:type="dxa" w:w="2000"/>
            <w:tcBorders>
              <w:top w:val="single" w:color="5A7A4A" w:sz="1"/>
              <w:left w:val="single" w:color="5A7A4A" w:sz="1"/>
              <w:bottom w:val="single" w:color="5A7A4A" w:sz="1"/>
              <w:right w:val="single" w:color="5A7A4A" w:sz="1"/>
            </w:tcBorders>
            <w:shd w:fill="E2EDD5" w:val="clear"/>
            <w:tcMar>
              <w:top w:type="dxa" w:w="75"/>
              <w:left w:type="dxa" w:w="120"/>
              <w:bottom w:type="dxa" w:w="75"/>
              <w:right w:type="dxa" w:w="120"/>
            </w:tcMar>
          </w:tcPr>
          <w:p>
            <w:r>
              <w:rPr>
                <w:rFonts w:ascii="Arial" w:cs="Arial" w:eastAsia="Arial" w:hAnsi="Arial"/>
                <w:b/>
                <w:bCs/>
                <w:color w:val="5A7A4A"/>
                <w:sz w:val="19"/>
                <w:szCs w:val="19"/>
              </w:rPr>
              <w:t xml:space="preserve">Medicinal use</w:t>
            </w:r>
          </w:p>
        </w:tc>
        <w:tc>
          <w:tcPr>
            <w:tcW w:type="dxa" w:w="7360"/>
            <w:tcBorders>
              <w:top w:val="single" w:color="5A7A4A" w:sz="1"/>
              <w:left w:val="single" w:color="5A7A4A" w:sz="1"/>
              <w:bottom w:val="single" w:color="5A7A4A" w:sz="1"/>
              <w:right w:val="single" w:color="5A7A4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Named for the myth that Achilles used it to staunch wounds on the battlefield — and the wound-staunching application is well-supported: hemostatic (stops minor bleeding), antimicrobial, and anti-inflammatory. Uses: minor cuts and abrasions (direct application of crushed leaf); fever management (diaphoretic — promotes sweating to break fevers); menstrual cramping and heavy bleeding (astringent, hemostatic); digestive bitter and antispasmodic; urinary tract infections (antimicrobial and anti-inflammatory).</w:t>
            </w:r>
          </w:p>
        </w:tc>
      </w:tr>
      <w:tr>
        <w:tc>
          <w:tcPr>
            <w:tcW w:type="dxa" w:w="2000"/>
            <w:tcBorders>
              <w:top w:val="single" w:color="5A7A4A" w:sz="1"/>
              <w:left w:val="single" w:color="5A7A4A" w:sz="1"/>
              <w:bottom w:val="single" w:color="5A7A4A" w:sz="1"/>
              <w:right w:val="single" w:color="5A7A4A" w:sz="1"/>
            </w:tcBorders>
            <w:shd w:fill="EEEEEE" w:val="clear"/>
            <w:tcMar>
              <w:top w:type="dxa" w:w="75"/>
              <w:left w:type="dxa" w:w="120"/>
              <w:bottom w:type="dxa" w:w="75"/>
              <w:right w:type="dxa" w:w="120"/>
            </w:tcMar>
          </w:tcPr>
          <w:p>
            <w:r>
              <w:rPr>
                <w:rFonts w:ascii="Arial" w:cs="Arial" w:eastAsia="Arial" w:hAnsi="Arial"/>
                <w:b/>
                <w:bCs/>
                <w:color w:val="5A7A4A"/>
                <w:sz w:val="19"/>
                <w:szCs w:val="19"/>
              </w:rPr>
              <w:t xml:space="preserve">Preparation</w:t>
            </w:r>
          </w:p>
        </w:tc>
        <w:tc>
          <w:tcPr>
            <w:tcW w:type="dxa" w:w="7360"/>
            <w:tcBorders>
              <w:top w:val="single" w:color="5A7A4A" w:sz="1"/>
              <w:left w:val="single" w:color="5A7A4A" w:sz="1"/>
              <w:bottom w:val="single" w:color="5A7A4A" w:sz="1"/>
              <w:right w:val="single" w:color="5A7A4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Fresh leaf poultice for wounds: crush fresh leaves; apply to cut or wound with gentle pressure — can stop minor bleeding within 2–5 minutes. Tea: 1–2 teaspoons dried aerial parts per cup, steep 10 minutes; drink hot for fever (to promote diaphoresis); 3 cups daily for menstrual support or UTI support. Tincture: 1:5 in 45% alcohol; 2–4 ml 3x daily.</w:t>
            </w:r>
          </w:p>
        </w:tc>
      </w:tr>
      <w:tr>
        <w:tc>
          <w:tcPr>
            <w:tcW w:type="dxa" w:w="2000"/>
            <w:tcBorders>
              <w:top w:val="single" w:color="5A7A4A" w:sz="1"/>
              <w:left w:val="single" w:color="5A7A4A" w:sz="1"/>
              <w:bottom w:val="single" w:color="5A7A4A" w:sz="1"/>
              <w:right w:val="single" w:color="5A7A4A" w:sz="1"/>
            </w:tcBorders>
            <w:shd w:fill="E2EDD5" w:val="clear"/>
            <w:tcMar>
              <w:top w:type="dxa" w:w="75"/>
              <w:left w:type="dxa" w:w="120"/>
              <w:bottom w:type="dxa" w:w="75"/>
              <w:right w:type="dxa" w:w="120"/>
            </w:tcMar>
          </w:tcPr>
          <w:p>
            <w:r>
              <w:rPr>
                <w:rFonts w:ascii="Arial" w:cs="Arial" w:eastAsia="Arial" w:hAnsi="Arial"/>
                <w:b/>
                <w:bCs/>
                <w:color w:val="5A7A4A"/>
                <w:sz w:val="19"/>
                <w:szCs w:val="19"/>
              </w:rPr>
              <w:t xml:space="preserve">Evidence base</w:t>
            </w:r>
          </w:p>
        </w:tc>
        <w:tc>
          <w:tcPr>
            <w:tcW w:type="dxa" w:w="7360"/>
            <w:tcBorders>
              <w:top w:val="single" w:color="5A7A4A" w:sz="1"/>
              <w:left w:val="single" w:color="5A7A4A" w:sz="1"/>
              <w:bottom w:val="single" w:color="5A7A4A" w:sz="1"/>
              <w:right w:val="single" w:color="5A7A4A"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In vitro antimicrobial and anti-inflammatory evidence well-documented; hemostatic compounds (achillicin) identified; clinical evidence limited; traditional use across multiple cultures well-established including Native American, European, and Chinese medical traditions.</w:t>
            </w:r>
          </w:p>
        </w:tc>
      </w:tr>
      <w:tr>
        <w:tc>
          <w:tcPr>
            <w:tcW w:type="dxa" w:w="2000"/>
            <w:tcBorders>
              <w:top w:val="single" w:color="5A7A4A" w:sz="1"/>
              <w:left w:val="single" w:color="5A7A4A" w:sz="1"/>
              <w:bottom w:val="single" w:color="5A7A4A" w:sz="1"/>
              <w:right w:val="single" w:color="5A7A4A" w:sz="1"/>
            </w:tcBorders>
            <w:shd w:fill="EEEEEE" w:val="clear"/>
            <w:tcMar>
              <w:top w:type="dxa" w:w="75"/>
              <w:left w:type="dxa" w:w="120"/>
              <w:bottom w:type="dxa" w:w="75"/>
              <w:right w:type="dxa" w:w="120"/>
            </w:tcMar>
          </w:tcPr>
          <w:p>
            <w:r>
              <w:rPr>
                <w:rFonts w:ascii="Arial" w:cs="Arial" w:eastAsia="Arial" w:hAnsi="Arial"/>
                <w:b/>
                <w:bCs/>
                <w:color w:val="5A7A4A"/>
                <w:sz w:val="19"/>
                <w:szCs w:val="19"/>
              </w:rPr>
              <w:t xml:space="preserve">Safety</w:t>
            </w:r>
          </w:p>
        </w:tc>
        <w:tc>
          <w:tcPr>
            <w:tcW w:type="dxa" w:w="7360"/>
            <w:tcBorders>
              <w:top w:val="single" w:color="5A7A4A" w:sz="1"/>
              <w:left w:val="single" w:color="5A7A4A" w:sz="1"/>
              <w:bottom w:val="single" w:color="5A7A4A" w:sz="1"/>
              <w:right w:val="single" w:color="5A7A4A"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Asteraceae allergy caution. Pregnancy: traditional emmenagogue — avoid in pregnancy in medicinal doses. Contact dermatitis (uncommon). Generally safe for most adults.</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060" w:sz="2"/>
              <w:left w:val="single" w:color="1A6060" w:sz="2"/>
              <w:bottom w:val="single" w:color="1A6060" w:sz="2"/>
              <w:right w:val="single" w:color="1A6060" w:sz="2"/>
            </w:tcBorders>
            <w:shd w:fill="1A6060"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Skullcap</w:t>
            </w:r>
          </w:p>
          <w:p>
            <w:pPr>
              <w:spacing w:before="0" w:after="0"/>
            </w:pPr>
            <w:r>
              <w:rPr>
                <w:rFonts w:ascii="Arial" w:cs="Arial" w:eastAsia="Arial" w:hAnsi="Arial"/>
                <w:i/>
                <w:iCs/>
                <w:color w:val="EEEEEE"/>
                <w:sz w:val="20"/>
                <w:szCs w:val="20"/>
              </w:rPr>
              <w:t xml:space="preserve">Scutellaria lateriflora</w:t>
            </w:r>
          </w:p>
        </w:tc>
      </w:tr>
      <w:tr>
        <w:tc>
          <w:tcPr>
            <w:tcW w:type="dxa" w:w="2000"/>
            <w:tcBorders>
              <w:top w:val="single" w:color="1A6060" w:sz="1"/>
              <w:left w:val="single" w:color="1A6060" w:sz="1"/>
              <w:bottom w:val="single" w:color="1A6060" w:sz="1"/>
              <w:right w:val="single" w:color="1A6060" w:sz="1"/>
            </w:tcBorders>
            <w:shd w:fill="D0EDED" w:val="clear"/>
            <w:tcMar>
              <w:top w:type="dxa" w:w="75"/>
              <w:left w:type="dxa" w:w="120"/>
              <w:bottom w:type="dxa" w:w="75"/>
              <w:right w:type="dxa" w:w="120"/>
            </w:tcMar>
          </w:tcPr>
          <w:p>
            <w:r>
              <w:rPr>
                <w:rFonts w:ascii="Arial" w:cs="Arial" w:eastAsia="Arial" w:hAnsi="Arial"/>
                <w:b/>
                <w:bCs/>
                <w:color w:val="1A6060"/>
                <w:sz w:val="19"/>
                <w:szCs w:val="19"/>
              </w:rPr>
              <w:t xml:space="preserve">Family</w:t>
            </w:r>
          </w:p>
        </w:tc>
        <w:tc>
          <w:tcPr>
            <w:tcW w:type="dxa" w:w="7360"/>
            <w:tcBorders>
              <w:top w:val="single" w:color="1A6060" w:sz="1"/>
              <w:left w:val="single" w:color="1A6060" w:sz="1"/>
              <w:bottom w:val="single" w:color="1A6060" w:sz="1"/>
              <w:right w:val="single" w:color="1A606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Lamiaceae (Mint family)</w:t>
            </w:r>
          </w:p>
        </w:tc>
      </w:tr>
      <w:tr>
        <w:tc>
          <w:tcPr>
            <w:tcW w:type="dxa" w:w="2000"/>
            <w:tcBorders>
              <w:top w:val="single" w:color="1A6060" w:sz="1"/>
              <w:left w:val="single" w:color="1A6060" w:sz="1"/>
              <w:bottom w:val="single" w:color="1A6060" w:sz="1"/>
              <w:right w:val="single" w:color="1A6060" w:sz="1"/>
            </w:tcBorders>
            <w:shd w:fill="EEEEEE" w:val="clear"/>
            <w:tcMar>
              <w:top w:type="dxa" w:w="75"/>
              <w:left w:type="dxa" w:w="120"/>
              <w:bottom w:type="dxa" w:w="75"/>
              <w:right w:type="dxa" w:w="120"/>
            </w:tcMar>
          </w:tcPr>
          <w:p>
            <w:r>
              <w:rPr>
                <w:rFonts w:ascii="Arial" w:cs="Arial" w:eastAsia="Arial" w:hAnsi="Arial"/>
                <w:b/>
                <w:bCs/>
                <w:color w:val="1A6060"/>
                <w:sz w:val="19"/>
                <w:szCs w:val="19"/>
              </w:rPr>
              <w:t xml:space="preserve">Parts used</w:t>
            </w:r>
          </w:p>
        </w:tc>
        <w:tc>
          <w:tcPr>
            <w:tcW w:type="dxa" w:w="7360"/>
            <w:tcBorders>
              <w:top w:val="single" w:color="1A6060" w:sz="1"/>
              <w:left w:val="single" w:color="1A6060" w:sz="1"/>
              <w:bottom w:val="single" w:color="1A6060" w:sz="1"/>
              <w:right w:val="single" w:color="1A606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Aerial parts (leaves and small stems) — harvest during bloom; best used fresh or as fresh plant tincture</w:t>
            </w:r>
          </w:p>
        </w:tc>
      </w:tr>
      <w:tr>
        <w:tc>
          <w:tcPr>
            <w:tcW w:type="dxa" w:w="2000"/>
            <w:tcBorders>
              <w:top w:val="single" w:color="1A6060" w:sz="1"/>
              <w:left w:val="single" w:color="1A6060" w:sz="1"/>
              <w:bottom w:val="single" w:color="1A6060" w:sz="1"/>
              <w:right w:val="single" w:color="1A6060" w:sz="1"/>
            </w:tcBorders>
            <w:shd w:fill="D0EDED" w:val="clear"/>
            <w:tcMar>
              <w:top w:type="dxa" w:w="75"/>
              <w:left w:type="dxa" w:w="120"/>
              <w:bottom w:type="dxa" w:w="75"/>
              <w:right w:type="dxa" w:w="120"/>
            </w:tcMar>
          </w:tcPr>
          <w:p>
            <w:r>
              <w:rPr>
                <w:rFonts w:ascii="Arial" w:cs="Arial" w:eastAsia="Arial" w:hAnsi="Arial"/>
                <w:b/>
                <w:bCs/>
                <w:color w:val="1A6060"/>
                <w:sz w:val="19"/>
                <w:szCs w:val="19"/>
              </w:rPr>
              <w:t xml:space="preserve">Growing</w:t>
            </w:r>
          </w:p>
        </w:tc>
        <w:tc>
          <w:tcPr>
            <w:tcW w:type="dxa" w:w="7360"/>
            <w:tcBorders>
              <w:top w:val="single" w:color="1A6060" w:sz="1"/>
              <w:left w:val="single" w:color="1A6060" w:sz="1"/>
              <w:bottom w:val="single" w:color="1A6060" w:sz="1"/>
              <w:right w:val="single" w:color="1A606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Native North American woodland perennial; Zones 5–9. Part shade to full shade; consistently moist soil; rich woodland soil preferred. Lovely delicate plant — underused in medicinal gardens. Works well as a shade garden herb near taller woodland medicinals (goldenseal, black cohosh). Grows from seed or division.</w:t>
            </w:r>
          </w:p>
        </w:tc>
      </w:tr>
      <w:tr>
        <w:tc>
          <w:tcPr>
            <w:tcW w:type="dxa" w:w="2000"/>
            <w:tcBorders>
              <w:top w:val="single" w:color="1A6060" w:sz="1"/>
              <w:left w:val="single" w:color="1A6060" w:sz="1"/>
              <w:bottom w:val="single" w:color="1A6060" w:sz="1"/>
              <w:right w:val="single" w:color="1A6060" w:sz="1"/>
            </w:tcBorders>
            <w:shd w:fill="EEEEEE" w:val="clear"/>
            <w:tcMar>
              <w:top w:type="dxa" w:w="75"/>
              <w:left w:type="dxa" w:w="120"/>
              <w:bottom w:type="dxa" w:w="75"/>
              <w:right w:type="dxa" w:w="120"/>
            </w:tcMar>
          </w:tcPr>
          <w:p>
            <w:r>
              <w:rPr>
                <w:rFonts w:ascii="Arial" w:cs="Arial" w:eastAsia="Arial" w:hAnsi="Arial"/>
                <w:b/>
                <w:bCs/>
                <w:color w:val="1A6060"/>
                <w:sz w:val="19"/>
                <w:szCs w:val="19"/>
              </w:rPr>
              <w:t xml:space="preserve">Zones</w:t>
            </w:r>
          </w:p>
        </w:tc>
        <w:tc>
          <w:tcPr>
            <w:tcW w:type="dxa" w:w="7360"/>
            <w:tcBorders>
              <w:top w:val="single" w:color="1A6060" w:sz="1"/>
              <w:left w:val="single" w:color="1A6060" w:sz="1"/>
              <w:bottom w:val="single" w:color="1A6060" w:sz="1"/>
              <w:right w:val="single" w:color="1A606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Zones 5–9</w:t>
            </w:r>
          </w:p>
        </w:tc>
      </w:tr>
      <w:tr>
        <w:tc>
          <w:tcPr>
            <w:tcW w:type="dxa" w:w="2000"/>
            <w:tcBorders>
              <w:top w:val="single" w:color="1A6060" w:sz="1"/>
              <w:left w:val="single" w:color="1A6060" w:sz="1"/>
              <w:bottom w:val="single" w:color="1A6060" w:sz="1"/>
              <w:right w:val="single" w:color="1A6060" w:sz="1"/>
            </w:tcBorders>
            <w:shd w:fill="D0EDED" w:val="clear"/>
            <w:tcMar>
              <w:top w:type="dxa" w:w="75"/>
              <w:left w:type="dxa" w:w="120"/>
              <w:bottom w:type="dxa" w:w="75"/>
              <w:right w:type="dxa" w:w="120"/>
            </w:tcMar>
          </w:tcPr>
          <w:p>
            <w:r>
              <w:rPr>
                <w:rFonts w:ascii="Arial" w:cs="Arial" w:eastAsia="Arial" w:hAnsi="Arial"/>
                <w:b/>
                <w:bCs/>
                <w:color w:val="1A6060"/>
                <w:sz w:val="19"/>
                <w:szCs w:val="19"/>
              </w:rPr>
              <w:t xml:space="preserve">Medicinal use</w:t>
            </w:r>
          </w:p>
        </w:tc>
        <w:tc>
          <w:tcPr>
            <w:tcW w:type="dxa" w:w="7360"/>
            <w:tcBorders>
              <w:top w:val="single" w:color="1A6060" w:sz="1"/>
              <w:left w:val="single" w:color="1A6060" w:sz="1"/>
              <w:bottom w:val="single" w:color="1A6060" w:sz="1"/>
              <w:right w:val="single" w:color="1A606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A premier nervine (nerve tonic) in the American herbal tradition: calms nervous system without heavy sedation; acute anxiety and tension; nervous restlessness; "scattered mind" and difficulty focusing; muscle tension from nervous origin; nervous insomnia. Baicalin (primary flavonoid) has documented GABA-A receptor binding activity. Historically called "mad dog" skullcap for use in rabies — not an effective treatment for that, but demonstrates the historical recognition of its strong nervous system effects.</w:t>
            </w:r>
          </w:p>
        </w:tc>
      </w:tr>
      <w:tr>
        <w:tc>
          <w:tcPr>
            <w:tcW w:type="dxa" w:w="2000"/>
            <w:tcBorders>
              <w:top w:val="single" w:color="1A6060" w:sz="1"/>
              <w:left w:val="single" w:color="1A6060" w:sz="1"/>
              <w:bottom w:val="single" w:color="1A6060" w:sz="1"/>
              <w:right w:val="single" w:color="1A6060" w:sz="1"/>
            </w:tcBorders>
            <w:shd w:fill="EEEEEE" w:val="clear"/>
            <w:tcMar>
              <w:top w:type="dxa" w:w="75"/>
              <w:left w:type="dxa" w:w="120"/>
              <w:bottom w:type="dxa" w:w="75"/>
              <w:right w:type="dxa" w:w="120"/>
            </w:tcMar>
          </w:tcPr>
          <w:p>
            <w:r>
              <w:rPr>
                <w:rFonts w:ascii="Arial" w:cs="Arial" w:eastAsia="Arial" w:hAnsi="Arial"/>
                <w:b/>
                <w:bCs/>
                <w:color w:val="1A6060"/>
                <w:sz w:val="19"/>
                <w:szCs w:val="19"/>
              </w:rPr>
              <w:t xml:space="preserve">Preparation</w:t>
            </w:r>
          </w:p>
        </w:tc>
        <w:tc>
          <w:tcPr>
            <w:tcW w:type="dxa" w:w="7360"/>
            <w:tcBorders>
              <w:top w:val="single" w:color="1A6060" w:sz="1"/>
              <w:left w:val="single" w:color="1A6060" w:sz="1"/>
              <w:bottom w:val="single" w:color="1A6060" w:sz="1"/>
              <w:right w:val="single" w:color="1A606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Fresh plant tincture (strongly preferred over dried — constituents degrade rapidly with drying): 1:2 fresh weight in 60% alcohol; 2–4 ml (40–80 drops) as needed for acute anxiety or before bed. Dried plant tincture (less preferred but workable): 1:5 in 50% alcohol; higher dose needed. Tea from fresh plant: 1–2 tablespoons fresh herb per cup, steep 5 minutes — use only if very fresh (dried tea has much reduced activity). Commercial products: look for "fresh plant extract" designation for best quality.</w:t>
            </w:r>
          </w:p>
        </w:tc>
      </w:tr>
      <w:tr>
        <w:tc>
          <w:tcPr>
            <w:tcW w:type="dxa" w:w="2000"/>
            <w:tcBorders>
              <w:top w:val="single" w:color="1A6060" w:sz="1"/>
              <w:left w:val="single" w:color="1A6060" w:sz="1"/>
              <w:bottom w:val="single" w:color="1A6060" w:sz="1"/>
              <w:right w:val="single" w:color="1A6060" w:sz="1"/>
            </w:tcBorders>
            <w:shd w:fill="D0EDED" w:val="clear"/>
            <w:tcMar>
              <w:top w:type="dxa" w:w="75"/>
              <w:left w:type="dxa" w:w="120"/>
              <w:bottom w:type="dxa" w:w="75"/>
              <w:right w:type="dxa" w:w="120"/>
            </w:tcMar>
          </w:tcPr>
          <w:p>
            <w:r>
              <w:rPr>
                <w:rFonts w:ascii="Arial" w:cs="Arial" w:eastAsia="Arial" w:hAnsi="Arial"/>
                <w:b/>
                <w:bCs/>
                <w:color w:val="1A6060"/>
                <w:sz w:val="19"/>
                <w:szCs w:val="19"/>
              </w:rPr>
              <w:t xml:space="preserve">Evidence base</w:t>
            </w:r>
          </w:p>
        </w:tc>
        <w:tc>
          <w:tcPr>
            <w:tcW w:type="dxa" w:w="7360"/>
            <w:tcBorders>
              <w:top w:val="single" w:color="1A6060" w:sz="1"/>
              <w:left w:val="single" w:color="1A6060" w:sz="1"/>
              <w:bottom w:val="single" w:color="1A6060" w:sz="1"/>
              <w:right w:val="single" w:color="1A6060"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Pilot clinical trials showing anxiety reduction; in vitro evidence for GABA-A binding; mechanistic research active; traditional use very well-established in American herbalism.</w:t>
            </w:r>
          </w:p>
        </w:tc>
      </w:tr>
      <w:tr>
        <w:tc>
          <w:tcPr>
            <w:tcW w:type="dxa" w:w="2000"/>
            <w:tcBorders>
              <w:top w:val="single" w:color="1A6060" w:sz="1"/>
              <w:left w:val="single" w:color="1A6060" w:sz="1"/>
              <w:bottom w:val="single" w:color="1A6060" w:sz="1"/>
              <w:right w:val="single" w:color="1A6060" w:sz="1"/>
            </w:tcBorders>
            <w:shd w:fill="EEEEEE" w:val="clear"/>
            <w:tcMar>
              <w:top w:type="dxa" w:w="75"/>
              <w:left w:type="dxa" w:w="120"/>
              <w:bottom w:type="dxa" w:w="75"/>
              <w:right w:type="dxa" w:w="120"/>
            </w:tcMar>
          </w:tcPr>
          <w:p>
            <w:r>
              <w:rPr>
                <w:rFonts w:ascii="Arial" w:cs="Arial" w:eastAsia="Arial" w:hAnsi="Arial"/>
                <w:b/>
                <w:bCs/>
                <w:color w:val="1A6060"/>
                <w:sz w:val="19"/>
                <w:szCs w:val="19"/>
              </w:rPr>
              <w:t xml:space="preserve">Safety</w:t>
            </w:r>
          </w:p>
        </w:tc>
        <w:tc>
          <w:tcPr>
            <w:tcW w:type="dxa" w:w="7360"/>
            <w:tcBorders>
              <w:top w:val="single" w:color="1A6060" w:sz="1"/>
              <w:left w:val="single" w:color="1A6060" w:sz="1"/>
              <w:bottom w:val="single" w:color="1A6060" w:sz="1"/>
              <w:right w:val="single" w:color="1A6060"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Generally safe at normal doses. Liver concern: serious adulteration concern — skullcap has historically been adulterated with germander (Teucrium species), which causes liver damage; the reported liver toxicity cases attributed to skullcap are likely germander contamination; buy from reputable suppliers. Normal skullcap appears safe. Additive sedation with sedative medications — use cautiously.</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5A27" w:sz="2"/>
              <w:left w:val="single" w:color="2D5A27" w:sz="2"/>
              <w:bottom w:val="single" w:color="2D5A27" w:sz="2"/>
              <w:right w:val="single" w:color="2D5A27" w:sz="2"/>
            </w:tcBorders>
            <w:shd w:fill="2D5A27" w:val="clear"/>
            <w:tcMar>
              <w:top w:type="dxa" w:w="120"/>
              <w:left w:type="dxa" w:w="200"/>
              <w:bottom w:type="dxa" w:w="80"/>
              <w:right w:type="dxa" w:w="200"/>
            </w:tcMar>
          </w:tcPr>
          <w:p>
            <w:pPr>
              <w:spacing w:before="0" w:after="40"/>
            </w:pPr>
            <w:r>
              <w:rPr>
                <w:rFonts w:ascii="Arial" w:cs="Arial" w:eastAsia="Arial" w:hAnsi="Arial"/>
                <w:b/>
                <w:bCs/>
                <w:color w:val="FFFFFF"/>
                <w:sz w:val="26"/>
                <w:szCs w:val="26"/>
              </w:rPr>
              <w:t xml:space="preserve">Nettle</w:t>
            </w:r>
          </w:p>
          <w:p>
            <w:pPr>
              <w:spacing w:before="0" w:after="0"/>
            </w:pPr>
            <w:r>
              <w:rPr>
                <w:rFonts w:ascii="Arial" w:cs="Arial" w:eastAsia="Arial" w:hAnsi="Arial"/>
                <w:i/>
                <w:iCs/>
                <w:color w:val="EEEEEE"/>
                <w:sz w:val="20"/>
                <w:szCs w:val="20"/>
              </w:rPr>
              <w:t xml:space="preserve">Urtica dioica</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Family</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Urticaceae</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Parts used</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Young leaves (spring harvest, before flowering); roots (fall harvest for different compounds)</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Growing</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Perennial native to Europe and North America; Zones 3–10. Part shade to full sun; rich, consistently moist soil; spreads vigorously by rhizome — grow in a contained area. Harvest young spring growth before it flowers (stinging stops with blanching or drying). Handle with gloves (the sting is genuinely painful — stinging hairs inject formic acid, histamine, and acetylcholine into skin). One of the most nutritionally and medicinally valuable plants you can grow.</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Zones</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Zones 3–10; extremely adaptable</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Medicinal use</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Leaf: one of the most nutritious plants available (high in iron, calcium, magnesium, vitamins A, C, K); anti-inflammatory and antihistamine for seasonal allergies (freeze-dried nettle leaf capsules shown to reduce allergy symptoms in one RCT); diuretic; anti-inflammatory for arthritis (cooking into soups and stews; also local application of fresh nettle to arthritic joints — the sting triggers anti-inflammatory response). Root: specific use for benign prostatic hyperplasia (BPH) — multiple clinical trials showing symptom reduction; often combined with saw palmetto.</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Preparation</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Nourishing infusion (Susun Weed's method): 1 ounce dried nettle leaf per quart hot water; steep 4–8 hours; drink 2 cups daily as mineral-rich tonic. Tea: 2 teaspoons dried leaf per cup, 10 minutes. Freeze-dried leaf capsules: 300–600mg, 2x daily for allergy support. Root tincture: 1:5 in 45% alcohol; 3–5 ml 2–3x daily for prostate support. Cooked nettle: blanch young leaves 1 minute; treat exactly like cooked spinach — excellent nutritive food.</w:t>
            </w:r>
          </w:p>
        </w:tc>
      </w:tr>
      <w:tr>
        <w:tc>
          <w:tcPr>
            <w:tcW w:type="dxa" w:w="2000"/>
            <w:tcBorders>
              <w:top w:val="single" w:color="2D5A27" w:sz="1"/>
              <w:left w:val="single" w:color="2D5A27" w:sz="1"/>
              <w:bottom w:val="single" w:color="2D5A27" w:sz="1"/>
              <w:right w:val="single" w:color="2D5A27" w:sz="1"/>
            </w:tcBorders>
            <w:shd w:fill="D8EDD5" w:val="clear"/>
            <w:tcMar>
              <w:top w:type="dxa" w:w="75"/>
              <w:left w:type="dxa" w:w="120"/>
              <w:bottom w:type="dxa" w:w="75"/>
              <w:right w:type="dxa" w:w="120"/>
            </w:tcMar>
          </w:tcPr>
          <w:p>
            <w:r>
              <w:rPr>
                <w:rFonts w:ascii="Arial" w:cs="Arial" w:eastAsia="Arial" w:hAnsi="Arial"/>
                <w:b/>
                <w:bCs/>
                <w:color w:val="2D5A27"/>
                <w:sz w:val="19"/>
                <w:szCs w:val="19"/>
              </w:rPr>
              <w:t xml:space="preserve">Evidence base</w:t>
            </w:r>
          </w:p>
        </w:tc>
        <w:tc>
          <w:tcPr>
            <w:tcW w:type="dxa" w:w="7360"/>
            <w:tcBorders>
              <w:top w:val="single" w:color="2D5A27" w:sz="1"/>
              <w:left w:val="single" w:color="2D5A27" w:sz="1"/>
              <w:bottom w:val="single" w:color="2D5A27" w:sz="1"/>
              <w:right w:val="single" w:color="2D5A27" w:sz="1"/>
            </w:tcBorders>
            <w:shd w:fill="FFFFFF" w:val="clear"/>
            <w:tcMar>
              <w:top w:type="dxa" w:w="75"/>
              <w:left w:type="dxa" w:w="120"/>
              <w:bottom w:type="dxa" w:w="75"/>
              <w:right w:type="dxa" w:w="120"/>
            </w:tcMar>
          </w:tcPr>
          <w:p>
            <w:r>
              <w:rPr>
                <w:rFonts w:ascii="Arial" w:cs="Arial" w:eastAsia="Arial" w:hAnsi="Arial"/>
                <w:color w:val="1A1A1A"/>
                <w:sz w:val="19"/>
                <w:szCs w:val="19"/>
              </w:rPr>
              <w:t xml:space="preserve">Positive clinical trial for allergy (freeze-dried leaf); multiple positive trials for BPH (root alone and with saw palmetto); nutritional analysis excellent; traditional use very extensive; German Commission E approved for root use in BPH.</w:t>
            </w:r>
          </w:p>
        </w:tc>
      </w:tr>
      <w:tr>
        <w:tc>
          <w:tcPr>
            <w:tcW w:type="dxa" w:w="2000"/>
            <w:tcBorders>
              <w:top w:val="single" w:color="2D5A27" w:sz="1"/>
              <w:left w:val="single" w:color="2D5A27" w:sz="1"/>
              <w:bottom w:val="single" w:color="2D5A27" w:sz="1"/>
              <w:right w:val="single" w:color="2D5A27" w:sz="1"/>
            </w:tcBorders>
            <w:shd w:fill="EEEEEE" w:val="clear"/>
            <w:tcMar>
              <w:top w:type="dxa" w:w="75"/>
              <w:left w:type="dxa" w:w="120"/>
              <w:bottom w:type="dxa" w:w="75"/>
              <w:right w:type="dxa" w:w="120"/>
            </w:tcMar>
          </w:tcPr>
          <w:p>
            <w:r>
              <w:rPr>
                <w:rFonts w:ascii="Arial" w:cs="Arial" w:eastAsia="Arial" w:hAnsi="Arial"/>
                <w:b/>
                <w:bCs/>
                <w:color w:val="2D5A27"/>
                <w:sz w:val="19"/>
                <w:szCs w:val="19"/>
              </w:rPr>
              <w:t xml:space="preserve">Safety</w:t>
            </w:r>
          </w:p>
        </w:tc>
        <w:tc>
          <w:tcPr>
            <w:tcW w:type="dxa" w:w="7360"/>
            <w:tcBorders>
              <w:top w:val="single" w:color="2D5A27" w:sz="1"/>
              <w:left w:val="single" w:color="2D5A27" w:sz="1"/>
              <w:bottom w:val="single" w:color="2D5A27" w:sz="1"/>
              <w:right w:val="single" w:color="2D5A27" w:sz="1"/>
            </w:tcBorders>
            <w:shd w:fill="F8F8F8" w:val="clear"/>
            <w:tcMar>
              <w:top w:type="dxa" w:w="75"/>
              <w:left w:type="dxa" w:w="120"/>
              <w:bottom w:type="dxa" w:w="75"/>
              <w:right w:type="dxa" w:w="120"/>
            </w:tcMar>
          </w:tcPr>
          <w:p>
            <w:r>
              <w:rPr>
                <w:rFonts w:ascii="Arial" w:cs="Arial" w:eastAsia="Arial" w:hAnsi="Arial"/>
                <w:color w:val="1A1A1A"/>
                <w:sz w:val="19"/>
                <w:szCs w:val="19"/>
              </w:rPr>
              <w:t xml:space="preserve">The stinging is the primary hazard — handle fresh plant with gloves; heat (blanching, cooking, drying) eliminates stinging. Dried or cooked nettle: excellent safety profile. Diuretic effect with appropriate potassium balance. Pregnancy: the leaf is traditionally used as a nutritive herb during pregnancy (high iron content); root use should be cleared with physician. Drug interactions: mild anticoagulant and antihypertensive effects at high doses.</w:t>
            </w:r>
          </w:p>
        </w:tc>
      </w:tr>
    </w:tbl>
    <w:p>
      <w:pPr>
        <w:spacing w:before="160" w:after="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060" w:sz="2"/>
              <w:left w:val="single" w:color="1A6060" w:sz="2"/>
              <w:bottom w:val="single" w:color="1A6060" w:sz="2"/>
              <w:right w:val="single" w:color="1A6060" w:sz="2"/>
            </w:tcBorders>
            <w:shd w:fill="1A6060" w:val="clear"/>
            <w:tcMar>
              <w:top w:type="dxa" w:w="220"/>
              <w:left w:type="dxa" w:w="360"/>
              <w:bottom w:type="dxa" w:w="180"/>
              <w:right w:type="dxa" w:w="360"/>
            </w:tcMar>
          </w:tcPr>
          <w:p>
            <w:pPr>
              <w:spacing w:before="0" w:after="60"/>
              <w:jc w:val="center"/>
            </w:pPr>
            <w:r>
              <w:rPr>
                <w:rFonts w:ascii="Arial" w:cs="Arial" w:eastAsia="Arial" w:hAnsi="Arial"/>
                <w:b/>
                <w:bCs/>
                <w:color w:val="FFFFFF"/>
                <w:sz w:val="46"/>
                <w:szCs w:val="46"/>
              </w:rPr>
              <w:t xml:space="preserve">🏡  SECTION 6: MEDICINAL HERB GARDEN DESIGNS</w:t>
            </w:r>
          </w:p>
          <w:p>
            <w:pPr>
              <w:spacing w:before="0" w:after="0"/>
              <w:jc w:val="center"/>
            </w:pPr>
            <w:r>
              <w:rPr>
                <w:rFonts w:ascii="Arial" w:cs="Arial" w:eastAsia="Arial" w:hAnsi="Arial"/>
                <w:i/>
                <w:iCs/>
                <w:color w:val="F0F5EE"/>
                <w:sz w:val="24"/>
                <w:szCs w:val="24"/>
              </w:rPr>
              <w:t xml:space="preserve">Layouts organized by use, space, and growing conditions</w:t>
            </w:r>
          </w:p>
        </w:tc>
      </w:tr>
    </w:tbl>
    <w:p>
      <w:pPr>
        <w:spacing w:before="240" w:after="0"/>
      </w:pPr>
      <w:r>
        <w:t xml:space="preserve"/>
      </w:r>
    </w:p>
    <w:p>
      <w:pPr>
        <w:pStyle w:val="Heading1"/>
        <w:pBdr>
          <w:bottom w:val="single" w:color="2D5A27" w:sz="10" w:space="4"/>
        </w:pBdr>
        <w:spacing w:before="320" w:after="140"/>
      </w:pPr>
      <w:r>
        <w:rPr>
          <w:rFonts w:ascii="Arial" w:cs="Arial" w:eastAsia="Arial" w:hAnsi="Arial"/>
          <w:b/>
          <w:bCs/>
          <w:color w:val="2D5A27"/>
          <w:sz w:val="36"/>
          <w:szCs w:val="36"/>
        </w:rPr>
        <w:t xml:space="preserve">Designing Your Medicinal Herb Garden</w:t>
      </w:r>
    </w:p>
    <w:p>
      <w:pPr>
        <w:spacing w:before="70" w:after="70"/>
      </w:pPr>
      <w:r>
        <w:rPr>
          <w:rFonts w:ascii="Arial" w:cs="Arial" w:eastAsia="Arial" w:hAnsi="Arial"/>
          <w:color w:val="1A1A1A"/>
          <w:sz w:val="22"/>
          <w:szCs w:val="22"/>
        </w:rPr>
        <w:t xml:space="preserve">A well-organized medicinal herb garden is more useful than a random collection of plants because you can find what you need quickly, group plants by compatible growing requirements, and remember what you have. The following design approaches have proven practical across diverse American gardening situations.</w:t>
      </w:r>
    </w:p>
    <w:p>
      <w:pPr>
        <w:spacing w:before="160" w:after="0"/>
      </w:pPr>
      <w:r>
        <w:t xml:space="preserve"/>
      </w:r>
    </w:p>
    <w:p>
      <w:pPr>
        <w:pStyle w:val="Heading2"/>
        <w:spacing w:before="260" w:after="100"/>
      </w:pPr>
      <w:r>
        <w:rPr>
          <w:rFonts w:ascii="Arial" w:cs="Arial" w:eastAsia="Arial" w:hAnsi="Arial"/>
          <w:b/>
          <w:bCs/>
          <w:color w:val="1A6060"/>
          <w:sz w:val="28"/>
          <w:szCs w:val="28"/>
        </w:rPr>
        <w:t xml:space="preserve">Design 1: The Kitchen Medicine Cabinet Garden (Small — 4x8 Raised Bed)</w:t>
      </w:r>
    </w:p>
    <w:p>
      <w:pPr>
        <w:spacing w:before="70" w:after="70"/>
      </w:pPr>
      <w:r>
        <w:rPr>
          <w:rFonts w:ascii="Arial" w:cs="Arial" w:eastAsia="Arial" w:hAnsi="Arial"/>
          <w:color w:val="1A1A1A"/>
          <w:sz w:val="22"/>
          <w:szCs w:val="22"/>
        </w:rPr>
        <w:t xml:space="preserve">A curated collection of the most-used herbs for everyday wellness, organized for easy access and harvest. This is the highest-value medicinal garden per square foot for a beginning home herbalist.</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80"/>
        <w:gridCol w:w="1480"/>
        <w:gridCol w:w="3480"/>
        <w:gridCol w:w="2920"/>
      </w:tblGrid>
      <w:tr>
        <w:trPr>
          <w:tblHeader/>
        </w:trPr>
        <w:tc>
          <w:tcPr>
            <w:tcW w:type="dxa" w:w="1480"/>
            <w:tcBorders>
              <w:top w:val="single" w:color="1A6060" w:sz="1"/>
              <w:left w:val="single" w:color="1A6060" w:sz="1"/>
              <w:bottom w:val="single" w:color="1A6060" w:sz="1"/>
              <w:right w:val="single" w:color="1A6060" w:sz="1"/>
            </w:tcBorders>
            <w:shd w:fill="1A6060"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Position</w:t>
            </w:r>
          </w:p>
        </w:tc>
        <w:tc>
          <w:tcPr>
            <w:tcW w:type="dxa" w:w="1480"/>
            <w:tcBorders>
              <w:top w:val="single" w:color="1A6060" w:sz="1"/>
              <w:left w:val="single" w:color="1A6060" w:sz="1"/>
              <w:bottom w:val="single" w:color="1A6060" w:sz="1"/>
              <w:right w:val="single" w:color="1A6060" w:sz="1"/>
            </w:tcBorders>
            <w:shd w:fill="1A6060"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Herb</w:t>
            </w:r>
          </w:p>
        </w:tc>
        <w:tc>
          <w:tcPr>
            <w:tcW w:type="dxa" w:w="3480"/>
            <w:tcBorders>
              <w:top w:val="single" w:color="1A6060" w:sz="1"/>
              <w:left w:val="single" w:color="1A6060" w:sz="1"/>
              <w:bottom w:val="single" w:color="1A6060" w:sz="1"/>
              <w:right w:val="single" w:color="1A6060" w:sz="1"/>
            </w:tcBorders>
            <w:shd w:fill="1A6060"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Why Here</w:t>
            </w:r>
          </w:p>
        </w:tc>
        <w:tc>
          <w:tcPr>
            <w:tcW w:type="dxa" w:w="2920"/>
            <w:tcBorders>
              <w:top w:val="single" w:color="1A6060" w:sz="1"/>
              <w:left w:val="single" w:color="1A6060" w:sz="1"/>
              <w:bottom w:val="single" w:color="1A6060" w:sz="1"/>
              <w:right w:val="single" w:color="1A6060" w:sz="1"/>
            </w:tcBorders>
            <w:shd w:fill="1A6060"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Size/Notes</w:t>
            </w:r>
          </w:p>
        </w:tc>
      </w:tr>
      <w:tr>
        <w:tc>
          <w:tcPr>
            <w:tcW w:type="dxa" w:w="148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Back center (tallest)</w:t>
            </w:r>
          </w:p>
        </w:tc>
        <w:tc>
          <w:tcPr>
            <w:tcW w:type="dxa" w:w="148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Echinacea purpurea</w:t>
            </w:r>
          </w:p>
        </w:tc>
        <w:tc>
          <w:tcPr>
            <w:tcW w:type="dxa" w:w="348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Tallest plant; beautiful; harvest aerial parts for immune support</w:t>
            </w:r>
          </w:p>
        </w:tc>
        <w:tc>
          <w:tcPr>
            <w:tcW w:type="dxa" w:w="292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3–4 ft; divide every 3 years</w:t>
            </w:r>
          </w:p>
        </w:tc>
      </w:tr>
      <w:tr>
        <w:tc>
          <w:tcPr>
            <w:tcW w:type="dxa" w:w="148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Back left</w:t>
            </w:r>
          </w:p>
        </w:tc>
        <w:tc>
          <w:tcPr>
            <w:tcW w:type="dxa" w:w="148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Lemon Balm</w:t>
            </w:r>
          </w:p>
        </w:tc>
        <w:tc>
          <w:tcPr>
            <w:tcW w:type="dxa" w:w="348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Grows large; shade-tolerant; harvest frequently to contain; anxiety and sleep</w:t>
            </w:r>
          </w:p>
        </w:tc>
        <w:tc>
          <w:tcPr>
            <w:tcW w:type="dxa" w:w="292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2–3 ft; aggressive spreader — divide or cut back regularly</w:t>
            </w:r>
          </w:p>
        </w:tc>
      </w:tr>
      <w:tr>
        <w:tc>
          <w:tcPr>
            <w:tcW w:type="dxa" w:w="148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Back right</w:t>
            </w:r>
          </w:p>
        </w:tc>
        <w:tc>
          <w:tcPr>
            <w:tcW w:type="dxa" w:w="148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Valerian</w:t>
            </w:r>
          </w:p>
        </w:tc>
        <w:tc>
          <w:tcPr>
            <w:tcW w:type="dxa" w:w="348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Tall; harvest roots in fall of year 2; sleep and anxiety</w:t>
            </w:r>
          </w:p>
        </w:tc>
        <w:tc>
          <w:tcPr>
            <w:tcW w:type="dxa" w:w="292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4–5 ft in bloom; dies back in winter</w:t>
            </w:r>
          </w:p>
        </w:tc>
      </w:tr>
      <w:tr>
        <w:tc>
          <w:tcPr>
            <w:tcW w:type="dxa" w:w="148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Middle left</w:t>
            </w:r>
          </w:p>
        </w:tc>
        <w:tc>
          <w:tcPr>
            <w:tcW w:type="dxa" w:w="148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Chamomile (German)</w:t>
            </w:r>
          </w:p>
        </w:tc>
        <w:tc>
          <w:tcPr>
            <w:tcW w:type="dxa" w:w="348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Self-seeds freely; flowers for tea throughout summer; most versatile medicinal in the garden</w:t>
            </w:r>
          </w:p>
        </w:tc>
        <w:tc>
          <w:tcPr>
            <w:tcW w:type="dxa" w:w="292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18–24 in; deadhead for continuous bloom; allow some seed set for reseeding</w:t>
            </w:r>
          </w:p>
        </w:tc>
      </w:tr>
      <w:tr>
        <w:tc>
          <w:tcPr>
            <w:tcW w:type="dxa" w:w="148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Middle center</w:t>
            </w:r>
          </w:p>
        </w:tc>
        <w:tc>
          <w:tcPr>
            <w:tcW w:type="dxa" w:w="148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Calendula</w:t>
            </w:r>
          </w:p>
        </w:tc>
        <w:tc>
          <w:tcPr>
            <w:tcW w:type="dxa" w:w="348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Prolific flower producer; harvest daily in peak season; wound healing and skin care</w:t>
            </w:r>
          </w:p>
        </w:tc>
        <w:tc>
          <w:tcPr>
            <w:tcW w:type="dxa" w:w="292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18 in; most productive herb in the garden per flower; deadhead constantly</w:t>
            </w:r>
          </w:p>
        </w:tc>
      </w:tr>
      <w:tr>
        <w:tc>
          <w:tcPr>
            <w:tcW w:type="dxa" w:w="148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Middle right</w:t>
            </w:r>
          </w:p>
        </w:tc>
        <w:tc>
          <w:tcPr>
            <w:tcW w:type="dxa" w:w="148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Peppermint (in pot sunk in soil)</w:t>
            </w:r>
          </w:p>
        </w:tc>
        <w:tc>
          <w:tcPr>
            <w:tcW w:type="dxa" w:w="348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Contained to prevent spreading; harvest throughout season; digestive and respiratory</w:t>
            </w:r>
          </w:p>
        </w:tc>
        <w:tc>
          <w:tcPr>
            <w:tcW w:type="dxa" w:w="292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Keep in large pot; roots still somewhat contained; harvest frequently</w:t>
            </w:r>
          </w:p>
        </w:tc>
      </w:tr>
      <w:tr>
        <w:tc>
          <w:tcPr>
            <w:tcW w:type="dxa" w:w="148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Front left</w:t>
            </w:r>
          </w:p>
        </w:tc>
        <w:tc>
          <w:tcPr>
            <w:tcW w:type="dxa" w:w="148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Thyme (Greek)</w:t>
            </w:r>
          </w:p>
        </w:tc>
        <w:tc>
          <w:tcPr>
            <w:tcW w:type="dxa" w:w="348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Low-growing; drought-tolerant; harvest for respiratory and antimicrobial use; aromatic</w:t>
            </w:r>
          </w:p>
        </w:tc>
        <w:tc>
          <w:tcPr>
            <w:tcW w:type="dxa" w:w="292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8–12 in; perennial in Zone 5+; harvest before flowering</w:t>
            </w:r>
          </w:p>
        </w:tc>
      </w:tr>
      <w:tr>
        <w:tc>
          <w:tcPr>
            <w:tcW w:type="dxa" w:w="148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Front center</w:t>
            </w:r>
          </w:p>
        </w:tc>
        <w:tc>
          <w:tcPr>
            <w:tcW w:type="dxa" w:w="148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Lavender</w:t>
            </w:r>
          </w:p>
        </w:tc>
        <w:tc>
          <w:tcPr>
            <w:tcW w:type="dxa" w:w="348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Aromatic; beautiful; medicinal flowers for sleep and anxiety; requires excellent drainage</w:t>
            </w:r>
          </w:p>
        </w:tc>
        <w:tc>
          <w:tcPr>
            <w:tcW w:type="dxa" w:w="2920"/>
            <w:tcBorders>
              <w:top w:val="single" w:color="1A6060" w:sz="1"/>
              <w:left w:val="single" w:color="1A6060" w:sz="1"/>
              <w:bottom w:val="single" w:color="1A6060" w:sz="1"/>
              <w:right w:val="single" w:color="1A6060"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18–24 in; needs well-drained gritty soil; may need raised position</w:t>
            </w:r>
          </w:p>
        </w:tc>
      </w:tr>
      <w:tr>
        <w:tc>
          <w:tcPr>
            <w:tcW w:type="dxa" w:w="148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Front right</w:t>
            </w:r>
          </w:p>
        </w:tc>
        <w:tc>
          <w:tcPr>
            <w:tcW w:type="dxa" w:w="148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Plantain (in small section)</w:t>
            </w:r>
          </w:p>
        </w:tc>
        <w:tc>
          <w:tcPr>
            <w:tcW w:type="dxa" w:w="348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Harvest young leaves from elsewhere in garden or allow a small section here; first aid herb</w:t>
            </w:r>
          </w:p>
        </w:tc>
        <w:tc>
          <w:tcPr>
            <w:tcW w:type="dxa" w:w="2920"/>
            <w:tcBorders>
              <w:top w:val="single" w:color="1A6060" w:sz="1"/>
              <w:left w:val="single" w:color="1A6060" w:sz="1"/>
              <w:bottom w:val="single" w:color="1A6060" w:sz="1"/>
              <w:right w:val="single" w:color="1A6060"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Allow to establish naturally; harvest young spring leaves; pull seeding stalks before they set</w:t>
            </w:r>
          </w:p>
        </w:tc>
      </w:tr>
    </w:tbl>
    <w:p>
      <w:pPr>
        <w:spacing w:before="200" w:after="0"/>
      </w:pPr>
      <w:r>
        <w:t xml:space="preserve"/>
      </w:r>
    </w:p>
    <w:p>
      <w:pPr>
        <w:pStyle w:val="Heading2"/>
        <w:spacing w:before="260" w:after="100"/>
      </w:pPr>
      <w:r>
        <w:rPr>
          <w:rFonts w:ascii="Arial" w:cs="Arial" w:eastAsia="Arial" w:hAnsi="Arial"/>
          <w:b/>
          <w:bCs/>
          <w:color w:val="1A6060"/>
          <w:sz w:val="28"/>
          <w:szCs w:val="28"/>
        </w:rPr>
        <w:t xml:space="preserve">Design 2: The Woodland Medicinal Garden (Shade Garden Under Trees)</w:t>
      </w:r>
    </w:p>
    <w:p>
      <w:pPr>
        <w:spacing w:before="70" w:after="70"/>
      </w:pPr>
      <w:r>
        <w:rPr>
          <w:rFonts w:ascii="Arial" w:cs="Arial" w:eastAsia="Arial" w:hAnsi="Arial"/>
          <w:color w:val="1A1A1A"/>
          <w:sz w:val="22"/>
          <w:szCs w:val="22"/>
        </w:rPr>
        <w:t xml:space="preserve">Many of North America's most important medicinal herbs are woodland species that require the dappled shade and moist rich soil found under deciduous trees. If you have a shaded area, this is your medicinal garden opportunity.</w:t>
      </w:r>
    </w:p>
    <w:p>
      <w:pPr>
        <w:spacing w:before="120" w:after="0"/>
      </w:pPr>
      <w:r>
        <w:t xml:space="preserve"/>
      </w:r>
    </w:p>
    <w:p>
      <w:pPr>
        <w:pStyle w:val="ListParagraph"/>
        <w:numPr>
          <w:ilvl w:val="0"/>
          <w:numId w:val="3"/>
        </w:numPr>
        <w:spacing w:before="50" w:after="50"/>
      </w:pPr>
      <w:r>
        <w:rPr>
          <w:rFonts w:ascii="Arial" w:cs="Arial" w:eastAsia="Arial" w:hAnsi="Arial"/>
          <w:b/>
          <w:bCs/>
          <w:color w:val="1A1A1A"/>
          <w:sz w:val="22"/>
          <w:szCs w:val="22"/>
        </w:rPr>
        <w:t xml:space="preserve">Goldenseal (Hydrastis canadensis): The most important American woodland medicinal herb; antimicrobial, immune stimulating, anti-inflammatory; endangered in the wild — grow your own from rhizome divisions (do not wild-harvest); Zones 3–8; needs rich, moist, acidic woodland soil</w:t>
      </w:r>
    </w:p>
    <w:p>
      <w:pPr>
        <w:pStyle w:val="ListParagraph"/>
        <w:numPr>
          <w:ilvl w:val="0"/>
          <w:numId w:val="3"/>
        </w:numPr>
        <w:spacing w:before="50" w:after="50"/>
      </w:pPr>
      <w:r>
        <w:rPr>
          <w:rFonts w:ascii="Arial" w:cs="Arial" w:eastAsia="Arial" w:hAnsi="Arial"/>
          <w:b w:val="false"/>
          <w:bCs w:val="false"/>
          <w:color w:val="1A1A1A"/>
          <w:sz w:val="22"/>
          <w:szCs w:val="22"/>
        </w:rPr>
        <w:t xml:space="preserve">Black Cohosh (Actaea racemosa): Tall dramatic plant for menopausal support; Zones 3–8; rich moist woodland soil; grows in dense shade</w:t>
      </w:r>
    </w:p>
    <w:p>
      <w:pPr>
        <w:pStyle w:val="ListParagraph"/>
        <w:numPr>
          <w:ilvl w:val="0"/>
          <w:numId w:val="3"/>
        </w:numPr>
        <w:spacing w:before="50" w:after="50"/>
      </w:pPr>
      <w:r>
        <w:rPr>
          <w:rFonts w:ascii="Arial" w:cs="Arial" w:eastAsia="Arial" w:hAnsi="Arial"/>
          <w:b w:val="false"/>
          <w:bCs w:val="false"/>
          <w:color w:val="1A1A1A"/>
          <w:sz w:val="22"/>
          <w:szCs w:val="22"/>
        </w:rPr>
        <w:t xml:space="preserve">Solomon's Seal (Polygonatum biflorum): Anti-inflammatory; connective tissue support; nutritive; beautiful arching habit; Zones 3–9; very easy woodland perennial</w:t>
      </w:r>
    </w:p>
    <w:p>
      <w:pPr>
        <w:pStyle w:val="ListParagraph"/>
        <w:numPr>
          <w:ilvl w:val="0"/>
          <w:numId w:val="3"/>
        </w:numPr>
        <w:spacing w:before="50" w:after="50"/>
      </w:pPr>
      <w:r>
        <w:rPr>
          <w:rFonts w:ascii="Arial" w:cs="Arial" w:eastAsia="Arial" w:hAnsi="Arial"/>
          <w:b w:val="false"/>
          <w:bCs w:val="false"/>
          <w:color w:val="1A1A1A"/>
          <w:sz w:val="22"/>
          <w:szCs w:val="22"/>
        </w:rPr>
        <w:t xml:space="preserve">Wild Ginger (Asarum canadense): Low ground-cover; digestive herb; native; Zones 3–8; shade; moist woodland soil</w:t>
      </w:r>
    </w:p>
    <w:p>
      <w:pPr>
        <w:pStyle w:val="ListParagraph"/>
        <w:numPr>
          <w:ilvl w:val="0"/>
          <w:numId w:val="3"/>
        </w:numPr>
        <w:spacing w:before="50" w:after="50"/>
      </w:pPr>
      <w:r>
        <w:rPr>
          <w:rFonts w:ascii="Arial" w:cs="Arial" w:eastAsia="Arial" w:hAnsi="Arial"/>
          <w:b w:val="false"/>
          <w:bCs w:val="false"/>
          <w:color w:val="1A1A1A"/>
          <w:sz w:val="22"/>
          <w:szCs w:val="22"/>
        </w:rPr>
        <w:t xml:space="preserve">Bloodroot (Sanguinaria canadensis): Beautiful spring ephemeral; topical skin preparations only (toxic internally); Zones 3–8</w:t>
      </w:r>
    </w:p>
    <w:p>
      <w:pPr>
        <w:pStyle w:val="ListParagraph"/>
        <w:numPr>
          <w:ilvl w:val="0"/>
          <w:numId w:val="3"/>
        </w:numPr>
        <w:spacing w:before="50" w:after="50"/>
      </w:pPr>
      <w:r>
        <w:rPr>
          <w:rFonts w:ascii="Arial" w:cs="Arial" w:eastAsia="Arial" w:hAnsi="Arial"/>
          <w:b w:val="false"/>
          <w:bCs w:val="false"/>
          <w:color w:val="1A1A1A"/>
          <w:sz w:val="22"/>
          <w:szCs w:val="22"/>
        </w:rPr>
        <w:t xml:space="preserve">Trillium (Trillium spp.): Woodland native; not commonly used medicinally but important ecologically; do not wild-harvest; grow from nursery-propagated stock</w:t>
      </w:r>
    </w:p>
    <w:p>
      <w:pPr>
        <w:spacing w:before="160" w:after="0"/>
      </w:pPr>
      <w:r>
        <w:t xml:space="preserve"/>
      </w:r>
    </w:p>
    <w:p>
      <w:pPr>
        <w:pStyle w:val="Heading2"/>
        <w:spacing w:before="260" w:after="100"/>
      </w:pPr>
      <w:r>
        <w:rPr>
          <w:rFonts w:ascii="Arial" w:cs="Arial" w:eastAsia="Arial" w:hAnsi="Arial"/>
          <w:b/>
          <w:bCs/>
          <w:color w:val="1A6060"/>
          <w:sz w:val="28"/>
          <w:szCs w:val="28"/>
        </w:rPr>
        <w:t xml:space="preserve">Design 3: The Mediterranean Medicinal Herb Spiral</w:t>
      </w:r>
    </w:p>
    <w:p>
      <w:pPr>
        <w:spacing w:before="70" w:after="70"/>
      </w:pPr>
      <w:r>
        <w:rPr>
          <w:rFonts w:ascii="Arial" w:cs="Arial" w:eastAsia="Arial" w:hAnsi="Arial"/>
          <w:color w:val="1A1A1A"/>
          <w:sz w:val="22"/>
          <w:szCs w:val="22"/>
        </w:rPr>
        <w:t xml:space="preserve">An herb spiral is a permaculture-inspired raised mound design that creates multiple microclimates in a small space. The south-facing slopes are drier and hotter (Mediterranean herbs); the north-facing base is moister and cooler (moisture-loving herbs); the top is best-drained (drought-tolerant herbs). This design fits a 6-8 foot diameter space and grows 15+ herbs.</w:t>
      </w:r>
    </w:p>
    <w:p>
      <w:pPr>
        <w:spacing w:before="120" w:after="0"/>
      </w:pPr>
      <w:r>
        <w:t xml:space="preserve"/>
      </w:r>
    </w:p>
    <w:p>
      <w:pPr>
        <w:pStyle w:val="ListParagraph"/>
        <w:numPr>
          <w:ilvl w:val="0"/>
          <w:numId w:val="3"/>
        </w:numPr>
        <w:spacing w:before="50" w:after="50"/>
      </w:pPr>
      <w:r>
        <w:rPr>
          <w:rFonts w:ascii="Arial" w:cs="Arial" w:eastAsia="Arial" w:hAnsi="Arial"/>
          <w:b/>
          <w:bCs/>
          <w:color w:val="1A1A1A"/>
          <w:sz w:val="22"/>
          <w:szCs w:val="22"/>
        </w:rPr>
        <w:t xml:space="preserve">Top of spiral (best drainage, most sun): Rosemary; thyme; lavender; sage</w:t>
      </w:r>
    </w:p>
    <w:p>
      <w:pPr>
        <w:pStyle w:val="ListParagraph"/>
        <w:numPr>
          <w:ilvl w:val="0"/>
          <w:numId w:val="3"/>
        </w:numPr>
        <w:spacing w:before="50" w:after="50"/>
      </w:pPr>
      <w:r>
        <w:rPr>
          <w:rFonts w:ascii="Arial" w:cs="Arial" w:eastAsia="Arial" w:hAnsi="Arial"/>
          <w:b w:val="false"/>
          <w:bCs w:val="false"/>
          <w:color w:val="1A1A1A"/>
          <w:sz w:val="22"/>
          <w:szCs w:val="22"/>
        </w:rPr>
        <w:t xml:space="preserve">Upper south slope (good drainage, full sun): Oregano; thyme cultivars; marjoram; savory</w:t>
      </w:r>
    </w:p>
    <w:p>
      <w:pPr>
        <w:pStyle w:val="ListParagraph"/>
        <w:numPr>
          <w:ilvl w:val="0"/>
          <w:numId w:val="3"/>
        </w:numPr>
        <w:spacing w:before="50" w:after="50"/>
      </w:pPr>
      <w:r>
        <w:rPr>
          <w:rFonts w:ascii="Arial" w:cs="Arial" w:eastAsia="Arial" w:hAnsi="Arial"/>
          <w:b w:val="false"/>
          <w:bCs w:val="false"/>
          <w:color w:val="1A1A1A"/>
          <w:sz w:val="22"/>
          <w:szCs w:val="22"/>
        </w:rPr>
        <w:t xml:space="preserve">Mid slope (average drainage, full sun): Chamomile; calendula; echinacea</w:t>
      </w:r>
    </w:p>
    <w:p>
      <w:pPr>
        <w:pStyle w:val="ListParagraph"/>
        <w:numPr>
          <w:ilvl w:val="0"/>
          <w:numId w:val="3"/>
        </w:numPr>
        <w:spacing w:before="50" w:after="50"/>
      </w:pPr>
      <w:r>
        <w:rPr>
          <w:rFonts w:ascii="Arial" w:cs="Arial" w:eastAsia="Arial" w:hAnsi="Arial"/>
          <w:b w:val="false"/>
          <w:bCs w:val="false"/>
          <w:color w:val="1A1A1A"/>
          <w:sz w:val="22"/>
          <w:szCs w:val="22"/>
        </w:rPr>
        <w:t xml:space="preserve">Lower south slope (average moisture): Holy basil; tulsi; peppermint (contained)</w:t>
      </w:r>
    </w:p>
    <w:p>
      <w:pPr>
        <w:pStyle w:val="ListParagraph"/>
        <w:numPr>
          <w:ilvl w:val="0"/>
          <w:numId w:val="3"/>
        </w:numPr>
        <w:spacing w:before="50" w:after="50"/>
      </w:pPr>
      <w:r>
        <w:rPr>
          <w:rFonts w:ascii="Arial" w:cs="Arial" w:eastAsia="Arial" w:hAnsi="Arial"/>
          <w:b w:val="false"/>
          <w:bCs w:val="false"/>
          <w:color w:val="1A1A1A"/>
          <w:sz w:val="22"/>
          <w:szCs w:val="22"/>
        </w:rPr>
        <w:t xml:space="preserve">North base (most moisture, partial shade): Lemon balm; marshmallow; plantain; skullcap</w:t>
      </w:r>
    </w:p>
    <w:p>
      <w:pPr>
        <w:pStyle w:val="ListParagraph"/>
        <w:numPr>
          <w:ilvl w:val="0"/>
          <w:numId w:val="3"/>
        </w:numPr>
        <w:spacing w:before="50" w:after="50"/>
      </w:pPr>
      <w:r>
        <w:rPr>
          <w:rFonts w:ascii="Arial" w:cs="Arial" w:eastAsia="Arial" w:hAnsi="Arial"/>
          <w:b w:val="false"/>
          <w:bCs w:val="false"/>
          <w:color w:val="1A1A1A"/>
          <w:sz w:val="22"/>
          <w:szCs w:val="22"/>
        </w:rPr>
        <w:t xml:space="preserve">At base (bog area or water feature): Skullcap; meadowsweet; blue vervain</w:t>
      </w:r>
    </w:p>
    <w:p>
      <w:pPr>
        <w:spacing w:before="200" w:after="0"/>
      </w:pPr>
      <w:r>
        <w:t xml:space="preserve"/>
      </w:r>
    </w:p>
    <w:p>
      <w:pPr>
        <w:pStyle w:val="Heading2"/>
        <w:spacing w:before="260" w:after="100"/>
      </w:pPr>
      <w:r>
        <w:rPr>
          <w:rFonts w:ascii="Arial" w:cs="Arial" w:eastAsia="Arial" w:hAnsi="Arial"/>
          <w:b/>
          <w:bCs/>
          <w:color w:val="1A6060"/>
          <w:sz w:val="28"/>
          <w:szCs w:val="28"/>
        </w:rPr>
        <w:t xml:space="preserve">Design 4: The Balcony and Container Medicinal Garden</w:t>
      </w:r>
    </w:p>
    <w:p>
      <w:pPr>
        <w:spacing w:before="70" w:after="70"/>
      </w:pPr>
      <w:r>
        <w:rPr>
          <w:rFonts w:ascii="Arial" w:cs="Arial" w:eastAsia="Arial" w:hAnsi="Arial"/>
          <w:color w:val="1A1A1A"/>
          <w:sz w:val="22"/>
          <w:szCs w:val="22"/>
        </w:rPr>
        <w:t xml:space="preserve">For urban dwellers, renters, or anyone with limited ground space, a highly productive medicinal herb collection is achievable in containers. This design uses eight 8–12 inch containers and two larger (16-inch) containers for the most used and most productive medicinal herbs.</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0"/>
        <w:gridCol w:w="1880"/>
        <w:gridCol w:w="1320"/>
        <w:gridCol w:w="1600"/>
        <w:gridCol w:w="3280"/>
      </w:tblGrid>
      <w:tr>
        <w:trPr>
          <w:tblHeader/>
        </w:trPr>
        <w:tc>
          <w:tcPr>
            <w:tcW w:type="dxa" w:w="1280"/>
            <w:tcBorders>
              <w:top w:val="single" w:color="3D7A35" w:sz="1"/>
              <w:left w:val="single" w:color="3D7A35" w:sz="1"/>
              <w:bottom w:val="single" w:color="3D7A35" w:sz="1"/>
              <w:right w:val="single" w:color="3D7A35" w:sz="1"/>
            </w:tcBorders>
            <w:shd w:fill="2D5A27"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Container</w:t>
            </w:r>
          </w:p>
        </w:tc>
        <w:tc>
          <w:tcPr>
            <w:tcW w:type="dxa" w:w="1880"/>
            <w:tcBorders>
              <w:top w:val="single" w:color="3D7A35" w:sz="1"/>
              <w:left w:val="single" w:color="3D7A35" w:sz="1"/>
              <w:bottom w:val="single" w:color="3D7A35" w:sz="1"/>
              <w:right w:val="single" w:color="3D7A35" w:sz="1"/>
            </w:tcBorders>
            <w:shd w:fill="2D5A27"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Herb(s)</w:t>
            </w:r>
          </w:p>
        </w:tc>
        <w:tc>
          <w:tcPr>
            <w:tcW w:type="dxa" w:w="1320"/>
            <w:tcBorders>
              <w:top w:val="single" w:color="3D7A35" w:sz="1"/>
              <w:left w:val="single" w:color="3D7A35" w:sz="1"/>
              <w:bottom w:val="single" w:color="3D7A35" w:sz="1"/>
              <w:right w:val="single" w:color="3D7A35" w:sz="1"/>
            </w:tcBorders>
            <w:shd w:fill="2D5A27"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Container Size</w:t>
            </w:r>
          </w:p>
        </w:tc>
        <w:tc>
          <w:tcPr>
            <w:tcW w:type="dxa" w:w="1600"/>
            <w:tcBorders>
              <w:top w:val="single" w:color="3D7A35" w:sz="1"/>
              <w:left w:val="single" w:color="3D7A35" w:sz="1"/>
              <w:bottom w:val="single" w:color="3D7A35" w:sz="1"/>
              <w:right w:val="single" w:color="3D7A35" w:sz="1"/>
            </w:tcBorders>
            <w:shd w:fill="2D5A27"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Light</w:t>
            </w:r>
          </w:p>
        </w:tc>
        <w:tc>
          <w:tcPr>
            <w:tcW w:type="dxa" w:w="3280"/>
            <w:tcBorders>
              <w:top w:val="single" w:color="3D7A35" w:sz="1"/>
              <w:left w:val="single" w:color="3D7A35" w:sz="1"/>
              <w:bottom w:val="single" w:color="3D7A35" w:sz="1"/>
              <w:right w:val="single" w:color="3D7A35" w:sz="1"/>
            </w:tcBorders>
            <w:shd w:fill="2D5A27"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Best Use</w:t>
            </w:r>
          </w:p>
        </w:tc>
      </w:tr>
      <w:tr>
        <w:tc>
          <w:tcPr>
            <w:tcW w:type="dxa" w:w="12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Container 1</w:t>
            </w:r>
          </w:p>
        </w:tc>
        <w:tc>
          <w:tcPr>
            <w:tcW w:type="dxa" w:w="18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Peppermint (solo — its own pot)</w:t>
            </w:r>
          </w:p>
        </w:tc>
        <w:tc>
          <w:tcPr>
            <w:tcW w:type="dxa" w:w="132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12 in wide, 10 in deep</w:t>
            </w:r>
          </w:p>
        </w:tc>
        <w:tc>
          <w:tcPr>
            <w:tcW w:type="dxa" w:w="16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Part shade to full sun</w:t>
            </w:r>
          </w:p>
        </w:tc>
        <w:tc>
          <w:tcPr>
            <w:tcW w:type="dxa" w:w="32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Digestive and respiratory tea; must be in its own pot to prevent spreading</w:t>
            </w:r>
          </w:p>
        </w:tc>
      </w:tr>
      <w:tr>
        <w:tc>
          <w:tcPr>
            <w:tcW w:type="dxa" w:w="12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Container 2</w:t>
            </w:r>
          </w:p>
        </w:tc>
        <w:tc>
          <w:tcPr>
            <w:tcW w:type="dxa" w:w="18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Lemon Balm</w:t>
            </w:r>
          </w:p>
        </w:tc>
        <w:tc>
          <w:tcPr>
            <w:tcW w:type="dxa" w:w="132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12 in wide, 10 in deep</w:t>
            </w:r>
          </w:p>
        </w:tc>
        <w:tc>
          <w:tcPr>
            <w:tcW w:type="dxa" w:w="16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Part shade to sun</w:t>
            </w:r>
          </w:p>
        </w:tc>
        <w:tc>
          <w:tcPr>
            <w:tcW w:type="dxa" w:w="32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Anxiety, sleep, and calming teas; harvest leaves frequently</w:t>
            </w:r>
          </w:p>
        </w:tc>
      </w:tr>
      <w:tr>
        <w:tc>
          <w:tcPr>
            <w:tcW w:type="dxa" w:w="12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Container 3</w:t>
            </w:r>
          </w:p>
        </w:tc>
        <w:tc>
          <w:tcPr>
            <w:tcW w:type="dxa" w:w="18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Chamomile (German)</w:t>
            </w:r>
          </w:p>
        </w:tc>
        <w:tc>
          <w:tcPr>
            <w:tcW w:type="dxa" w:w="132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10 in wide, 8 in deep</w:t>
            </w:r>
          </w:p>
        </w:tc>
        <w:tc>
          <w:tcPr>
            <w:tcW w:type="dxa" w:w="16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Full sun</w:t>
            </w:r>
          </w:p>
        </w:tc>
        <w:tc>
          <w:tcPr>
            <w:tcW w:type="dxa" w:w="32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Anti-inflammatory tea; harvest flowers as they open daily</w:t>
            </w:r>
          </w:p>
        </w:tc>
      </w:tr>
      <w:tr>
        <w:tc>
          <w:tcPr>
            <w:tcW w:type="dxa" w:w="12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Container 4</w:t>
            </w:r>
          </w:p>
        </w:tc>
        <w:tc>
          <w:tcPr>
            <w:tcW w:type="dxa" w:w="18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Lavender (dwarf variety for containers)</w:t>
            </w:r>
          </w:p>
        </w:tc>
        <w:tc>
          <w:tcPr>
            <w:tcW w:type="dxa" w:w="132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12 in wide, well-draining mix</w:t>
            </w:r>
          </w:p>
        </w:tc>
        <w:tc>
          <w:tcPr>
            <w:tcW w:type="dxa" w:w="16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Full sun essential</w:t>
            </w:r>
          </w:p>
        </w:tc>
        <w:tc>
          <w:tcPr>
            <w:tcW w:type="dxa" w:w="32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Anxiety, sleep, aromatherapy; requires excellent drainage</w:t>
            </w:r>
          </w:p>
        </w:tc>
      </w:tr>
      <w:tr>
        <w:tc>
          <w:tcPr>
            <w:tcW w:type="dxa" w:w="12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Container 5</w:t>
            </w:r>
          </w:p>
        </w:tc>
        <w:tc>
          <w:tcPr>
            <w:tcW w:type="dxa" w:w="18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Calendula</w:t>
            </w:r>
          </w:p>
        </w:tc>
        <w:tc>
          <w:tcPr>
            <w:tcW w:type="dxa" w:w="132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10 in wide</w:t>
            </w:r>
          </w:p>
        </w:tc>
        <w:tc>
          <w:tcPr>
            <w:tcW w:type="dxa" w:w="16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Full sun</w:t>
            </w:r>
          </w:p>
        </w:tc>
        <w:tc>
          <w:tcPr>
            <w:tcW w:type="dxa" w:w="32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Wound and skin preparations; harvest flowers daily for continuous production</w:t>
            </w:r>
          </w:p>
        </w:tc>
      </w:tr>
      <w:tr>
        <w:tc>
          <w:tcPr>
            <w:tcW w:type="dxa" w:w="12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Container 6</w:t>
            </w:r>
          </w:p>
        </w:tc>
        <w:tc>
          <w:tcPr>
            <w:tcW w:type="dxa" w:w="18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Thyme (Greek)</w:t>
            </w:r>
          </w:p>
        </w:tc>
        <w:tc>
          <w:tcPr>
            <w:tcW w:type="dxa" w:w="132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10 in wide, gritty mix</w:t>
            </w:r>
          </w:p>
        </w:tc>
        <w:tc>
          <w:tcPr>
            <w:tcW w:type="dxa" w:w="16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Full sun</w:t>
            </w:r>
          </w:p>
        </w:tc>
        <w:tc>
          <w:tcPr>
            <w:tcW w:type="dxa" w:w="32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Respiratory tea and antimicrobial support; long-lived perennial in containers</w:t>
            </w:r>
          </w:p>
        </w:tc>
      </w:tr>
      <w:tr>
        <w:tc>
          <w:tcPr>
            <w:tcW w:type="dxa" w:w="12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Container 7</w:t>
            </w:r>
          </w:p>
        </w:tc>
        <w:tc>
          <w:tcPr>
            <w:tcW w:type="dxa" w:w="18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Holy Basil / Tulsi</w:t>
            </w:r>
          </w:p>
        </w:tc>
        <w:tc>
          <w:tcPr>
            <w:tcW w:type="dxa" w:w="132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10 in wide, warm location</w:t>
            </w:r>
          </w:p>
        </w:tc>
        <w:tc>
          <w:tcPr>
            <w:tcW w:type="dxa" w:w="16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Full sun; warmth essential</w:t>
            </w:r>
          </w:p>
        </w:tc>
        <w:tc>
          <w:tcPr>
            <w:tcW w:type="dxa" w:w="32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Adaptogen; stress and immune tea; summer and fall only in most climates</w:t>
            </w:r>
          </w:p>
        </w:tc>
      </w:tr>
      <w:tr>
        <w:tc>
          <w:tcPr>
            <w:tcW w:type="dxa" w:w="12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Container 8</w:t>
            </w:r>
          </w:p>
        </w:tc>
        <w:tc>
          <w:tcPr>
            <w:tcW w:type="dxa" w:w="18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Echinacea (small cultivar like 'Magnus')</w:t>
            </w:r>
          </w:p>
        </w:tc>
        <w:tc>
          <w:tcPr>
            <w:tcW w:type="dxa" w:w="132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12 in wide, 12 in deep</w:t>
            </w:r>
          </w:p>
        </w:tc>
        <w:tc>
          <w:tcPr>
            <w:tcW w:type="dxa" w:w="16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Full sun</w:t>
            </w:r>
          </w:p>
        </w:tc>
        <w:tc>
          <w:tcPr>
            <w:tcW w:type="dxa" w:w="32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Immune support; harvest flowers and aerial parts; divide every 2 years</w:t>
            </w:r>
          </w:p>
        </w:tc>
      </w:tr>
      <w:tr>
        <w:tc>
          <w:tcPr>
            <w:tcW w:type="dxa" w:w="12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Large Container A (16 in)</w:t>
            </w:r>
          </w:p>
        </w:tc>
        <w:tc>
          <w:tcPr>
            <w:tcW w:type="dxa" w:w="18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Aloe Vera</w:t>
            </w:r>
          </w:p>
        </w:tc>
        <w:tc>
          <w:tcPr>
            <w:tcW w:type="dxa" w:w="132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16 in wide, cactus mix</w:t>
            </w:r>
          </w:p>
        </w:tc>
        <w:tc>
          <w:tcPr>
            <w:tcW w:type="dxa" w:w="16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Bright indirect to full sun indoors</w:t>
            </w:r>
          </w:p>
        </w:tc>
        <w:tc>
          <w:tcPr>
            <w:tcW w:type="dxa" w:w="32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First aid burn and skin herb; keep indoors in most U.S. climates; low maintenance</w:t>
            </w:r>
          </w:p>
        </w:tc>
      </w:tr>
      <w:tr>
        <w:tc>
          <w:tcPr>
            <w:tcW w:type="dxa" w:w="12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Large Container B (16 in)</w:t>
            </w:r>
          </w:p>
        </w:tc>
        <w:tc>
          <w:tcPr>
            <w:tcW w:type="dxa" w:w="18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Ginger (summer) / Bring indoors for winter</w:t>
            </w:r>
          </w:p>
        </w:tc>
        <w:tc>
          <w:tcPr>
            <w:tcW w:type="dxa" w:w="132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16 in wide, rich moist mix</w:t>
            </w:r>
          </w:p>
        </w:tc>
        <w:tc>
          <w:tcPr>
            <w:tcW w:type="dxa" w:w="16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Part shade to sun</w:t>
            </w:r>
          </w:p>
        </w:tc>
        <w:tc>
          <w:tcPr>
            <w:tcW w:type="dxa" w:w="32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Digestive, nausea, and anti-inflammatory; harvest rhizomes in fall; bring inside for winter storage</w:t>
            </w:r>
          </w:p>
        </w:tc>
      </w:tr>
    </w:tbl>
    <w:p>
      <w:pPr>
        <w:spacing w:before="240" w:after="0"/>
      </w:pPr>
      <w:r>
        <w:t xml:space="preserve"/>
      </w:r>
    </w:p>
    <w:p>
      <w:r>
        <w:br w:type="page"/>
      </w:r>
    </w:p>
    <w:p>
      <w:pPr>
        <w:pStyle w:val="Heading1"/>
        <w:pBdr>
          <w:bottom w:val="single" w:color="2D5A27" w:sz="10" w:space="4"/>
        </w:pBdr>
        <w:spacing w:before="320" w:after="140"/>
      </w:pPr>
      <w:r>
        <w:rPr>
          <w:rFonts w:ascii="Arial" w:cs="Arial" w:eastAsia="Arial" w:hAnsi="Arial"/>
          <w:b/>
          <w:bCs/>
          <w:color w:val="2D5A27"/>
          <w:sz w:val="36"/>
          <w:szCs w:val="36"/>
        </w:rPr>
        <w:t xml:space="preserve">Quick Reference: 30 Medicinal Herbs at a Glance</w:t>
      </w:r>
    </w:p>
    <w:p>
      <w:pPr>
        <w:spacing w:before="70" w:after="70"/>
      </w:pPr>
      <w:r>
        <w:rPr>
          <w:rFonts w:ascii="Arial" w:cs="Arial" w:eastAsia="Arial" w:hAnsi="Arial"/>
          <w:color w:val="1A1A1A"/>
          <w:sz w:val="22"/>
          <w:szCs w:val="22"/>
        </w:rPr>
        <w:t xml:space="preserve">Use this table to quickly identify herbs by their primary use, growing requirements, and preparation method.</w:t>
      </w:r>
    </w:p>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2120"/>
        <w:gridCol w:w="800"/>
        <w:gridCol w:w="760"/>
        <w:gridCol w:w="1480"/>
        <w:gridCol w:w="2560"/>
      </w:tblGrid>
      <w:tr>
        <w:trPr>
          <w:tblHeader/>
        </w:trPr>
        <w:tc>
          <w:tcPr>
            <w:tcW w:type="dxa" w:w="1640"/>
            <w:tcBorders>
              <w:top w:val="single" w:color="3D7A35" w:sz="1"/>
              <w:left w:val="single" w:color="3D7A35" w:sz="1"/>
              <w:bottom w:val="single" w:color="3D7A35" w:sz="1"/>
              <w:right w:val="single" w:color="3D7A35" w:sz="1"/>
            </w:tcBorders>
            <w:shd w:fill="2D5A27"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Herb</w:t>
            </w:r>
          </w:p>
        </w:tc>
        <w:tc>
          <w:tcPr>
            <w:tcW w:type="dxa" w:w="2120"/>
            <w:tcBorders>
              <w:top w:val="single" w:color="3D7A35" w:sz="1"/>
              <w:left w:val="single" w:color="3D7A35" w:sz="1"/>
              <w:bottom w:val="single" w:color="3D7A35" w:sz="1"/>
              <w:right w:val="single" w:color="3D7A35" w:sz="1"/>
            </w:tcBorders>
            <w:shd w:fill="2D5A27"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Primary Use</w:t>
            </w:r>
          </w:p>
        </w:tc>
        <w:tc>
          <w:tcPr>
            <w:tcW w:type="dxa" w:w="800"/>
            <w:tcBorders>
              <w:top w:val="single" w:color="3D7A35" w:sz="1"/>
              <w:left w:val="single" w:color="3D7A35" w:sz="1"/>
              <w:bottom w:val="single" w:color="3D7A35" w:sz="1"/>
              <w:right w:val="single" w:color="3D7A35" w:sz="1"/>
            </w:tcBorders>
            <w:shd w:fill="2D5A27"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Zones</w:t>
            </w:r>
          </w:p>
        </w:tc>
        <w:tc>
          <w:tcPr>
            <w:tcW w:type="dxa" w:w="760"/>
            <w:tcBorders>
              <w:top w:val="single" w:color="3D7A35" w:sz="1"/>
              <w:left w:val="single" w:color="3D7A35" w:sz="1"/>
              <w:bottom w:val="single" w:color="3D7A35" w:sz="1"/>
              <w:right w:val="single" w:color="3D7A35" w:sz="1"/>
            </w:tcBorders>
            <w:shd w:fill="2D5A27"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Sun</w:t>
            </w:r>
          </w:p>
        </w:tc>
        <w:tc>
          <w:tcPr>
            <w:tcW w:type="dxa" w:w="1480"/>
            <w:tcBorders>
              <w:top w:val="single" w:color="3D7A35" w:sz="1"/>
              <w:left w:val="single" w:color="3D7A35" w:sz="1"/>
              <w:bottom w:val="single" w:color="3D7A35" w:sz="1"/>
              <w:right w:val="single" w:color="3D7A35" w:sz="1"/>
            </w:tcBorders>
            <w:shd w:fill="2D5A27"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Prep Method</w:t>
            </w:r>
          </w:p>
        </w:tc>
        <w:tc>
          <w:tcPr>
            <w:tcW w:type="dxa" w:w="2560"/>
            <w:tcBorders>
              <w:top w:val="single" w:color="3D7A35" w:sz="1"/>
              <w:left w:val="single" w:color="3D7A35" w:sz="1"/>
              <w:bottom w:val="single" w:color="3D7A35" w:sz="1"/>
              <w:right w:val="single" w:color="3D7A35" w:sz="1"/>
            </w:tcBorders>
            <w:shd w:fill="2D5A27" w:val="clear"/>
            <w:tcMar>
              <w:top w:type="dxa" w:w="80"/>
              <w:left w:type="dxa" w:w="110"/>
              <w:bottom w:type="dxa" w:w="80"/>
              <w:right w:type="dxa" w:w="110"/>
            </w:tcMar>
            <w:vAlign w:val="center"/>
          </w:tcPr>
          <w:p>
            <w:pPr>
              <w:jc w:val="center"/>
            </w:pPr>
            <w:r>
              <w:rPr>
                <w:rFonts w:ascii="Arial" w:cs="Arial" w:eastAsia="Arial" w:hAnsi="Arial"/>
                <w:b/>
                <w:bCs/>
                <w:color w:val="FFFFFF"/>
                <w:sz w:val="19"/>
                <w:szCs w:val="19"/>
              </w:rPr>
              <w:t xml:space="preserve">Key Safety Note</w:t>
            </w:r>
          </w:p>
        </w:tc>
      </w:tr>
      <w:tr>
        <w:tc>
          <w:tcPr>
            <w:tcW w:type="dxa" w:w="164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Chamomile</w:t>
            </w:r>
          </w:p>
        </w:tc>
        <w:tc>
          <w:tcPr>
            <w:tcW w:type="dxa" w:w="212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Anxiety; digestive; wound healing; anti-inflammatory</w:t>
            </w:r>
          </w:p>
        </w:tc>
        <w:tc>
          <w:tcPr>
            <w:tcW w:type="dxa" w:w="8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All (annual)</w:t>
            </w:r>
          </w:p>
        </w:tc>
        <w:tc>
          <w:tcPr>
            <w:tcW w:type="dxa" w:w="7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Full to part</w:t>
            </w:r>
          </w:p>
        </w:tc>
        <w:tc>
          <w:tcPr>
            <w:tcW w:type="dxa" w:w="14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Tea; topical oil</w:t>
            </w:r>
          </w:p>
        </w:tc>
        <w:tc>
          <w:tcPr>
            <w:tcW w:type="dxa" w:w="25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Asteraceae allergy caution</w:t>
            </w:r>
          </w:p>
        </w:tc>
      </w:tr>
      <w:tr>
        <w:tc>
          <w:tcPr>
            <w:tcW w:type="dxa" w:w="164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Lavender</w:t>
            </w:r>
          </w:p>
        </w:tc>
        <w:tc>
          <w:tcPr>
            <w:tcW w:type="dxa" w:w="212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Anxiety; sleep; antiseptic; pain</w:t>
            </w:r>
          </w:p>
        </w:tc>
        <w:tc>
          <w:tcPr>
            <w:tcW w:type="dxa" w:w="8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5–8 perennial; all annual</w:t>
            </w:r>
          </w:p>
        </w:tc>
        <w:tc>
          <w:tcPr>
            <w:tcW w:type="dxa" w:w="7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Full sun required</w:t>
            </w:r>
          </w:p>
        </w:tc>
        <w:tc>
          <w:tcPr>
            <w:tcW w:type="dxa" w:w="14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Tea; aromatherapy; infused oil</w:t>
            </w:r>
          </w:p>
        </w:tc>
        <w:tc>
          <w:tcPr>
            <w:tcW w:type="dxa" w:w="25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EO not internal without guidance; prepubertal children caution topically</w:t>
            </w:r>
          </w:p>
        </w:tc>
      </w:tr>
      <w:tr>
        <w:tc>
          <w:tcPr>
            <w:tcW w:type="dxa" w:w="164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Valerian</w:t>
            </w:r>
          </w:p>
        </w:tc>
        <w:tc>
          <w:tcPr>
            <w:tcW w:type="dxa" w:w="212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Sleep; anxiety; muscle relaxation</w:t>
            </w:r>
          </w:p>
        </w:tc>
        <w:tc>
          <w:tcPr>
            <w:tcW w:type="dxa" w:w="8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4–9</w:t>
            </w:r>
          </w:p>
        </w:tc>
        <w:tc>
          <w:tcPr>
            <w:tcW w:type="dxa" w:w="7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Sun to part shade</w:t>
            </w:r>
          </w:p>
        </w:tc>
        <w:tc>
          <w:tcPr>
            <w:tcW w:type="dxa" w:w="14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Capsules; tincture; tea</w:t>
            </w:r>
          </w:p>
        </w:tc>
        <w:tc>
          <w:tcPr>
            <w:tcW w:type="dxa" w:w="25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Sedative interactions; stop 2 wks before surgery</w:t>
            </w:r>
          </w:p>
        </w:tc>
      </w:tr>
      <w:tr>
        <w:tc>
          <w:tcPr>
            <w:tcW w:type="dxa" w:w="164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Lemon Balm</w:t>
            </w:r>
          </w:p>
        </w:tc>
        <w:tc>
          <w:tcPr>
            <w:tcW w:type="dxa" w:w="212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Anxiety; herpes topical; digestive; thyroid support</w:t>
            </w:r>
          </w:p>
        </w:tc>
        <w:tc>
          <w:tcPr>
            <w:tcW w:type="dxa" w:w="8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4–9</w:t>
            </w:r>
          </w:p>
        </w:tc>
        <w:tc>
          <w:tcPr>
            <w:tcW w:type="dxa" w:w="7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Part shade to sun</w:t>
            </w:r>
          </w:p>
        </w:tc>
        <w:tc>
          <w:tcPr>
            <w:tcW w:type="dxa" w:w="14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Tea; tincture; topical cream</w:t>
            </w:r>
          </w:p>
        </w:tc>
        <w:tc>
          <w:tcPr>
            <w:tcW w:type="dxa" w:w="25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Hypothyroidism caution</w:t>
            </w:r>
          </w:p>
        </w:tc>
      </w:tr>
      <w:tr>
        <w:tc>
          <w:tcPr>
            <w:tcW w:type="dxa" w:w="164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Holy Basil / Tulsi</w:t>
            </w:r>
          </w:p>
        </w:tc>
        <w:tc>
          <w:tcPr>
            <w:tcW w:type="dxa" w:w="212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Adaptogen; stress; blood sugar; immune</w:t>
            </w:r>
          </w:p>
        </w:tc>
        <w:tc>
          <w:tcPr>
            <w:tcW w:type="dxa" w:w="8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Annual; perennial Z10+</w:t>
            </w:r>
          </w:p>
        </w:tc>
        <w:tc>
          <w:tcPr>
            <w:tcW w:type="dxa" w:w="7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Full sun</w:t>
            </w:r>
          </w:p>
        </w:tc>
        <w:tc>
          <w:tcPr>
            <w:tcW w:type="dxa" w:w="14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Tea; tincture; oxymel</w:t>
            </w:r>
          </w:p>
        </w:tc>
        <w:tc>
          <w:tcPr>
            <w:tcW w:type="dxa" w:w="25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Mild anticoagulant; pregnancy caution</w:t>
            </w:r>
          </w:p>
        </w:tc>
      </w:tr>
      <w:tr>
        <w:tc>
          <w:tcPr>
            <w:tcW w:type="dxa" w:w="164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Ashwagandha</w:t>
            </w:r>
          </w:p>
        </w:tc>
        <w:tc>
          <w:tcPr>
            <w:tcW w:type="dxa" w:w="212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Adaptogen; stress; sleep; muscle strength</w:t>
            </w:r>
          </w:p>
        </w:tc>
        <w:tc>
          <w:tcPr>
            <w:tcW w:type="dxa" w:w="8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Annual; Z8+ perennial</w:t>
            </w:r>
          </w:p>
        </w:tc>
        <w:tc>
          <w:tcPr>
            <w:tcW w:type="dxa" w:w="7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Full sun</w:t>
            </w:r>
          </w:p>
        </w:tc>
        <w:tc>
          <w:tcPr>
            <w:tcW w:type="dxa" w:w="14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Capsules; root tea; tincture</w:t>
            </w:r>
          </w:p>
        </w:tc>
        <w:tc>
          <w:tcPr>
            <w:tcW w:type="dxa" w:w="25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Hyperthyroidism caution; pregnancy avoid; nightshade family</w:t>
            </w:r>
          </w:p>
        </w:tc>
      </w:tr>
      <w:tr>
        <w:tc>
          <w:tcPr>
            <w:tcW w:type="dxa" w:w="164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St. John's Wort</w:t>
            </w:r>
          </w:p>
        </w:tc>
        <w:tc>
          <w:tcPr>
            <w:tcW w:type="dxa" w:w="212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Mild-moderate depression; nerve pain; wound healing</w:t>
            </w:r>
          </w:p>
        </w:tc>
        <w:tc>
          <w:tcPr>
            <w:tcW w:type="dxa" w:w="8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3–8</w:t>
            </w:r>
          </w:p>
        </w:tc>
        <w:tc>
          <w:tcPr>
            <w:tcW w:type="dxa" w:w="7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Full to part sun</w:t>
            </w:r>
          </w:p>
        </w:tc>
        <w:tc>
          <w:tcPr>
            <w:tcW w:type="dxa" w:w="14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Standardized capsules; tincture; infused oil</w:t>
            </w:r>
          </w:p>
        </w:tc>
        <w:tc>
          <w:tcPr>
            <w:tcW w:type="dxa" w:w="25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MAJOR drug interactions — see profile; prescription drugs essential to check</w:t>
            </w:r>
          </w:p>
        </w:tc>
      </w:tr>
      <w:tr>
        <w:tc>
          <w:tcPr>
            <w:tcW w:type="dxa" w:w="164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Echinacea</w:t>
            </w:r>
          </w:p>
        </w:tc>
        <w:tc>
          <w:tcPr>
            <w:tcW w:type="dxa" w:w="212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Immune support; upper respiratory infection</w:t>
            </w:r>
          </w:p>
        </w:tc>
        <w:tc>
          <w:tcPr>
            <w:tcW w:type="dxa" w:w="8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3–9</w:t>
            </w:r>
          </w:p>
        </w:tc>
        <w:tc>
          <w:tcPr>
            <w:tcW w:type="dxa" w:w="7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Full sun</w:t>
            </w:r>
          </w:p>
        </w:tc>
        <w:tc>
          <w:tcPr>
            <w:tcW w:type="dxa" w:w="14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Tea; tincture; capsules</w:t>
            </w:r>
          </w:p>
        </w:tc>
        <w:tc>
          <w:tcPr>
            <w:tcW w:type="dxa" w:w="25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Autoimmune caution; immunosuppressant interaction; Asteraceae allergy</w:t>
            </w:r>
          </w:p>
        </w:tc>
      </w:tr>
      <w:tr>
        <w:tc>
          <w:tcPr>
            <w:tcW w:type="dxa" w:w="164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Elderberry</w:t>
            </w:r>
          </w:p>
        </w:tc>
        <w:tc>
          <w:tcPr>
            <w:tcW w:type="dxa" w:w="212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Antiviral; flu and cold; immune</w:t>
            </w:r>
          </w:p>
        </w:tc>
        <w:tc>
          <w:tcPr>
            <w:tcW w:type="dxa" w:w="8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3–9</w:t>
            </w:r>
          </w:p>
        </w:tc>
        <w:tc>
          <w:tcPr>
            <w:tcW w:type="dxa" w:w="7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Sun to part shade</w:t>
            </w:r>
          </w:p>
        </w:tc>
        <w:tc>
          <w:tcPr>
            <w:tcW w:type="dxa" w:w="14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Syrup; tincture; tea (flowers)</w:t>
            </w:r>
          </w:p>
        </w:tc>
        <w:tc>
          <w:tcPr>
            <w:tcW w:type="dxa" w:w="25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Raw berries and all other parts toxic; cook berries before use</w:t>
            </w:r>
          </w:p>
        </w:tc>
      </w:tr>
      <w:tr>
        <w:tc>
          <w:tcPr>
            <w:tcW w:type="dxa" w:w="164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Garlic</w:t>
            </w:r>
          </w:p>
        </w:tc>
        <w:tc>
          <w:tcPr>
            <w:tcW w:type="dxa" w:w="212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Antimicrobial; cardiovascular; immune</w:t>
            </w:r>
          </w:p>
        </w:tc>
        <w:tc>
          <w:tcPr>
            <w:tcW w:type="dxa" w:w="8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3–11</w:t>
            </w:r>
          </w:p>
        </w:tc>
        <w:tc>
          <w:tcPr>
            <w:tcW w:type="dxa" w:w="7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Full sun</w:t>
            </w:r>
          </w:p>
        </w:tc>
        <w:tc>
          <w:tcPr>
            <w:tcW w:type="dxa" w:w="14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Raw or lightly cooked; honey prep</w:t>
            </w:r>
          </w:p>
        </w:tc>
        <w:tc>
          <w:tcPr>
            <w:tcW w:type="dxa" w:w="25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Anticoagulant at high doses; drug interactions; skin burns if applied undiluted</w:t>
            </w:r>
          </w:p>
        </w:tc>
      </w:tr>
      <w:tr>
        <w:tc>
          <w:tcPr>
            <w:tcW w:type="dxa" w:w="164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Thyme</w:t>
            </w:r>
          </w:p>
        </w:tc>
        <w:tc>
          <w:tcPr>
            <w:tcW w:type="dxa" w:w="212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Respiratory; cough; bronchitis; antimicrobial</w:t>
            </w:r>
          </w:p>
        </w:tc>
        <w:tc>
          <w:tcPr>
            <w:tcW w:type="dxa" w:w="8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4–9</w:t>
            </w:r>
          </w:p>
        </w:tc>
        <w:tc>
          <w:tcPr>
            <w:tcW w:type="dxa" w:w="7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Full sun</w:t>
            </w:r>
          </w:p>
        </w:tc>
        <w:tc>
          <w:tcPr>
            <w:tcW w:type="dxa" w:w="14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Tea; steam inhalation; honey</w:t>
            </w:r>
          </w:p>
        </w:tc>
        <w:tc>
          <w:tcPr>
            <w:tcW w:type="dxa" w:w="25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Avoid concentrated medicinal doses in pregnancy; EO not internal</w:t>
            </w:r>
          </w:p>
        </w:tc>
      </w:tr>
      <w:tr>
        <w:tc>
          <w:tcPr>
            <w:tcW w:type="dxa" w:w="164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Peppermint</w:t>
            </w:r>
          </w:p>
        </w:tc>
        <w:tc>
          <w:tcPr>
            <w:tcW w:type="dxa" w:w="212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IBS; nausea; digestive; headache (topical)</w:t>
            </w:r>
          </w:p>
        </w:tc>
        <w:tc>
          <w:tcPr>
            <w:tcW w:type="dxa" w:w="8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3–11</w:t>
            </w:r>
          </w:p>
        </w:tc>
        <w:tc>
          <w:tcPr>
            <w:tcW w:type="dxa" w:w="7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Part to full sun</w:t>
            </w:r>
          </w:p>
        </w:tc>
        <w:tc>
          <w:tcPr>
            <w:tcW w:type="dxa" w:w="14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Tea; enteric capsules; topical diluted EO</w:t>
            </w:r>
          </w:p>
        </w:tc>
        <w:tc>
          <w:tcPr>
            <w:tcW w:type="dxa" w:w="25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GERD contraindication; avoid enteric-coated for esophageal conditions</w:t>
            </w:r>
          </w:p>
        </w:tc>
      </w:tr>
      <w:tr>
        <w:tc>
          <w:tcPr>
            <w:tcW w:type="dxa" w:w="164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Ginger</w:t>
            </w:r>
          </w:p>
        </w:tc>
        <w:tc>
          <w:tcPr>
            <w:tcW w:type="dxa" w:w="212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Nausea; anti-inflammatory; digestive; circulatory</w:t>
            </w:r>
          </w:p>
        </w:tc>
        <w:tc>
          <w:tcPr>
            <w:tcW w:type="dxa" w:w="8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Annual; Z8+ perennial</w:t>
            </w:r>
          </w:p>
        </w:tc>
        <w:tc>
          <w:tcPr>
            <w:tcW w:type="dxa" w:w="7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Part shade</w:t>
            </w:r>
          </w:p>
        </w:tc>
        <w:tc>
          <w:tcPr>
            <w:tcW w:type="dxa" w:w="14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Fresh tea; capsules; cooking</w:t>
            </w:r>
          </w:p>
        </w:tc>
        <w:tc>
          <w:tcPr>
            <w:tcW w:type="dxa" w:w="25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Anticoagulant at high doses; gallstone caution; pregnancy OK in moderation</w:t>
            </w:r>
          </w:p>
        </w:tc>
      </w:tr>
      <w:tr>
        <w:tc>
          <w:tcPr>
            <w:tcW w:type="dxa" w:w="164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Turmeric</w:t>
            </w:r>
          </w:p>
        </w:tc>
        <w:tc>
          <w:tcPr>
            <w:tcW w:type="dxa" w:w="212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Anti-inflammatory; joint pain; liver; antioxidant</w:t>
            </w:r>
          </w:p>
        </w:tc>
        <w:tc>
          <w:tcPr>
            <w:tcW w:type="dxa" w:w="8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Annual; Z8+ perennial</w:t>
            </w:r>
          </w:p>
        </w:tc>
        <w:tc>
          <w:tcPr>
            <w:tcW w:type="dxa" w:w="7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Part shade</w:t>
            </w:r>
          </w:p>
        </w:tc>
        <w:tc>
          <w:tcPr>
            <w:tcW w:type="dxa" w:w="14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Golden milk; capsules w/ pepper</w:t>
            </w:r>
          </w:p>
        </w:tc>
        <w:tc>
          <w:tcPr>
            <w:tcW w:type="dxa" w:w="25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Poor absorption without pepper; gallstone caution; mild anticoagulant</w:t>
            </w:r>
          </w:p>
        </w:tc>
      </w:tr>
      <w:tr>
        <w:tc>
          <w:tcPr>
            <w:tcW w:type="dxa" w:w="164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Marshmallow</w:t>
            </w:r>
          </w:p>
        </w:tc>
        <w:tc>
          <w:tcPr>
            <w:tcW w:type="dxa" w:w="212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Sore throat; IBS; urinary; wound (topical)</w:t>
            </w:r>
          </w:p>
        </w:tc>
        <w:tc>
          <w:tcPr>
            <w:tcW w:type="dxa" w:w="8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3–9</w:t>
            </w:r>
          </w:p>
        </w:tc>
        <w:tc>
          <w:tcPr>
            <w:tcW w:type="dxa" w:w="7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Sun to part shade</w:t>
            </w:r>
          </w:p>
        </w:tc>
        <w:tc>
          <w:tcPr>
            <w:tcW w:type="dxa" w:w="14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Cold infusion; tea; topical poultice</w:t>
            </w:r>
          </w:p>
        </w:tc>
        <w:tc>
          <w:tcPr>
            <w:tcW w:type="dxa" w:w="25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May slow drug absorption — take meds separately</w:t>
            </w:r>
          </w:p>
        </w:tc>
      </w:tr>
      <w:tr>
        <w:tc>
          <w:tcPr>
            <w:tcW w:type="dxa" w:w="164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Calendula</w:t>
            </w:r>
          </w:p>
        </w:tc>
        <w:tc>
          <w:tcPr>
            <w:tcW w:type="dxa" w:w="212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Wound healing; skin; anti-inflammatory (topical and internal)</w:t>
            </w:r>
          </w:p>
        </w:tc>
        <w:tc>
          <w:tcPr>
            <w:tcW w:type="dxa" w:w="8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All zones as annual</w:t>
            </w:r>
          </w:p>
        </w:tc>
        <w:tc>
          <w:tcPr>
            <w:tcW w:type="dxa" w:w="7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Full to part sun</w:t>
            </w:r>
          </w:p>
        </w:tc>
        <w:tc>
          <w:tcPr>
            <w:tcW w:type="dxa" w:w="14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Infused oil; salve; tea; tincture</w:t>
            </w:r>
          </w:p>
        </w:tc>
        <w:tc>
          <w:tcPr>
            <w:tcW w:type="dxa" w:w="25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Asteraceae allergy; pregnancy caution in medicinal doses</w:t>
            </w:r>
          </w:p>
        </w:tc>
      </w:tr>
      <w:tr>
        <w:tc>
          <w:tcPr>
            <w:tcW w:type="dxa" w:w="164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Plantain</w:t>
            </w:r>
          </w:p>
        </w:tc>
        <w:tc>
          <w:tcPr>
            <w:tcW w:type="dxa" w:w="212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Wound; sting; sore throat; urinary; expectorant</w:t>
            </w:r>
          </w:p>
        </w:tc>
        <w:tc>
          <w:tcPr>
            <w:tcW w:type="dxa" w:w="8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3–9</w:t>
            </w:r>
          </w:p>
        </w:tc>
        <w:tc>
          <w:tcPr>
            <w:tcW w:type="dxa" w:w="7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Sun to shade</w:t>
            </w:r>
          </w:p>
        </w:tc>
        <w:tc>
          <w:tcPr>
            <w:tcW w:type="dxa" w:w="14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Fresh poultice; tea; infused oil</w:t>
            </w:r>
          </w:p>
        </w:tc>
        <w:tc>
          <w:tcPr>
            <w:tcW w:type="dxa" w:w="25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Very safe; seeds as bulk laxative only with adequate water</w:t>
            </w:r>
          </w:p>
        </w:tc>
      </w:tr>
      <w:tr>
        <w:tc>
          <w:tcPr>
            <w:tcW w:type="dxa" w:w="164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Aloe Vera</w:t>
            </w:r>
          </w:p>
        </w:tc>
        <w:tc>
          <w:tcPr>
            <w:tcW w:type="dxa" w:w="212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Burns; wound; skin inflammation; digestive (internal)</w:t>
            </w:r>
          </w:p>
        </w:tc>
        <w:tc>
          <w:tcPr>
            <w:tcW w:type="dxa" w:w="8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Z9+ outdoor; all zones container</w:t>
            </w:r>
          </w:p>
        </w:tc>
        <w:tc>
          <w:tcPr>
            <w:tcW w:type="dxa" w:w="7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Bright light to full sun</w:t>
            </w:r>
          </w:p>
        </w:tc>
        <w:tc>
          <w:tcPr>
            <w:tcW w:type="dxa" w:w="14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Fresh gel topical; gel internal</w:t>
            </w:r>
          </w:p>
        </w:tc>
        <w:tc>
          <w:tcPr>
            <w:tcW w:type="dxa" w:w="25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Only clear inner gel internally; latex is harsh laxative — avoid; broken skin caution</w:t>
            </w:r>
          </w:p>
        </w:tc>
      </w:tr>
      <w:tr>
        <w:tc>
          <w:tcPr>
            <w:tcW w:type="dxa" w:w="164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Yarrow</w:t>
            </w:r>
          </w:p>
        </w:tc>
        <w:tc>
          <w:tcPr>
            <w:tcW w:type="dxa" w:w="212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Wound; fever; menstrual; UTI; digestive</w:t>
            </w:r>
          </w:p>
        </w:tc>
        <w:tc>
          <w:tcPr>
            <w:tcW w:type="dxa" w:w="8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2–9</w:t>
            </w:r>
          </w:p>
        </w:tc>
        <w:tc>
          <w:tcPr>
            <w:tcW w:type="dxa" w:w="7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Full sun</w:t>
            </w:r>
          </w:p>
        </w:tc>
        <w:tc>
          <w:tcPr>
            <w:tcW w:type="dxa" w:w="14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Fresh poultice; tea; tincture</w:t>
            </w:r>
          </w:p>
        </w:tc>
        <w:tc>
          <w:tcPr>
            <w:tcW w:type="dxa" w:w="25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Asteraceae allergy; pregnancy avoid medicinal doses</w:t>
            </w:r>
          </w:p>
        </w:tc>
      </w:tr>
      <w:tr>
        <w:tc>
          <w:tcPr>
            <w:tcW w:type="dxa" w:w="164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Skullcap</w:t>
            </w:r>
          </w:p>
        </w:tc>
        <w:tc>
          <w:tcPr>
            <w:tcW w:type="dxa" w:w="212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Anxiety; nervous tension; insomnia</w:t>
            </w:r>
          </w:p>
        </w:tc>
        <w:tc>
          <w:tcPr>
            <w:tcW w:type="dxa" w:w="8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5–9</w:t>
            </w:r>
          </w:p>
        </w:tc>
        <w:tc>
          <w:tcPr>
            <w:tcW w:type="dxa" w:w="7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Part shade to sun</w:t>
            </w:r>
          </w:p>
        </w:tc>
        <w:tc>
          <w:tcPr>
            <w:tcW w:type="dxa" w:w="14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Fresh plant tincture (preferred)</w:t>
            </w:r>
          </w:p>
        </w:tc>
        <w:tc>
          <w:tcPr>
            <w:tcW w:type="dxa" w:w="25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Buy from reputable source (adulteration with germander is safety concern)</w:t>
            </w:r>
          </w:p>
        </w:tc>
      </w:tr>
      <w:tr>
        <w:tc>
          <w:tcPr>
            <w:tcW w:type="dxa" w:w="164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Nettle</w:t>
            </w:r>
          </w:p>
        </w:tc>
        <w:tc>
          <w:tcPr>
            <w:tcW w:type="dxa" w:w="212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Allergies; nutrition; diuretic; prostate (root)</w:t>
            </w:r>
          </w:p>
        </w:tc>
        <w:tc>
          <w:tcPr>
            <w:tcW w:type="dxa" w:w="8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3–10</w:t>
            </w:r>
          </w:p>
        </w:tc>
        <w:tc>
          <w:tcPr>
            <w:tcW w:type="dxa" w:w="7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Part shade to sun</w:t>
            </w:r>
          </w:p>
        </w:tc>
        <w:tc>
          <w:tcPr>
            <w:tcW w:type="dxa" w:w="14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Nourishing infusion; freeze-dried caps; cooked</w:t>
            </w:r>
          </w:p>
        </w:tc>
        <w:tc>
          <w:tcPr>
            <w:tcW w:type="dxa" w:w="25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Handle with gloves fresh; root for prostate BPH with MD supervision</w:t>
            </w:r>
          </w:p>
        </w:tc>
      </w:tr>
      <w:tr>
        <w:tc>
          <w:tcPr>
            <w:tcW w:type="dxa" w:w="164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Hawthorn</w:t>
            </w:r>
          </w:p>
        </w:tc>
        <w:tc>
          <w:tcPr>
            <w:tcW w:type="dxa" w:w="212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Cardiovascular; heart failure support; blood pressure</w:t>
            </w:r>
          </w:p>
        </w:tc>
        <w:tc>
          <w:tcPr>
            <w:tcW w:type="dxa" w:w="8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3–9</w:t>
            </w:r>
          </w:p>
        </w:tc>
        <w:tc>
          <w:tcPr>
            <w:tcW w:type="dxa" w:w="7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Sun to part shade</w:t>
            </w:r>
          </w:p>
        </w:tc>
        <w:tc>
          <w:tcPr>
            <w:tcW w:type="dxa" w:w="14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Tincture (all parts); standardized caps; tea</w:t>
            </w:r>
          </w:p>
        </w:tc>
        <w:tc>
          <w:tcPr>
            <w:tcW w:type="dxa" w:w="25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Not substitute for heart disease treatment; digoxin interaction; cardiac surgery stop 2 wks</w:t>
            </w:r>
          </w:p>
        </w:tc>
      </w:tr>
      <w:tr>
        <w:tc>
          <w:tcPr>
            <w:tcW w:type="dxa" w:w="164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Arnica</w:t>
            </w:r>
          </w:p>
        </w:tc>
        <w:tc>
          <w:tcPr>
            <w:tcW w:type="dxa" w:w="212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Bruises; muscle pain; joint pain; topical anti-inflammatory</w:t>
            </w:r>
          </w:p>
        </w:tc>
        <w:tc>
          <w:tcPr>
            <w:tcW w:type="dxa" w:w="8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4–9</w:t>
            </w:r>
          </w:p>
        </w:tc>
        <w:tc>
          <w:tcPr>
            <w:tcW w:type="dxa" w:w="7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Full sun to light shade</w:t>
            </w:r>
          </w:p>
        </w:tc>
        <w:tc>
          <w:tcPr>
            <w:tcW w:type="dxa" w:w="14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Infused oil; salve; topical tincture (diluted)</w:t>
            </w:r>
          </w:p>
        </w:tc>
        <w:tc>
          <w:tcPr>
            <w:tcW w:type="dxa" w:w="25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EXTERNAL USE ONLY; do not apply to broken skin; Asteraceae allergy</w:t>
            </w:r>
          </w:p>
        </w:tc>
      </w:tr>
      <w:tr>
        <w:tc>
          <w:tcPr>
            <w:tcW w:type="dxa" w:w="164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Milk Thistle</w:t>
            </w:r>
          </w:p>
        </w:tc>
        <w:tc>
          <w:tcPr>
            <w:tcW w:type="dxa" w:w="212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Liver protection; hepatoprotective; toxin exposure</w:t>
            </w:r>
          </w:p>
        </w:tc>
        <w:tc>
          <w:tcPr>
            <w:tcW w:type="dxa" w:w="8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All zones annual</w:t>
            </w:r>
          </w:p>
        </w:tc>
        <w:tc>
          <w:tcPr>
            <w:tcW w:type="dxa" w:w="7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Full sun</w:t>
            </w:r>
          </w:p>
        </w:tc>
        <w:tc>
          <w:tcPr>
            <w:tcW w:type="dxa" w:w="14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Standardized capsules; ground seeds in food</w:t>
            </w:r>
          </w:p>
        </w:tc>
        <w:tc>
          <w:tcPr>
            <w:tcW w:type="dxa" w:w="25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Very safe; check invasive status in your state before growing outdoors</w:t>
            </w:r>
          </w:p>
        </w:tc>
      </w:tr>
      <w:tr>
        <w:tc>
          <w:tcPr>
            <w:tcW w:type="dxa" w:w="164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Dandelion</w:t>
            </w:r>
          </w:p>
        </w:tc>
        <w:tc>
          <w:tcPr>
            <w:tcW w:type="dxa" w:w="212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Liver; digestive; diuretic; nutritive tonic</w:t>
            </w:r>
          </w:p>
        </w:tc>
        <w:tc>
          <w:tcPr>
            <w:tcW w:type="dxa" w:w="8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All zones (already present)</w:t>
            </w:r>
          </w:p>
        </w:tc>
        <w:tc>
          <w:tcPr>
            <w:tcW w:type="dxa" w:w="7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Sun to part shade</w:t>
            </w:r>
          </w:p>
        </w:tc>
        <w:tc>
          <w:tcPr>
            <w:tcW w:type="dxa" w:w="14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Tea; decoction; tincture; cooked leaves</w:t>
            </w:r>
          </w:p>
        </w:tc>
        <w:tc>
          <w:tcPr>
            <w:tcW w:type="dxa" w:w="25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Only use from herbicide-free locations; bile duct caution</w:t>
            </w:r>
          </w:p>
        </w:tc>
      </w:tr>
      <w:tr>
        <w:tc>
          <w:tcPr>
            <w:tcW w:type="dxa" w:w="164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Mullein</w:t>
            </w:r>
          </w:p>
        </w:tc>
        <w:tc>
          <w:tcPr>
            <w:tcW w:type="dxa" w:w="212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Respiratory; cough; bronchitis; ear pain</w:t>
            </w:r>
          </w:p>
        </w:tc>
        <w:tc>
          <w:tcPr>
            <w:tcW w:type="dxa" w:w="8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All zones (already present in most areas)</w:t>
            </w:r>
          </w:p>
        </w:tc>
        <w:tc>
          <w:tcPr>
            <w:tcW w:type="dxa" w:w="7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Full sun</w:t>
            </w:r>
          </w:p>
        </w:tc>
        <w:tc>
          <w:tcPr>
            <w:tcW w:type="dxa" w:w="14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Tea (well strained); ear oil (flower)</w:t>
            </w:r>
          </w:p>
        </w:tc>
        <w:tc>
          <w:tcPr>
            <w:tcW w:type="dxa" w:w="25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Strain tea carefully (leaf hairs irritate throat); ear oil: do not use if eardrum may be perforated</w:t>
            </w:r>
          </w:p>
        </w:tc>
      </w:tr>
      <w:tr>
        <w:tc>
          <w:tcPr>
            <w:tcW w:type="dxa" w:w="164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Oregano</w:t>
            </w:r>
          </w:p>
        </w:tc>
        <w:tc>
          <w:tcPr>
            <w:tcW w:type="dxa" w:w="212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Antimicrobial; respiratory; immune; antifungal</w:t>
            </w:r>
          </w:p>
        </w:tc>
        <w:tc>
          <w:tcPr>
            <w:tcW w:type="dxa" w:w="8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4–9</w:t>
            </w:r>
          </w:p>
        </w:tc>
        <w:tc>
          <w:tcPr>
            <w:tcW w:type="dxa" w:w="7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Full sun</w:t>
            </w:r>
          </w:p>
        </w:tc>
        <w:tc>
          <w:tcPr>
            <w:tcW w:type="dxa" w:w="14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Tea; oil of oregano caps; culinary</w:t>
            </w:r>
          </w:p>
        </w:tc>
        <w:tc>
          <w:tcPr>
            <w:tcW w:type="dxa" w:w="25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Use Greek oregano for medicinal potency; EO causes burns undiluted; pregnancy caution</w:t>
            </w:r>
          </w:p>
        </w:tc>
      </w:tr>
      <w:tr>
        <w:tc>
          <w:tcPr>
            <w:tcW w:type="dxa" w:w="164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Chaste Tree Berry (Vitex)</w:t>
            </w:r>
          </w:p>
        </w:tc>
        <w:tc>
          <w:tcPr>
            <w:tcW w:type="dxa" w:w="212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PMS; hormonal balance; breast tenderness; menstrual irregularity</w:t>
            </w:r>
          </w:p>
        </w:tc>
        <w:tc>
          <w:tcPr>
            <w:tcW w:type="dxa" w:w="8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6–9 perennial; others annual</w:t>
            </w:r>
          </w:p>
        </w:tc>
        <w:tc>
          <w:tcPr>
            <w:tcW w:type="dxa" w:w="7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Full sun</w:t>
            </w:r>
          </w:p>
        </w:tc>
        <w:tc>
          <w:tcPr>
            <w:tcW w:type="dxa" w:w="14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Tincture; standardized caps (morning dose)</w:t>
            </w:r>
          </w:p>
        </w:tc>
        <w:tc>
          <w:tcPr>
            <w:tcW w:type="dxa" w:w="25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Hormone-sensitive conditions; drug interactions; pregnancy avoid; men: libido effects</w:t>
            </w:r>
          </w:p>
        </w:tc>
      </w:tr>
      <w:tr>
        <w:tc>
          <w:tcPr>
            <w:tcW w:type="dxa" w:w="164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Red Raspberry Leaf</w:t>
            </w:r>
          </w:p>
        </w:tc>
        <w:tc>
          <w:tcPr>
            <w:tcW w:type="dxa" w:w="212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Uterine tonic; menstrual; nutritive; pregnancy (3rd trimester)</w:t>
            </w:r>
          </w:p>
        </w:tc>
        <w:tc>
          <w:tcPr>
            <w:tcW w:type="dxa" w:w="80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3–9</w:t>
            </w:r>
          </w:p>
        </w:tc>
        <w:tc>
          <w:tcPr>
            <w:tcW w:type="dxa" w:w="7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Full sun to part shade</w:t>
            </w:r>
          </w:p>
        </w:tc>
        <w:tc>
          <w:tcPr>
            <w:tcW w:type="dxa" w:w="148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Tea; nourishing infusion; tincture</w:t>
            </w:r>
          </w:p>
        </w:tc>
        <w:tc>
          <w:tcPr>
            <w:tcW w:type="dxa" w:w="2560"/>
            <w:tcBorders>
              <w:top w:val="single" w:color="3D7A35" w:sz="1"/>
              <w:left w:val="single" w:color="3D7A35" w:sz="1"/>
              <w:bottom w:val="single" w:color="3D7A35" w:sz="1"/>
              <w:right w:val="single" w:color="3D7A35" w:sz="1"/>
            </w:tcBorders>
            <w:shd w:fill="FFFFFF" w:val="clear"/>
            <w:tcMar>
              <w:top w:type="dxa" w:w="70"/>
              <w:left w:type="dxa" w:w="110"/>
              <w:bottom w:type="dxa" w:w="70"/>
              <w:right w:type="dxa" w:w="110"/>
            </w:tcMar>
            <w:vAlign w:val="center"/>
          </w:tcPr>
          <w:p>
            <w:r>
              <w:rPr>
                <w:rFonts w:ascii="Arial" w:cs="Arial" w:eastAsia="Arial" w:hAnsi="Arial"/>
                <w:color w:val="1A1A1A"/>
                <w:sz w:val="19"/>
                <w:szCs w:val="19"/>
              </w:rPr>
              <w:t xml:space="preserve">General safety good; first trimester: some practitioners recommend caution</w:t>
            </w:r>
          </w:p>
        </w:tc>
      </w:tr>
      <w:tr>
        <w:tc>
          <w:tcPr>
            <w:tcW w:type="dxa" w:w="164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Black Cohosh</w:t>
            </w:r>
          </w:p>
        </w:tc>
        <w:tc>
          <w:tcPr>
            <w:tcW w:type="dxa" w:w="212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Menopausal symptoms; hot flashes; menstrual; mood</w:t>
            </w:r>
          </w:p>
        </w:tc>
        <w:tc>
          <w:tcPr>
            <w:tcW w:type="dxa" w:w="80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3–8</w:t>
            </w:r>
          </w:p>
        </w:tc>
        <w:tc>
          <w:tcPr>
            <w:tcW w:type="dxa" w:w="7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Shade required</w:t>
            </w:r>
          </w:p>
        </w:tc>
        <w:tc>
          <w:tcPr>
            <w:tcW w:type="dxa" w:w="148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Tincture; standardized caps; root tea</w:t>
            </w:r>
          </w:p>
        </w:tc>
        <w:tc>
          <w:tcPr>
            <w:tcW w:type="dxa" w:w="2560"/>
            <w:tcBorders>
              <w:top w:val="single" w:color="3D7A35" w:sz="1"/>
              <w:left w:val="single" w:color="3D7A35" w:sz="1"/>
              <w:bottom w:val="single" w:color="3D7A35" w:sz="1"/>
              <w:right w:val="single" w:color="3D7A35" w:sz="1"/>
            </w:tcBorders>
            <w:shd w:fill="F8F8F8" w:val="clear"/>
            <w:tcMar>
              <w:top w:type="dxa" w:w="70"/>
              <w:left w:type="dxa" w:w="110"/>
              <w:bottom w:type="dxa" w:w="70"/>
              <w:right w:type="dxa" w:w="110"/>
            </w:tcMar>
            <w:vAlign w:val="center"/>
          </w:tcPr>
          <w:p>
            <w:r>
              <w:rPr>
                <w:rFonts w:ascii="Arial" w:cs="Arial" w:eastAsia="Arial" w:hAnsi="Arial"/>
                <w:color w:val="1A1A1A"/>
                <w:sz w:val="19"/>
                <w:szCs w:val="19"/>
              </w:rPr>
              <w:t xml:space="preserve">Liver monitoring with long-term use; hormone-sensitive cancer: discuss with MD</w:t>
            </w:r>
          </w:p>
        </w:tc>
      </w:tr>
    </w:tbl>
    <w:p>
      <w:pPr>
        <w:spacing w:before="240" w:after="0"/>
      </w:pPr>
      <w:r>
        <w:t xml:space="preserve"/>
      </w:r>
    </w:p>
    <w:p>
      <w:r>
        <w:br w:type="page"/>
      </w:r>
    </w:p>
    <w:p>
      <w:pPr>
        <w:pStyle w:val="Heading1"/>
        <w:pBdr>
          <w:bottom w:val="single" w:color="2D5A27" w:sz="10" w:space="4"/>
        </w:pBdr>
        <w:spacing w:before="320" w:after="140"/>
      </w:pPr>
      <w:r>
        <w:rPr>
          <w:rFonts w:ascii="Arial" w:cs="Arial" w:eastAsia="Arial" w:hAnsi="Arial"/>
          <w:b/>
          <w:bCs/>
          <w:color w:val="2D5A27"/>
          <w:sz w:val="36"/>
          <w:szCs w:val="36"/>
        </w:rPr>
        <w:t xml:space="preserve">Building Your Medicinal Herb Practice</w:t>
      </w:r>
    </w:p>
    <w:p>
      <w:pPr>
        <w:spacing w:before="70" w:after="70"/>
      </w:pPr>
      <w:r>
        <w:rPr>
          <w:rFonts w:ascii="Arial" w:cs="Arial" w:eastAsia="Arial" w:hAnsi="Arial"/>
          <w:color w:val="1A1A1A"/>
          <w:sz w:val="22"/>
          <w:szCs w:val="22"/>
        </w:rPr>
        <w:t xml:space="preserve">A medicinal herb garden is not a project with a completion date — it is a practice that deepens with each season. The first year, you learn which plants thrive in your specific conditions. The second year, you harvest with more confidence and begin to recognize the difference between a plant at peak potency and one past its moment. By the third year, you find yourself reaching for your own lavender before the sleep aids at the pharmacy, and your own elder syrup at the first sign of illness.</w:t>
      </w:r>
    </w:p>
    <w:p>
      <w:pPr>
        <w:spacing w:before="70" w:after="70"/>
      </w:pPr>
      <w:r>
        <w:rPr>
          <w:rFonts w:ascii="Arial" w:cs="Arial" w:eastAsia="Arial" w:hAnsi="Arial"/>
          <w:color w:val="1A1A1A"/>
          <w:sz w:val="22"/>
          <w:szCs w:val="22"/>
        </w:rPr>
        <w:t xml:space="preserve">That accumulation of practical knowledge — knowing which herb to reach for, how to prepare it, and when it is appropriate — is the real reward of growing medicinal herbs. It is a form of self-sufficiency and connection to the natural world that is genuinely satisfying, and it is a living link to the generations of healers who tended these same plants before the age of synthetic medicine.</w:t>
      </w:r>
    </w:p>
    <w:p>
      <w:pPr>
        <w:spacing w:before="70" w:after="70"/>
      </w:pPr>
      <w:r>
        <w:rPr>
          <w:rFonts w:ascii="Arial" w:cs="Arial" w:eastAsia="Arial" w:hAnsi="Arial"/>
          <w:color w:val="1A1A1A"/>
          <w:sz w:val="22"/>
          <w:szCs w:val="22"/>
        </w:rPr>
        <w:t xml:space="preserve">Begin conservatively. Learn a few herbs well before adding more. Read widely and check your sources — herbalism has an extraordinary literature but also a significant amount of misinformation. Stay current with the research, because our understanding of how plants work continues to develop. Maintain your relationship with conventional medicine — the most effective approach to health care integrates both. And always, always tell your doctors and pharmacists what herbs you are using.</w:t>
      </w:r>
    </w:p>
    <w:p>
      <w:pPr>
        <w:spacing w:before="3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5A27" w:sz="2"/>
              <w:left w:val="single" w:color="2D5A27" w:sz="2"/>
              <w:bottom w:val="single" w:color="2D5A27" w:sz="2"/>
              <w:right w:val="single" w:color="2D5A27" w:sz="2"/>
            </w:tcBorders>
            <w:shd w:fill="2D5A27" w:val="clear"/>
            <w:tcMar>
              <w:top w:type="dxa" w:w="280"/>
              <w:left w:type="dxa" w:w="480"/>
              <w:bottom w:type="dxa" w:w="280"/>
              <w:right w:type="dxa" w:w="480"/>
            </w:tcMar>
          </w:tcPr>
          <w:p>
            <w:pPr>
              <w:spacing w:before="0" w:after="120"/>
              <w:jc w:val="center"/>
            </w:pPr>
            <w:r>
              <w:rPr>
                <w:rFonts w:ascii="Arial" w:cs="Arial" w:eastAsia="Arial" w:hAnsi="Arial"/>
                <w:sz w:val="36"/>
                <w:szCs w:val="36"/>
              </w:rPr>
              <w:t xml:space="preserve">🌿  🌸  🍃</w:t>
            </w:r>
          </w:p>
          <w:p>
            <w:pPr>
              <w:spacing w:before="0" w:after="120"/>
              <w:jc w:val="center"/>
            </w:pPr>
            <w:r>
              <w:rPr>
                <w:rFonts w:ascii="Arial" w:cs="Arial" w:eastAsia="Arial" w:hAnsi="Arial"/>
                <w:b/>
                <w:bCs/>
                <w:color w:val="FFFFFF"/>
                <w:sz w:val="26"/>
                <w:szCs w:val="26"/>
              </w:rPr>
              <w:t xml:space="preserve">The garden is the oldest pharmacy. Tend it with knowledge, use it with respect, and share what it teaches you.</w:t>
            </w:r>
          </w:p>
          <w:p>
            <w:pPr>
              <w:spacing w:before="0" w:after="0"/>
              <w:jc w:val="center"/>
            </w:pPr>
            <w:r>
              <w:rPr>
                <w:rFonts w:ascii="Arial" w:cs="Arial" w:eastAsia="Arial" w:hAnsi="Arial"/>
                <w:i/>
                <w:iCs/>
                <w:color w:val="C8E8C0"/>
                <w:sz w:val="22"/>
                <w:szCs w:val="22"/>
              </w:rPr>
              <w:t xml:space="preserve">These plants have been healing people for thousands of years. They ask only that you learn them well, grow them carefully, and approach them with the same humility they deserve.</w:t>
            </w:r>
          </w:p>
        </w:tc>
      </w:tr>
    </w:tbl>
    <w:p>
      <w:pPr>
        <w:spacing w:before="320" w:after="0"/>
      </w:pPr>
      <w:r>
        <w:t xml:space="preserve"/>
      </w:r>
    </w:p>
    <w:p>
      <w:pPr>
        <w:spacing w:before="0" w:after="0"/>
        <w:jc w:val="center"/>
      </w:pPr>
      <w:r>
        <w:rPr>
          <w:rFonts w:ascii="Arial" w:cs="Arial" w:eastAsia="Arial" w:hAnsi="Arial"/>
          <w:b/>
          <w:bCs/>
          <w:color w:val="2D5A27"/>
          <w:sz w:val="24"/>
          <w:szCs w:val="24"/>
        </w:rPr>
        <w:t xml:space="preserve">Now plant a chamomile seed. It starts there.</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D5A27" w:sz="4" w:space="4"/>
      </w:pBdr>
      <w:jc w:val="center"/>
    </w:pPr>
    <w:r>
      <w:rPr>
        <w:rFonts w:ascii="Arial" w:cs="Arial" w:eastAsia="Arial" w:hAnsi="Arial"/>
        <w:color w:val="888888"/>
        <w:sz w:val="18"/>
        <w:szCs w:val="18"/>
      </w:rPr>
      <w:t xml:space="preserve">© Medicinal Herb Garden Guide  |  For Educational Purposes — Always Consult a Healthcare Provider for Medical Advice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D5A27" w:sz="6" w:space="4"/>
      </w:pBdr>
      <w:spacing w:before="0" w:after="0"/>
    </w:pPr>
    <w:r>
      <w:rPr>
        <w:rFonts w:ascii="Arial" w:cs="Arial" w:eastAsia="Arial" w:hAnsi="Arial"/>
        <w:b/>
        <w:bCs/>
        <w:color w:val="2D5A27"/>
        <w:sz w:val="18"/>
        <w:szCs w:val="18"/>
      </w:rPr>
      <w:t xml:space="preserve">MEDICINAL HERB GARDEN</w:t>
    </w:r>
    <w:r>
      <w:rPr>
        <w:rFonts w:ascii="Arial" w:cs="Arial" w:eastAsia="Arial" w:hAnsi="Arial"/>
        <w:color w:val="888888"/>
        <w:sz w:val="18"/>
        <w:szCs w:val="18"/>
      </w:rPr>
      <w:t xml:space="preserve">    |    Time-Honored Healing Herbs You Can Grow and Use at Home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40"/>
      <w:outlineLvl w:val="0"/>
    </w:pPr>
    <w:rPr>
      <w:rFonts w:ascii="Arial" w:cs="Arial" w:eastAsia="Arial" w:hAnsi="Arial"/>
      <w:b/>
      <w:bCs/>
      <w:sz w:val="36"/>
      <w:szCs w:val="36"/>
    </w:rPr>
  </w:style>
  <w:style w:type="paragraph" w:styleId="Heading2">
    <w:name w:val="Heading 2"/>
    <w:basedOn w:val="Normal"/>
    <w:next w:val="Normal"/>
    <w:qFormat/>
    <w:pPr>
      <w:spacing w:before="260" w:after="100"/>
      <w:outlineLvl w:val="1"/>
    </w:pPr>
    <w:rPr>
      <w:rFonts w:ascii="Arial" w:cs="Arial" w:eastAsia="Arial" w:hAnsi="Arial"/>
      <w:b/>
      <w:bCs/>
      <w:sz w:val="28"/>
      <w:szCs w:val="28"/>
    </w:rPr>
  </w:style>
  <w:style w:type="paragraph" w:styleId="Heading3">
    <w:name w:val="Heading 3"/>
    <w:basedOn w:val="Normal"/>
    <w:next w:val="Normal"/>
    <w:qFormat/>
    <w:pPr>
      <w:spacing w:before="180" w:after="7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2026-03-30T04:54:05.457Z</dcterms:created>
  <dcterms:modified xsi:type="dcterms:W3CDTF">2026-03-30T04:54:05.458Z</dcterms:modified>
</cp:coreProperties>
</file>

<file path=docProps/custom.xml><?xml version="1.0" encoding="utf-8"?>
<Properties xmlns="http://schemas.openxmlformats.org/officeDocument/2006/custom-properties" xmlns:vt="http://schemas.openxmlformats.org/officeDocument/2006/docPropsVTypes"/>
</file>