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t xml:space="preserve">Growth and Nutritional Status of Tribal Preschool Children: An Assessment Based on Body Circumferences </w:t>
      </w:r>
    </w:p>
    <w:p>
      <w:pPr>
        <w:pStyle w:val="Normal"/>
        <w:spacing w:before="0" w:after="0"/>
        <w:jc w:val="center"/>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r>
    </w:p>
    <w:p>
      <w:pPr>
        <w:pStyle w:val="Normal"/>
        <w:spacing w:before="0" w:after="0"/>
        <w:jc w:val="center"/>
        <w:rPr>
          <w:rFonts w:ascii="Arial Narrow" w:hAnsi="Arial Narrow" w:eastAsia="Times New Roman" w:cs="Times New Roman"/>
          <w:iCs/>
          <w:sz w:val="24"/>
          <w:szCs w:val="24"/>
          <w:vertAlign w:val="superscript"/>
          <w:lang w:val="en-IN"/>
        </w:rPr>
      </w:pPr>
      <w:r>
        <w:rPr>
          <w:rFonts w:eastAsia="Calibri" w:cs="Times New Roman" w:ascii="Arial Narrow" w:hAnsi="Arial Narrow"/>
          <w:iCs/>
          <w:sz w:val="24"/>
          <w:szCs w:val="24"/>
          <w:lang w:val="en-IN"/>
        </w:rPr>
        <w:t xml:space="preserve">Biswajit </w:t>
      </w:r>
      <w:r>
        <w:rPr>
          <w:rFonts w:eastAsia="Times New Roman" w:cs="Times New Roman" w:ascii="Arial Narrow" w:hAnsi="Arial Narrow"/>
          <w:iCs/>
          <w:sz w:val="24"/>
          <w:szCs w:val="24"/>
          <w:lang w:val="en-IN"/>
        </w:rPr>
        <w:t>Mahapatra</w:t>
      </w:r>
      <w:r>
        <w:rPr>
          <w:rStyle w:val="FootnoteReference"/>
          <w:rFonts w:eastAsia="Times New Roman" w:cs="Times New Roman" w:ascii="Arial Narrow" w:hAnsi="Arial Narrow"/>
          <w:iCs/>
          <w:sz w:val="24"/>
          <w:szCs w:val="24"/>
          <w:lang w:val="en-IN"/>
        </w:rPr>
        <w:footnoteReference w:id="2"/>
      </w:r>
      <w:r>
        <w:rPr>
          <w:rFonts w:eastAsia="Times New Roman" w:cs="Times New Roman" w:ascii="Arial Narrow" w:hAnsi="Arial Narrow"/>
          <w:iCs/>
          <w:sz w:val="24"/>
          <w:szCs w:val="24"/>
          <w:vertAlign w:val="superscript"/>
          <w:lang w:val="en-IN"/>
        </w:rPr>
        <w:t xml:space="preserve">* </w:t>
      </w:r>
      <w:r>
        <w:rPr>
          <w:rFonts w:eastAsia="Times New Roman" w:cs="Times New Roman" w:ascii="Arial Narrow" w:hAnsi="Arial Narrow"/>
          <w:iCs/>
          <w:sz w:val="24"/>
          <w:szCs w:val="24"/>
          <w:lang w:val="en-IN"/>
        </w:rPr>
        <w:t xml:space="preserve">                     Kaushik Bose</w:t>
      </w:r>
      <w:r>
        <w:rPr>
          <w:rStyle w:val="FootnoteReference"/>
          <w:rFonts w:eastAsia="Times New Roman" w:cs="Times New Roman" w:ascii="Arial Narrow" w:hAnsi="Arial Narrow"/>
          <w:iCs/>
          <w:sz w:val="24"/>
          <w:szCs w:val="24"/>
          <w:lang w:val="en-IN"/>
        </w:rPr>
        <w:footnoteReference w:id="3"/>
      </w:r>
    </w:p>
    <w:p>
      <w:pPr>
        <w:pStyle w:val="Normal"/>
        <w:spacing w:before="0" w:after="0"/>
        <w:jc w:val="both"/>
        <w:rPr>
          <w:rFonts w:ascii="Arial Narrow" w:hAnsi="Arial Narrow" w:eastAsia="Times New Roman" w:cs="Times New Roman"/>
          <w:color w:themeColor="background1" w:val="FFFFFF"/>
          <w:sz w:val="24"/>
          <w:szCs w:val="24"/>
          <w:lang w:val="en-IN"/>
        </w:rPr>
      </w:pPr>
      <w:r>
        <w:rPr>
          <w:rStyle w:val="FootnoteReference"/>
        </w:rPr>
        <w:footnoteReference w:id="4"/>
      </w:r>
    </w:p>
    <w:p>
      <w:pPr>
        <w:pStyle w:val="Normal"/>
        <w:spacing w:before="0" w:after="0"/>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t>______________________________________________________________________</w:t>
      </w:r>
    </w:p>
    <w:p>
      <w:pPr>
        <w:pStyle w:val="Normal"/>
        <w:spacing w:before="0" w:after="0"/>
        <w:jc w:val="center"/>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r>
    </w:p>
    <w:p>
      <w:pPr>
        <w:pStyle w:val="Normal"/>
        <w:jc w:val="center"/>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Abstract</w:t>
      </w:r>
    </w:p>
    <w:p>
      <w:pPr>
        <w:pStyle w:val="Normal"/>
        <w:jc w:val="both"/>
        <w:rPr>
          <w:rFonts w:ascii="Arial Narrow" w:hAnsi="Arial Narrow" w:eastAsia="Calibri"/>
          <w:kern w:val="2"/>
          <w:lang w:val="en-US"/>
        </w:rPr>
      </w:pPr>
      <w:r>
        <w:rPr>
          <w:rFonts w:eastAsia="Times New Roman" w:cs="Times New Roman" w:ascii="Arial Narrow" w:hAnsi="Arial Narrow"/>
          <w:sz w:val="24"/>
          <w:szCs w:val="2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24"/>
          <w:szCs w:val="24"/>
          <w:lang w:val="en-IN"/>
        </w:rPr>
        <w:t>Undernutrition was assessed using WHO standard reference values of age and sex specific HC and MUAC z scores (&lt;</w:t>
      </w:r>
      <w:r>
        <w:rPr>
          <w:rFonts w:eastAsia="Calibri" w:cs="Times New Roman" w:ascii="Arial Narrow" w:hAnsi="Arial Narrow"/>
          <w:kern w:val="2"/>
          <w:sz w:val="24"/>
          <w:szCs w:val="24"/>
          <w:vertAlign w:val="subscript"/>
          <w:lang w:val="en-IN"/>
        </w:rPr>
        <w:t xml:space="preserve"> </w:t>
      </w:r>
      <w:r>
        <w:rPr>
          <w:rFonts w:eastAsia="Calibri" w:cs="Times New Roman" w:ascii="Arial Narrow" w:hAnsi="Arial Narrow"/>
          <w:kern w:val="2"/>
          <w:sz w:val="24"/>
          <w:szCs w:val="24"/>
          <w:lang w:val="en-IN"/>
        </w:rPr>
        <w:t xml:space="preserve">-2SD). The prevalence of undernutrition assessed by MUAC and head circumferences </w:t>
      </w:r>
      <w:r>
        <w:rPr>
          <w:rFonts w:eastAsia="Calibri" w:cs="Times New Roman" w:ascii="Arial Narrow" w:hAnsi="Arial Narrow"/>
          <w:bCs/>
          <w:iCs/>
          <w:kern w:val="2"/>
          <w:sz w:val="24"/>
          <w:szCs w:val="24"/>
          <w:lang w:val="en-IN"/>
        </w:rPr>
        <w:t>was</w:t>
      </w:r>
      <w:r>
        <w:rPr>
          <w:rFonts w:eastAsia="Calibri" w:cs="Times New Roman" w:ascii="Arial Narrow" w:hAnsi="Arial Narrow"/>
          <w:kern w:val="2"/>
          <w:sz w:val="24"/>
          <w:szCs w:val="24"/>
          <w:lang w:val="en-IN"/>
        </w:rPr>
        <w:t xml:space="preserve"> 35.3% and 60.7%, respectively. The overall undernutrition prevalence is 70.9%, consisting of 45.8% with one type of undernutrition (MUAC or HC) and 25.1% with undernutrition on both measures. </w:t>
      </w:r>
      <w:r>
        <w:rPr>
          <w:rFonts w:eastAsia="Calibri" w:ascii="Arial Narrow" w:hAnsi="Arial Narrow"/>
          <w:kern w:val="2"/>
          <w:sz w:val="24"/>
          <w:szCs w:val="24"/>
          <w:lang w:val="en-US"/>
        </w:rPr>
        <w:t>Body circumferences showed a higher mean value in healthy children compared to children with nutritional deficiencies, in both boys and girls.</w:t>
      </w:r>
      <w:r>
        <w:rPr>
          <w:rFonts w:eastAsia="Calibri" w:ascii="Arial Narrow" w:hAnsi="Arial Narrow"/>
          <w:kern w:val="2"/>
          <w:lang w:val="en-US"/>
        </w:rPr>
        <w:t xml:space="preserve"> </w:t>
      </w:r>
      <w:r>
        <w:rPr>
          <w:rFonts w:eastAsia="Calibri" w:cs="Times New Roman" w:ascii="Arial Narrow" w:hAnsi="Arial Narrow"/>
          <w:kern w:val="2"/>
          <w:sz w:val="24"/>
          <w:szCs w:val="24"/>
          <w:lang w:val="en-IN"/>
        </w:rPr>
        <w:t xml:space="preserve">Boys had significantly higher mean body circumferences than girls. </w:t>
      </w:r>
      <w:r>
        <w:rPr>
          <w:rFonts w:eastAsia="Calibri" w:cs="Times New Roman" w:ascii="Arial Narrow" w:hAnsi="Arial Narrow"/>
          <w:kern w:val="2"/>
          <w:sz w:val="24"/>
          <w:szCs w:val="2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24"/>
          <w:szCs w:val="24"/>
        </w:rPr>
        <w:t>.</w:t>
      </w:r>
    </w:p>
    <w:p>
      <w:pPr>
        <w:pStyle w:val="Normal"/>
        <w:shd w:val="clear" w:color="auto" w:fill="FFFFFF"/>
        <w:spacing w:before="180" w:after="0"/>
        <w:rPr>
          <w:rFonts w:ascii="Arial Narrow" w:hAnsi="Arial Narrow" w:eastAsia="Calibri" w:cs="Times New Roman"/>
          <w:kern w:val="2"/>
          <w:sz w:val="24"/>
          <w:szCs w:val="24"/>
          <w:lang w:val="en-IN"/>
        </w:rPr>
      </w:pPr>
      <w:r>
        <w:rPr>
          <w:rFonts w:eastAsia="Calibri" w:cs="Times New Roman" w:ascii="Arial Narrow" w:hAnsi="Arial Narrow"/>
          <w:b/>
          <w:kern w:val="2"/>
          <w:sz w:val="24"/>
          <w:szCs w:val="24"/>
          <w:lang w:val="en-IN"/>
        </w:rPr>
        <w:t>Keywords:</w:t>
      </w:r>
      <w:r>
        <w:rPr>
          <w:rFonts w:eastAsia="Calibri" w:cs="Times New Roman" w:ascii="Arial Narrow" w:hAnsi="Arial Narrow"/>
          <w:kern w:val="2"/>
          <w:sz w:val="24"/>
          <w:szCs w:val="24"/>
          <w:lang w:val="en-IN"/>
        </w:rPr>
        <w:t xml:space="preserve">  Tribal nutrition, Preschool children, Growth, Nutrition, Body circumferences, Anthropometry</w:t>
      </w:r>
    </w:p>
    <w:p>
      <w:pPr>
        <w:pStyle w:val="Normal"/>
        <w:jc w:val="both"/>
        <w:rPr>
          <w:rFonts w:ascii="Arial Narrow" w:hAnsi="Arial Narrow" w:eastAsia="Calibri" w:cs="Times New Roman"/>
          <w:b/>
          <w:bCs/>
          <w:kern w:val="2"/>
          <w:sz w:val="28"/>
          <w:szCs w:val="28"/>
          <w:lang w:val="en-US"/>
        </w:rPr>
      </w:pPr>
      <w:r>
        <w:rPr>
          <w:rFonts w:eastAsia="Calibri" w:cs="Times New Roman" w:ascii="Arial Narrow" w:hAnsi="Arial Narrow"/>
          <w:b/>
          <w:bCs/>
          <w:kern w:val="2"/>
          <w:sz w:val="28"/>
          <w:szCs w:val="28"/>
          <w:lang w:val="en-US"/>
        </w:rPr>
        <w:t>______________________________________________________________________</w:t>
      </w:r>
    </w:p>
    <w:p>
      <w:pPr>
        <w:pStyle w:val="Normal"/>
        <w:jc w:val="both"/>
        <w:rPr>
          <w:rFonts w:ascii="Arial Narrow" w:hAnsi="Arial Narrow" w:eastAsia="Calibri" w:cs="Times New Roman"/>
          <w:b/>
          <w:bCs/>
          <w:kern w:val="2"/>
          <w:sz w:val="28"/>
          <w:szCs w:val="28"/>
          <w:lang w:val="en-US"/>
        </w:rPr>
      </w:pPr>
      <w:r>
        <w:rPr>
          <w:rFonts w:eastAsia="Calibri" w:cs="Times New Roman" w:ascii="Arial Narrow" w:hAnsi="Arial Narrow"/>
          <w:b/>
          <w:bCs/>
          <w:kern w:val="2"/>
          <w:sz w:val="28"/>
          <w:szCs w:val="28"/>
          <w:lang w:val="en-US"/>
        </w:rPr>
      </w:r>
    </w:p>
    <w:p>
      <w:pPr>
        <w:pStyle w:val="Normal"/>
        <w:spacing w:before="0" w:after="60"/>
        <w:jc w:val="both"/>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1.  Introduction</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In India, child undernutrition is a major health problem, particularly in tribal communities. Globally, malnutrition causes over 3.1 million child deaths annually, with one in every three under-five children being malnourished </w:t>
      </w:r>
      <w:r>
        <w:fldChar w:fldCharType="begin"/>
      </w:r>
      <w:r>
        <w:rPr>
          <w:sz w:val="24"/>
          <w:szCs w:val="24"/>
          <w:rFonts w:eastAsia="Times New Roman" w:cs="Times New Roman" w:ascii="Arial Narrow" w:hAnsi="Arial Narrow"/>
          <w:lang w:val="en-IN" w:eastAsia="en-IN"/>
        </w:rPr>
        <w:instrText xml:space="preserve">ADDIN ZOTERO_ITEM CSL_CITATION {"citationID":"Xn7kKRdr","properties":{"formattedCitation":"(Black et al., 2013; Research Institute (Ifpri), 2016)","plainCitation":"(Black et al., 2013; Research Institute (Ifpri), 2016)","noteIndex":0},"citationItems":[{"id":147,"uris":["http://zotero.org/users/local/hXR51pOC/items/X27QDYYG"],"itemData":{"id":147,"type":"article-journal","container-title":"The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id":279,"uris":["http://zotero.org/users/local/hXR51pOC/items/L6MEVS2W"],"itemData":{"id":279,"type":"report","event-place":"Washington, DC","language":"en","note":"edition: 0\nDOI: 10.2499/9780896295841","publisher":"International Food Policy Research Institute","publisher-place":"Washington, DC","source":"DOI.org (Crossref)","title":"Global Nutrition Report 2016 From Promise to Impact Ending Malnutrition by 2030","URL":"https://ebrary.ifpri.org/digital/collection/p15738coll2/id/130354","author":[{"family":"Research Institute (Ifpri)","given":"International Food Policy"}],"accessed":{"date-parts":[["2024",5,7]]},"issued":{"date-parts":[["2016"]]}}}],"schema":"https://github.com/citation-style-language/schema/raw/master/csl-citation.json"}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(Black et al., 2013; IFPRI, 2016)</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This malnutrition </w:t>
      </w:r>
      <w:r>
        <w:rPr>
          <w:rFonts w:eastAsia="Times New Roman" w:cs="Times New Roman" w:ascii="Arial Narrow" w:hAnsi="Arial Narrow"/>
          <w:color w:val="000000"/>
          <w:sz w:val="24"/>
          <w:szCs w:val="24"/>
          <w:lang w:val="en-IN" w:eastAsia="en-IN"/>
        </w:rPr>
        <w:t>(under- and overnutrition)</w:t>
      </w:r>
      <w:r>
        <w:rPr>
          <w:rFonts w:eastAsia="Times New Roman" w:cs="Times New Roman" w:ascii="Arial Narrow" w:hAnsi="Arial Narrow"/>
          <w:sz w:val="24"/>
          <w:szCs w:val="24"/>
          <w:lang w:val="en-IN" w:eastAsia="en-IN"/>
        </w:rPr>
        <w:t xml:space="preserve"> affects growth potential and future morbidity and mortality risks </w:t>
      </w:r>
      <w:r>
        <w:fldChar w:fldCharType="begin"/>
      </w:r>
      <w:r>
        <w:rPr>
          <w:sz w:val="24"/>
          <w:szCs w:val="24"/>
          <w:rFonts w:eastAsia="Times New Roman" w:cs="Times New Roman" w:ascii="Arial Narrow" w:hAnsi="Arial Narrow"/>
          <w:lang w:val="en-IN" w:eastAsia="en-IN"/>
        </w:rPr>
        <w:instrText xml:space="preserve">ADDIN ZOTERO_ITEM CSL_CITATION {"citationID":"TYwg2Ihc","properties":{"formattedCitation":"(Alderman et al., 2003)","plainCitation":"(Alderman et al., 2003)","noteIndex":0},"citationItems":[{"id":264,"uris":["http://zotero.org/users/local/hXR51pOC/items/7539267U"],"itemData":{"id":264,"type":"article-journal","container-title":"Social Science &amp; Medicine","DOI":"10.1016/S0277-9536(02)00183-1","ISSN":"02779536","issue":"10","journalAbbreviation":"Social Science &amp; Medicine","language":"en","license":"https://www.elsevier.com/tdm/userlicense/1.0/","page":"2019-2031","source":"DOI.org (Crossref)","title":"With the help of one's neighbors: externalities in the production of nutrition in Peru","title-short":"With the help of one's neighbors","URL":"https://linkinghub.elsevier.com/retrieve/pii/S0277953602001831","volume":"56","author":[{"family":"Alderman","given":"Harold"},{"family":"Hentschel","given":"Jesko"},{"family":"Sabates","given":"Ricardo"}],"accessed":{"date-parts":[["2024",5,7]]},"issued":{"date-parts":[["2003",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(Alderman et al., 2003)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Undernutrition in India is a significant public health issue, which increases childhood mortality and morbidity </w:t>
      </w:r>
      <w:r>
        <w:fldChar w:fldCharType="begin"/>
      </w:r>
      <w:r>
        <w:rPr>
          <w:sz w:val="24"/>
          <w:szCs w:val="24"/>
          <w:rFonts w:eastAsia="Times New Roman" w:cs="Times New Roman" w:ascii="Arial Narrow" w:hAnsi="Arial Narrow"/>
          <w:lang w:val="en-IN" w:eastAsia="en-IN"/>
        </w:rPr>
        <w:instrText xml:space="preserve">ADDIN ZOTERO_ITEM CSL_CITATION {"citationID":"0bBLMt21","properties":{"formattedCitation":"(2019)","plainCitation":"(2019)","dontUpdate":true,"noteIndex":0},"citationItems":[{"id":149,"uris":["http://zotero.org/users/local/hXR51pOC/items/QIJXDI2J"],"itemData":{"id":149,"type":"report","title":"UNICEF-The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(UNICEF,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w:t>
      </w:r>
      <w:r>
        <w:rPr>
          <w:rFonts w:eastAsia="Times New Roman" w:cs="Times New Roman" w:ascii="Arial Narrow" w:hAnsi="Arial Narrow"/>
          <w:sz w:val="24"/>
          <w:szCs w:val="24"/>
          <w:lang w:val="en-US" w:eastAsia="en-IN"/>
        </w:rPr>
        <w:t xml:space="preserve">Under-five (0-5 years age) mortality rates are 34 per 1000 live births in India and 25 per 1000 in West Bengal </w:t>
      </w:r>
      <w:r>
        <w:fldChar w:fldCharType="begin"/>
      </w:r>
      <w:r>
        <w:rPr>
          <w:sz w:val="24"/>
          <w:szCs w:val="24"/>
          <w:rFonts w:eastAsia="Times New Roman" w:cs="Times New Roman" w:ascii="Arial Narrow" w:hAnsi="Arial Narrow"/>
          <w:lang w:val="en-IN" w:eastAsia="en-IN"/>
        </w:rPr>
        <w:instrText xml:space="preserve">ADDIN ZOTERO_ITEM CSL_CITATION {"citationID":"PqnrQW8t","properties":{"formattedCitation":"(2019)","plainCitation":"(2019)","dontUpdate":true,"noteIndex":0},"citationItems":[{"id":149,"uris":["http://zotero.org/users/local/hXR51pOC/items/QIJXDI2J"],"itemData":{"id":149,"type":"report","title":"UNICEF-The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(UNICEF,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w:t>
      </w:r>
      <w:r>
        <w:rPr>
          <w:rFonts w:eastAsia="Times New Roman" w:cs="Times New Roman" w:ascii="Arial Narrow" w:hAnsi="Arial Narrow"/>
          <w:sz w:val="24"/>
          <w:szCs w:val="24"/>
          <w:lang w:val="en-US" w:eastAsia="en-IN"/>
        </w:rPr>
        <w:t xml:space="preserve">Undernutrition is a significant cause of child mortality in developing countries like India, with nearly half of preschool-aged deaths in low- and middle-income countries attributed to this issue </w:t>
      </w:r>
      <w:r>
        <w:fldChar w:fldCharType="begin"/>
      </w:r>
      <w:r>
        <w:rPr>
          <w:sz w:val="24"/>
          <w:szCs w:val="24"/>
          <w:rFonts w:eastAsia="Times New Roman" w:cs="Times New Roman" w:ascii="Arial Narrow" w:hAnsi="Arial Narrow"/>
          <w:lang w:val="en-IN" w:eastAsia="en-IN"/>
        </w:rPr>
        <w:instrText xml:space="preserve">ADDIN ZOTERO_ITEM CSL_CITATION {"citationID":"iIKqKJS9","properties":{"formattedCitation":"(Black et al., 2013)","plainCitation":"(Black et al., 2013)","noteIndex":0},"citationItems":[{"id":147,"uris":["http://zotero.org/users/local/hXR51pOC/items/X27QDYYG"],"itemData":{"id":147,"type":"article-journal","container-title":"The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(Black et al., 2013)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In West Bengal, previous research indicates that approximately 50% of children experience various forms of undernutrition </w:t>
      </w:r>
      <w:r>
        <w:fldChar w:fldCharType="begin"/>
      </w:r>
      <w:r>
        <w:rPr>
          <w:sz w:val="24"/>
          <w:szCs w:val="24"/>
          <w:rFonts w:eastAsia="Times New Roman" w:cs="Times New Roman" w:ascii="Arial Narrow" w:hAnsi="Arial Narrow"/>
          <w:lang w:val="en-IN" w:eastAsia="en-IN"/>
        </w:rPr>
        <w:instrText xml:space="preserve">ADDIN ZOTERO_ITEM CSL_CITATION {"citationID":"FiAVTtxv","properties":{"formattedCitation":"(Bose et al., 2008)","plainCitation":"(Bose et al., 2008)","noteIndex":0},"citationItems":[{"id":155,"uris":["http://zotero.org/users/local/hXR51pOC/items/T9B5HUST"],"itemData":{"id":155,"type":"article-journal","abstract":"A cross-sectional study on 1206 children (788 boys, 618 girls) aged 1-12 years, belonging to low socioeconomic status, of Barasat and Madhyamgram, West Bengal, India, was undertaken to investigate age and sex variations in height and weight. It also evaluated the levels of underweight and stunting among them. Anthropometric measurements included weight and height. Weight-for-age (WA) and height-for-age (HA) &lt;-2 z-scores were used to evaluate underweight (UW) and stunting (ST), respectively, following the National Center for Health Statistics (NCHS) Guidelines. Results showed that boys aged 4 and 11 years were significantly heavier than girls of corresponding ages. Boys aged 7 years were significantly taller than girls of the same age. Significant (p &lt; 0.001) age differences existed in mean weight and height in boys (weight: F = 336.762; height: F = 565.160) as well as girls (weight: F = 275.320; height = 498.715). Results also revealed that the mean z-scores of WA (WAZ) and HA (HAZ) were less than (negative values) those of NCHS for both sexes at all ages. The overall (age combined) rate of UW was 60.4% and 51.3%; while that of ST was 51.7% and 48.4%, in boys and girls, respectively. Based on World Health Organization classification of severity of malnutrition, the prevalence of UW and ST were very high (&gt; or = 30%) in both sexes. In conclusion, this study demonstrated that the prevalence of UW and ST were very high among the subjects. Since the nutritional status of the subjects is not satisfactory, there is need for immediate supplementary nutrition.","container-title":"Collegium Antropologicum","ISSN":"0350-6134","issue":"1","journalAbbreviation":"Coll Antropol","language":"eng","note":"PMID: 18494191","page":"73-77","source":"PubMed","title":"Extreme levels of underweight and stunting among pre-adolescent children of low socioeconomic class from Madhyamgram and Barasat, West Bengal, India","volume":"32","author":[{"family":"Bose","given":"Kaushik"},{"family":"Bisai","given":"Samiran"},{"family":"Chakraborty","given":"Jayanta"},{"family":"Datta","given":"Nandini"},{"family":"Banerjee","given":"Parsati"}],"issued":{"date-parts":[["2008",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(Bose et al., 2008)</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ind w:firstLine="567"/>
        <w:jc w:val="both"/>
        <w:rPr>
          <w:rFonts w:ascii="Arial Narrow" w:hAnsi="Arial Narrow" w:eastAsia="Times New Roman" w:cs="Times New Roman"/>
          <w:color w:val="000000"/>
          <w:sz w:val="24"/>
          <w:szCs w:val="24"/>
          <w:lang w:val="en-IN" w:eastAsia="en-IN"/>
        </w:rPr>
      </w:pPr>
      <w:r>
        <w:rPr>
          <w:rFonts w:eastAsia="Times New Roman" w:cs="Times New Roman" w:ascii="Arial Narrow" w:hAnsi="Arial Narrow"/>
          <w:sz w:val="24"/>
          <w:szCs w:val="24"/>
          <w:lang w:val="en-IN" w:eastAsia="en-IN"/>
        </w:rPr>
        <w:t xml:space="preserve">In India, head circumference (HC) and mid upper arm circumference (MUAC) are utilized in survey and screening programs to diagnose protein-energy malnutrition </w:t>
      </w:r>
      <w:r>
        <w:fldChar w:fldCharType="begin"/>
      </w:r>
      <w:r>
        <w:rPr>
          <w:sz w:val="24"/>
          <w:szCs w:val="24"/>
          <w:rFonts w:eastAsia="Times New Roman" w:cs="Times New Roman" w:ascii="Arial Narrow" w:hAnsi="Arial Narrow"/>
          <w:lang w:val="en-IN" w:eastAsia="en-IN"/>
        </w:rPr>
        <w:instrText xml:space="preserve">ADDIN ZOTERO_ITEM CSL_CITATION {"citationID":"JFUYuOvf","properties":{"formattedCitation":"(Singh &amp; Bisnoi, 2005)","plainCitation":"(Singh &amp; Bisnoi, 2005)","noteIndex":0},"citationItems":[{"id":281,"uris":["http://zotero.org/users/local/hXR51pOC/items/D2LBIUPW"],"itemData":{"id":281,"type":"article-journal","container-title":"Indian Journal of Preventive &amp; Social Medicine","journalAbbreviation":"Indian J Prev Soc Med","page":"143-6","title":"Trend of growth in mid-arm circumference and head circumference of pre school female children of Faizabad District, Uttar Pradesh","volume":"36","author":[{"family":"Singh","given":"S"},{"family":"Bisnoi","given":"I"}],"issued":{"date-parts":[["2005"]]}}}],"schema":"https://github.com/citation-style-language/schema/raw/master/csl-citation.json"}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(Singh &amp; Bisnoi, 2005)</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HC is a physical indicator of past nutritional status and brain or cognitive development among children </w:t>
      </w:r>
      <w:r>
        <w:fldChar w:fldCharType="begin"/>
      </w:r>
      <w:r>
        <w:rPr>
          <w:sz w:val="24"/>
          <w:szCs w:val="24"/>
          <w:rFonts w:eastAsia="Times New Roman" w:cs="Times New Roman" w:ascii="Arial Narrow" w:hAnsi="Arial Narrow"/>
          <w:lang w:val="en-IN" w:eastAsia="en-IN"/>
        </w:rPr>
        <w:instrText xml:space="preserve">ADDIN ZOTERO_ITEM CSL_CITATION {"citationID":"jxa96bob","properties":{"formattedCitation":"(Rumsey &amp; Rapoport, 1983)","plainCitation":"(Rumsey &amp; Rapoport, 1983)","noteIndex":0},"citationItems":[{"id":282,"uris":["http://zotero.org/users/local/hXR51pOC/items/AYR9YMDA"],"itemData":{"id":282,"type":"article-journal","container-title":"Nutrition and the Brain","page":"101-161","title":"Assessing behavioral and cognitive effects of diet in pediatric populations. Nutrition and the Brain, 6.","volume":"6","author":[{"family":"Rumsey","given":"JM"},{"family":"Rapoport","given":"JL"}],"issued":{"date-parts":[["1983"]]}}}],"schema":"https://github.com/citation-style-language/schema/raw/master/csl-citation.json"}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(Rumsey &amp; Rapoport, 1983)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Neck circumference is a marker of malnutrition that assesses both undernutrition and obesity in children. </w:t>
      </w:r>
      <w:r>
        <w:rPr>
          <w:rFonts w:eastAsia="Times New Roman" w:cs="Times New Roman" w:ascii="Arial Narrow" w:hAnsi="Arial Narrow"/>
          <w:color w:val="000000"/>
          <w:sz w:val="24"/>
          <w:szCs w:val="24"/>
          <w:lang w:val="en-IN" w:eastAsia="en-IN"/>
        </w:rPr>
        <w:t xml:space="preserve">Other circumferences like chest, thigh, and medial calf are useful indicators of nutritional status, but are rarely used due to lack of a standardized cut-off value. </w:t>
      </w:r>
      <w:r>
        <w:rPr>
          <w:rFonts w:eastAsia="Times New Roman" w:cs="Times New Roman" w:ascii="Arial Narrow" w:hAnsi="Arial Narrow"/>
          <w:sz w:val="24"/>
          <w:szCs w:val="24"/>
          <w:lang w:val="en-IN" w:eastAsia="en-IN"/>
        </w:rPr>
        <w:t>For these reasons, the present study attempts to provide an age- and sex-wise optimal cut-off value for assessing undernutrition among preschool children.</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2. Methods</w:t>
      </w:r>
    </w:p>
    <w:p>
      <w:pPr>
        <w:pStyle w:val="Normal"/>
        <w:spacing w:before="0" w:after="60"/>
        <w:rPr>
          <w:rFonts w:ascii="Arial Narrow" w:hAnsi="Arial Narrow" w:eastAsia="Times New Roman" w:cs="Times New Roman"/>
          <w:i/>
          <w:i/>
          <w:iCs/>
          <w:sz w:val="24"/>
          <w:szCs w:val="24"/>
          <w:lang w:val="en-IN" w:eastAsia="en-IN"/>
        </w:rPr>
      </w:pPr>
      <w:r>
        <w:rPr>
          <w:rFonts w:eastAsia="Times New Roman" w:cs="Times New Roman" w:ascii="Arial Narrow" w:hAnsi="Arial Narrow"/>
          <w:i/>
          <w:iCs/>
          <w:sz w:val="24"/>
          <w:szCs w:val="24"/>
          <w:lang w:val="en-IN" w:eastAsia="en-IN"/>
        </w:rPr>
        <w:t>2.1.  Study design and participants</w:t>
      </w:r>
    </w:p>
    <w:p>
      <w:pPr>
        <w:pStyle w:val="Normal"/>
        <w:spacing w:before="0" w:after="0"/>
        <w:jc w:val="both"/>
        <w:rPr>
          <w:rFonts w:ascii="Arial Narrow" w:hAnsi="Arial Narrow"/>
          <w:lang w:val="en-US"/>
        </w:rPr>
      </w:pPr>
      <w:r>
        <w:rPr>
          <w:rFonts w:eastAsia="Calibri" w:cs="Times New Roman" w:ascii="Arial Narrow" w:hAnsi="Arial Narrow"/>
          <w:kern w:val="2"/>
          <w:sz w:val="24"/>
          <w:szCs w:val="24"/>
          <w:lang w:val="en-US"/>
        </w:rPr>
        <w:t xml:space="preserve">The present study was conducted on tribal preschool children aged 12–71 months. Three blocks were studied; these are Nayagram block, the most populated tribal block in the Jhargram district, and its nearest two blocks (Dantan I and Keshiary) of Paschim Medinipur district. </w:t>
      </w:r>
      <w:r>
        <w:rPr>
          <w:rFonts w:eastAsia="Calibri" w:cs="Times New Roman" w:ascii="Arial Narrow" w:hAnsi="Arial Narrow"/>
          <w:kern w:val="2"/>
          <w:sz w:val="24"/>
          <w:szCs w:val="24"/>
          <w:lang w:val="en-IN"/>
        </w:rPr>
        <w:t xml:space="preserve">This study focused on the most populous Santal and Bhumij tribes, which belong to the Austro-Asiatic (Munda) speaking tribes of West Bengal. </w:t>
      </w:r>
      <w:r>
        <w:rPr>
          <w:rFonts w:cs="Times New Roman" w:ascii="Arial Narrow" w:hAnsi="Arial Narrow"/>
          <w:sz w:val="24"/>
          <w:szCs w:val="24"/>
          <w:lang w:val="en-US"/>
        </w:rPr>
        <w:t>The present study</w:t>
      </w:r>
      <w:r>
        <w:rPr>
          <w:rFonts w:eastAsia="Times New Roman" w:cs="Times New Roman" w:ascii="Arial Narrow" w:hAnsi="Arial Narrow"/>
          <w:sz w:val="24"/>
          <w:szCs w:val="24"/>
          <w:lang w:val="en-IN" w:eastAsia="en-IN"/>
        </w:rPr>
        <w:t xml:space="preserve"> included children from agriculture-related households, </w:t>
      </w:r>
      <w:r>
        <w:rPr>
          <w:rFonts w:cs="Times New Roman" w:ascii="Arial Narrow" w:hAnsi="Arial Narrow"/>
          <w:sz w:val="24"/>
          <w:szCs w:val="24"/>
          <w:lang w:val="en-US"/>
        </w:rPr>
        <w:t>excluding physically challenged children, those who failed inclusion criteria, and parents unwilling to participate.</w:t>
      </w:r>
    </w:p>
    <w:p>
      <w:pPr>
        <w:pStyle w:val="Normal"/>
        <w:spacing w:before="0" w:after="0"/>
        <w:ind w:firstLine="567"/>
        <w:jc w:val="both"/>
        <w:rPr>
          <w:rFonts w:ascii="Arial Narrow" w:hAnsi="Arial Narrow" w:eastAsia="Times New Roman" w:cs="Times New Roman"/>
          <w:sz w:val="24"/>
          <w:szCs w:val="24"/>
          <w:lang w:val="en-IN" w:eastAsia="en-IN"/>
        </w:rPr>
      </w:pPr>
      <w:r>
        <w:rPr>
          <w:rFonts w:eastAsia="Calibri" w:cs="Times New Roman" w:ascii="Arial Narrow" w:hAnsi="Arial Narrow"/>
          <w:kern w:val="2"/>
          <w:sz w:val="24"/>
          <w:szCs w:val="24"/>
          <w:lang w:val="en-US"/>
        </w:rPr>
        <w:t>The present study included 13 villages (</w:t>
      </w:r>
      <w:r>
        <w:rPr>
          <w:rFonts w:eastAsia="Calibri" w:cs="Times New Roman" w:ascii="Arial Narrow" w:hAnsi="Arial Narrow"/>
          <w:kern w:val="2"/>
          <w:sz w:val="24"/>
          <w:szCs w:val="24"/>
        </w:rPr>
        <w:t>Amda, Bhadra, Bhumijsai, Dudhe budhe, Dakshindiha, Joykrishnapur, Julko, Junbalda, Kamarchowki, Kanpur, Salbani, Sarisa, Talbandh</w:t>
      </w:r>
      <w:r>
        <w:rPr>
          <w:rFonts w:eastAsia="Calibri" w:cs="Times New Roman" w:ascii="Arial Narrow" w:hAnsi="Arial Narrow"/>
          <w:kern w:val="2"/>
          <w:sz w:val="24"/>
          <w:szCs w:val="24"/>
          <w:lang w:val="en-US"/>
        </w:rPr>
        <w:t>) from the Keshiary block, 8 villages (</w:t>
      </w:r>
      <w:r>
        <w:rPr>
          <w:rFonts w:eastAsia="Calibri" w:cs="Times New Roman" w:ascii="Arial Narrow" w:hAnsi="Arial Narrow"/>
          <w:kern w:val="2"/>
          <w:sz w:val="24"/>
          <w:szCs w:val="24"/>
        </w:rPr>
        <w:t>Antri, Bahalia, Beldiha, Borah, Dhuriya, Manikara, Markandapur, Uchudiha</w:t>
      </w:r>
      <w:r>
        <w:rPr>
          <w:rFonts w:eastAsia="Calibri" w:cs="Times New Roman" w:ascii="Arial Narrow" w:hAnsi="Arial Narrow"/>
          <w:kern w:val="2"/>
          <w:sz w:val="24"/>
          <w:szCs w:val="24"/>
          <w:lang w:val="en-US"/>
        </w:rPr>
        <w:t>) from the Dantan-l block, and 15 villages (</w:t>
      </w:r>
      <w:r>
        <w:rPr>
          <w:rFonts w:eastAsia="Calibri" w:cs="Times New Roman" w:ascii="Arial Narrow" w:hAnsi="Arial Narrow"/>
          <w:kern w:val="2"/>
          <w:sz w:val="24"/>
          <w:szCs w:val="24"/>
        </w:rPr>
        <w:t>Barpat, Begunadahi, Bhaliaghati, Gulfa, Hasimpur, Jadukatha, Jagannathpur, Jarka, Kadokatha, Khanamuri, Marapada, Pungiri, Singdhui, Talakuldihi, Tufuria</w:t>
      </w:r>
      <w:r>
        <w:rPr>
          <w:rFonts w:eastAsia="Calibri" w:cs="Times New Roman" w:ascii="Arial Narrow" w:hAnsi="Arial Narrow"/>
          <w:kern w:val="2"/>
          <w:sz w:val="24"/>
          <w:szCs w:val="24"/>
          <w:lang w:val="en-US"/>
        </w:rPr>
        <w:t xml:space="preserve">) from the Nayagram block. </w:t>
      </w:r>
      <w:r>
        <w:rPr>
          <w:rFonts w:eastAsia="Calibri" w:cs="Times New Roman" w:ascii="Arial Narrow" w:hAnsi="Arial Narrow"/>
          <w:kern w:val="2"/>
          <w:sz w:val="24"/>
          <w:szCs w:val="24"/>
          <w:lang w:val="en-IN"/>
        </w:rPr>
        <w:t xml:space="preserve">We conducted the research from April 2018 to March 2019. The 2011 Census reported a population of 17,598 in Nayagram block, with 41.01% of preschool children belonging to tribal peoples. The Keshiary block had 16,984 children under five, with 34.25% of scheduled tribes. The Dantan I block had 20,209 children aged 0-5, with 16.38% belonging to tribal peoples. In the three blocks combined, the total number of tribal children was 16,169 </w:t>
      </w:r>
      <w:r>
        <w:fldChar w:fldCharType="begin"/>
      </w:r>
      <w:r>
        <w:rPr>
          <w:sz w:val="24"/>
          <w:kern w:val="2"/>
          <w:szCs w:val="24"/>
          <w:rFonts w:eastAsia="Calibri" w:cs="Times New Roman" w:ascii="Arial Narrow" w:hAnsi="Arial Narrow"/>
          <w:lang w:val="en-IN"/>
        </w:rPr>
        <w:instrText xml:space="preserve">ADDIN ZOTERO_ITEM CSL_CITATION {"citationID":"4GHyVf3E","properties":{"formattedCitation":"(Office of the Registrar General &amp; Census Commissioner, India. Ministry of Home Affairs, Government of India, 2011)","plainCitation":"(Office of the Registrar General &amp; Census Commissioner, India. Ministry of Home Affairs, Government of India, 2011)","dontUpdate":true,"noteIndex":0},"citationItems":[{"id":7,"uris":["http://zotero.org/users/local/hXR51pOC/items/RQ62JJ3A"],"itemData":{"id":7,"type":"report","publisher":"Office of the Registrar General &amp; Census Commissioner, India. Ministry of Home Affairs, Government of India","title":"Census of India","URL":"https://censusindia.gov.in/census.website/","issued":{"date-parts":[["2011"]]}}}],"schema":"https://github.com/citation-style-language/schema/raw/master/csl-citation.json"}</w:instrText>
      </w:r>
      <w:r>
        <w:rPr>
          <w:rFonts w:eastAsia="Calibri" w:cs="Times New Roman" w:ascii="Arial Narrow" w:hAnsi="Arial Narrow"/>
          <w:kern w:val="2"/>
          <w:sz w:val="24"/>
          <w:szCs w:val="24"/>
          <w:lang w:val="en-IN"/>
        </w:rPr>
      </w:r>
      <w:r>
        <w:rPr>
          <w:sz w:val="24"/>
          <w:kern w:val="2"/>
          <w:szCs w:val="24"/>
          <w:rFonts w:eastAsia="Calibri" w:cs="Times New Roman" w:ascii="Arial Narrow" w:hAnsi="Arial Narrow"/>
          <w:lang w:val="en-IN"/>
        </w:rPr>
        <w:fldChar w:fldCharType="separate"/>
      </w:r>
      <w:r>
        <w:rPr>
          <w:rFonts w:eastAsia="Calibri" w:cs="Times New Roman" w:ascii="Arial Narrow" w:hAnsi="Arial Narrow"/>
          <w:kern w:val="2"/>
          <w:sz w:val="24"/>
          <w:szCs w:val="24"/>
          <w:lang w:val="en-IN"/>
        </w:rPr>
        <w:t>(Census, 2011)</w:t>
      </w:r>
      <w:r>
        <w:rPr>
          <w:rFonts w:eastAsia="Calibri" w:cs="Times New Roman" w:ascii="Arial Narrow" w:hAnsi="Arial Narrow"/>
          <w:kern w:val="2"/>
          <w:sz w:val="24"/>
          <w:szCs w:val="24"/>
          <w:lang w:val="en-IN"/>
        </w:rPr>
      </w:r>
      <w:r>
        <w:rPr>
          <w:sz w:val="24"/>
          <w:kern w:val="2"/>
          <w:szCs w:val="24"/>
          <w:rFonts w:eastAsia="Calibri" w:cs="Times New Roman" w:ascii="Arial Narrow" w:hAnsi="Arial Narrow"/>
          <w:lang w:val="en-IN"/>
        </w:rPr>
        <w:fldChar w:fldCharType="end"/>
      </w:r>
      <w:r>
        <w:rPr>
          <w:rFonts w:eastAsia="Calibri" w:cs="Times New Roman" w:ascii="Arial Narrow" w:hAnsi="Arial Narrow"/>
          <w:kern w:val="2"/>
          <w:sz w:val="24"/>
          <w:szCs w:val="24"/>
          <w:lang w:val="en-IN"/>
        </w:rPr>
        <w:t xml:space="preserve">. </w:t>
      </w:r>
      <w:r>
        <w:rPr>
          <w:rFonts w:eastAsia="Times New Roman" w:cs="Times New Roman" w:ascii="Arial Narrow" w:hAnsi="Arial Narrow"/>
          <w:sz w:val="24"/>
          <w:szCs w:val="24"/>
          <w:lang w:val="en-IN" w:eastAsia="en-IN"/>
        </w:rPr>
        <w:t>The study used stratified random sampling to select 848 under-five children from Santal and Bhumij ethnic groups, with 95% confidence level, 50% population proportion, and a 3.3% margin of error.</w:t>
      </w:r>
    </w:p>
    <w:p>
      <w:pPr>
        <w:pStyle w:val="Normal"/>
        <w:spacing w:before="0" w:after="0"/>
        <w:ind w:firstLine="567"/>
        <w:jc w:val="both"/>
        <w:rPr>
          <w:rFonts w:ascii="Arial Narrow" w:hAnsi="Arial Narrow" w:eastAsia="Calibri" w:cs="Times New Roman"/>
          <w:kern w:val="2"/>
          <w:sz w:val="24"/>
          <w:szCs w:val="24"/>
          <w:lang w:val="en-US"/>
        </w:rPr>
      </w:pPr>
      <w:r>
        <w:rPr>
          <w:rFonts w:eastAsia="Calibri" w:cs="Times New Roman" w:ascii="Arial Narrow" w:hAnsi="Arial Narrow"/>
          <w:kern w:val="2"/>
          <w:sz w:val="24"/>
          <w:szCs w:val="24"/>
          <w:lang w:val="en-US"/>
        </w:rPr>
      </w:r>
    </w:p>
    <w:p>
      <w:pPr>
        <w:pStyle w:val="Normal"/>
        <w:spacing w:before="0" w:after="60"/>
        <w:jc w:val="both"/>
        <w:rPr>
          <w:rFonts w:ascii="Arial Narrow" w:hAnsi="Arial Narrow" w:eastAsia="Calibri" w:cs="Times New Roman"/>
          <w:i/>
          <w:i/>
          <w:iCs/>
          <w:kern w:val="2"/>
          <w:sz w:val="24"/>
          <w:szCs w:val="24"/>
          <w:lang w:val="en-US"/>
        </w:rPr>
      </w:pPr>
      <w:r>
        <w:rPr>
          <w:rFonts w:eastAsia="Calibri" w:cs="Times New Roman" w:ascii="Arial Narrow" w:hAnsi="Arial Narrow"/>
          <w:i/>
          <w:iCs/>
          <w:kern w:val="2"/>
          <w:sz w:val="24"/>
          <w:szCs w:val="24"/>
          <w:lang w:val="en-US"/>
        </w:rPr>
        <w:t>2.2.  Anthropometric data</w:t>
      </w:r>
    </w:p>
    <w:p>
      <w:pPr>
        <w:pStyle w:val="Normal"/>
        <w:spacing w:before="0" w:after="0"/>
        <w:jc w:val="both"/>
        <w:rPr>
          <w:rFonts w:ascii="Arial Narrow" w:hAnsi="Arial Narrow" w:eastAsia="Calibri" w:cs="Times New Roman"/>
          <w:bCs/>
          <w:color w:val="1B1B1B"/>
          <w:kern w:val="2"/>
          <w:shd w:fill="FFFFFF" w:val="clear"/>
          <w:lang w:val="en-IN"/>
        </w:rPr>
      </w:pPr>
      <w:r>
        <w:rPr>
          <w:rFonts w:eastAsia="Times New Roman" w:cs="Times New Roman" w:ascii="Arial Narrow" w:hAnsi="Arial Narrow"/>
          <w:sz w:val="24"/>
          <w:szCs w:val="24"/>
          <w:lang w:val="en-IN" w:eastAsia="en-IN"/>
        </w:rPr>
        <w:t xml:space="preserve">The anthropometric measurements were conducted in accordance with standard procedures </w:t>
      </w:r>
      <w:r>
        <w:fldChar w:fldCharType="begin"/>
      </w:r>
      <w:r>
        <w:rPr>
          <w:sz w:val="24"/>
          <w:szCs w:val="24"/>
          <w:rFonts w:eastAsia="Times New Roman" w:cs="Times New Roman" w:ascii="Arial Narrow" w:hAnsi="Arial Narrow"/>
          <w:lang w:val="en-IN" w:eastAsia="en-IN"/>
        </w:rPr>
        <w:instrText xml:space="preserve">ADDIN ZOTERO_ITEM CSL_CITATION {"citationID":"KqaFG5ah","properties":{"formattedCitation":"(Lohman et al., 1988)","plainCitation":"(Lohman et al., 1988)","noteIndex":0},"citationItems":[{"id":49,"uris":["http://zotero.org/users/local/hXR51pOC/items/AZWMUYC4"],"itemData":{"id":49,"type":"article-journal","title":"Anthropometric Standardization Refer­ence Manual. Chicago: Human Kinetics Books.","author":[{"family":"Lohman","given":"TG"},{"family":"Roche","given":"AF"},{"family":"Martorell","given":"R"}],"issued":{"date-parts":[["1988"]]}}}],"schema":"https://github.com/citation-style-language/schema/raw/master/csl-citation.json"}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(Lohman et al., 1988)</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departmental ethics committees provided the ethical clearance, and the study adhered to the Declaration of Helsinki’s ethical guidelines </w:t>
      </w:r>
      <w:r>
        <w:fldChar w:fldCharType="begin"/>
      </w:r>
      <w:r>
        <w:rPr>
          <w:sz w:val="24"/>
          <w:szCs w:val="24"/>
          <w:rFonts w:eastAsia="Times New Roman" w:cs="Times New Roman" w:ascii="Arial Narrow" w:hAnsi="Arial Narrow"/>
          <w:lang w:val="en-IN" w:eastAsia="en-IN"/>
        </w:rPr>
        <w:instrText xml:space="preserve">ADDIN ZOTERO_ITEM CSL_CITATION {"citationID":"2hknyPVa","properties":{"formattedCitation":"(Touitou, Portaluppi, Smolensky, &amp; Rensing#, 2004)","plainCitation":"(Touitou, Portaluppi, Smolensky, &amp; Rensing#, 2004)","dontUpdate":true,"noteIndex":0},"citationItems":[{"id":186,"uris":["http://zotero.org/users/local/hXR51pOC/items/BEDLD34Y"],"itemData":{"id":186,"type":"article-journal","container-title":"Chronobiology International","DOI":"10.1081/CBI-120030045","ISSN":"0742-0528, 1525-6073","issue":"1","journalAbbreviation":"Chronobiology International","language":"en","page":"161-170","source":"DOI.org (Crossref)","title":"Ethical Principles and Standards for the Conduct of Human and Animal Biological Rhythm Research","URL":"http://www.tandfonline.com/doi/full/10.1081/CBI-120030045","volume":"21","author":[{"family":"Touitou","given":"Yvan"},{"family":"Portaluppi","given":"Francesco"},{"family":"Smolensky","given":"Michael H."},{"family":"Rensing#","given":"Ludger"}],"accessed":{"date-parts":[["2023",11,29]]},"issued":{"date-parts":[["2004",1]]}}}],"schema":"https://github.com/citation-style-language/schema/raw/master/csl-citation.json"}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(Touitou et al., 2004)</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Three kinds of anthropometric measurements were taken from each participant: height, weight, and several body circumferences. Weight was measured using digital weighing scales. The standing height was measured using an anthropometric rod, and the recumbent length was measured using an infantometer. Circumferences were measured using a measuring tape. The study participants provided six types of body circumferences (</w:t>
      </w:r>
      <w:r>
        <w:rPr>
          <w:rFonts w:cs="Times New Roman" w:ascii="Arial Narrow" w:hAnsi="Arial Narrow"/>
          <w:color w:val="1B1B1B"/>
          <w:sz w:val="24"/>
          <w:szCs w:val="24"/>
          <w:shd w:fill="FFFFFF" w:val="clear"/>
          <w:lang w:val="en-IN"/>
        </w:rPr>
        <w:t>head circumference, neck circumference, mid upper arm circumference, chest circumference, thigh circumference, medial calf circumference</w:t>
      </w:r>
      <w:r>
        <w:rPr>
          <w:rFonts w:eastAsia="Times New Roman" w:cs="Times New Roman" w:ascii="Arial Narrow" w:hAnsi="Arial Narrow"/>
          <w:sz w:val="24"/>
          <w:szCs w:val="24"/>
          <w:lang w:val="en-IN" w:eastAsia="en-IN"/>
        </w:rPr>
        <w:t>) and six types of circumferences to height ratios (</w:t>
      </w:r>
      <w:r>
        <w:rPr>
          <w:rFonts w:eastAsia="Calibri" w:cs="Times New Roman" w:ascii="Arial Narrow" w:hAnsi="Arial Narrow"/>
          <w:kern w:val="2"/>
          <w:sz w:val="24"/>
          <w:szCs w:val="24"/>
          <w:lang w:val="en-IN"/>
        </w:rPr>
        <w:t>head to height ratio, neck to height ratio; mid upper arm circumference to height ratio; chest to height ratio; thigh to height ratio; medial calf to height ratio</w:t>
      </w:r>
      <w:r>
        <w:rPr>
          <w:rFonts w:eastAsia="Times New Roman" w:cs="Times New Roman" w:ascii="Arial Narrow" w:hAnsi="Arial Narrow"/>
          <w:sz w:val="24"/>
          <w:szCs w:val="24"/>
          <w:lang w:val="en-IN" w:eastAsia="en-IN"/>
        </w:rPr>
        <w:t>).</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jc w:val="both"/>
        <w:rPr>
          <w:rFonts w:ascii="Arial Narrow" w:hAnsi="Arial Narrow" w:eastAsia="Calibri" w:cs="Times New Roman"/>
          <w:i/>
          <w:i/>
          <w:iCs/>
          <w:kern w:val="2"/>
          <w:sz w:val="24"/>
          <w:szCs w:val="24"/>
          <w:lang w:val="en-IN"/>
        </w:rPr>
      </w:pPr>
      <w:r>
        <w:rPr>
          <w:rFonts w:eastAsia="Calibri" w:cs="Times New Roman" w:ascii="Arial Narrow" w:hAnsi="Arial Narrow"/>
          <w:i/>
          <w:iCs/>
          <w:kern w:val="2"/>
          <w:sz w:val="24"/>
          <w:szCs w:val="24"/>
          <w:lang w:val="en-IN"/>
        </w:rPr>
        <w:t>2.3.  Assessments of undernutrition</w:t>
      </w:r>
    </w:p>
    <w:p>
      <w:pPr>
        <w:pStyle w:val="Normal"/>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The current study utilized the WHO 2006 guidelines to evaluate undernutrition using low HC for age (HCAZ) and low MUAC for age (MUACZ) z score </w:t>
      </w:r>
      <w:r>
        <w:fldChar w:fldCharType="begin"/>
      </w:r>
      <w:r>
        <w:rPr>
          <w:sz w:val="24"/>
          <w:szCs w:val="24"/>
          <w:rFonts w:eastAsia="Times New Roman" w:cs="Times New Roman" w:ascii="Arial Narrow" w:hAnsi="Arial Narrow"/>
          <w:lang w:val="en-IN" w:eastAsia="en-IN"/>
        </w:rPr>
        <w:instrText xml:space="preserve">ADDIN ZOTERO_ITEM CSL_CITATION {"citationID":"Vuqg0d0l","properties":{"formattedCitation":"(2006)","plainCitation":"(2006)","dontUpdate":true,"noteIndex":0},"citationItems":[{"id":161,"uris":["http://zotero.org/users/local/hXR51pOC/items/FQFTNFVK"],"itemData":{"id":161,"type":"report","title":"Child Growth Standards. Length/Height for age, Weight for Age, Weight for Length, Weight for Height and Body Mass Index for Age. Methods and Development. World Health Organization, Geneva.","author":[{"family":"","given":"WHO"}],"issued":{"date-parts":[["2006"]]}}}],"schema":"https://github.com/citation-style-language/schema/raw/master/csl-citation.json"}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(WHO, 2006)</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WHO (2006) guidelines were used to calculate the Z-scores for two indices, with undernutrition defined as a value more than two standard deviations below the median (i.e., Z-score &lt; -2 SD) </w:t>
      </w:r>
      <w:r>
        <w:fldChar w:fldCharType="begin"/>
      </w:r>
      <w:r>
        <w:rPr>
          <w:sz w:val="24"/>
          <w:szCs w:val="24"/>
          <w:rFonts w:eastAsia="Times New Roman" w:cs="Times New Roman" w:ascii="Arial Narrow" w:hAnsi="Arial Narrow"/>
          <w:lang w:val="en-IN" w:eastAsia="en-IN"/>
        </w:rPr>
        <w:instrText xml:space="preserve">ADDIN ZOTERO_ITEM CSL_CITATION {"citationID":"ORb2dsiA","properties":{"formattedCitation":"(World Health Organization, 1995)","plainCitation":"(World Health Organization, 1995)","noteIndex":0},"citationItems":[{"id":56,"uris":["http://zotero.org/users/local/hXR51pOC/items/P9YSRVZK"],"itemData":{"id":56,"type":"chapter","title":"Physical status: The use of and interpretation of anthropometry. Report of a WHO Expert Committee. Technical Report Series no. 854. Geneva: World Health Organization.","author":[{"family":"World Health Organization","given":""}],"issued":{"date-parts":[["1995"]]}}}],"schema":"https://github.com/citation-style-language/schema/raw/master/csl-citation.json"}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(WHO, 1995)</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Z score was determined using the standard equation: </w:t>
      </w:r>
      <w:r>
        <w:rPr>
          <w:rFonts w:eastAsia="Calibri" w:cs="Times New Roman" w:ascii="Arial Narrow" w:hAnsi="Arial Narrow"/>
          <w:kern w:val="2"/>
          <w:sz w:val="24"/>
          <w:szCs w:val="24"/>
          <w:lang w:val="en-IN"/>
        </w:rPr>
        <w:t>Z score</w:t>
      </w:r>
      <w:r>
        <w:rPr>
          <w:rFonts w:eastAsia="Calibri" w:cs="Times New Roman" w:ascii="Arial Narrow" w:hAnsi="Arial Narrow"/>
          <w:kern w:val="2"/>
          <w:sz w:val="24"/>
          <w:szCs w:val="24"/>
          <w:lang w:val="en-US"/>
        </w:rPr>
        <w:t xml:space="preserve">= </w:t>
      </w:r>
      <w:r>
        <w:rPr>
          <w:rFonts w:eastAsia="Times New Roman" w:cs="Times New Roman" w:ascii="Arial Narrow" w:hAnsi="Arial Narrow"/>
          <w:kern w:val="2"/>
          <w:sz w:val="24"/>
          <w:szCs w:val="24"/>
          <w:lang w:val="en-IN"/>
        </w:rPr>
        <w:t xml:space="preserve"> </w:t>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3.  Results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color w:val="00B050"/>
          <w:sz w:val="24"/>
          <w:szCs w:val="24"/>
          <w:lang w:val="en-IN" w:eastAsia="en-IN"/>
        </w:rPr>
        <w:t>Tables 1 and 2</w:t>
      </w:r>
      <w:r>
        <w:rPr>
          <w:rFonts w:eastAsia="Times New Roman" w:cs="Times New Roman" w:ascii="Arial Narrow" w:hAnsi="Arial Narrow"/>
          <w:sz w:val="24"/>
          <w:szCs w:val="24"/>
          <w:lang w:val="en-IN" w:eastAsia="en-IN"/>
        </w:rPr>
        <w:t xml:space="preserve"> present the mean age- and sex-wise body circumferences and the differences in the circumference-to-height ratio. All body circumferences increased with increasing child age, and significant differences were observed (</w:t>
      </w:r>
      <w:r>
        <w:rPr>
          <w:rFonts w:eastAsia="Times New Roman" w:cs="Times New Roman" w:ascii="Arial Narrow" w:hAnsi="Arial Narrow"/>
          <w:i/>
          <w:sz w:val="24"/>
          <w:szCs w:val="24"/>
          <w:lang w:val="en-IN" w:eastAsia="en-IN"/>
        </w:rPr>
        <w:t>p</w:t>
      </w:r>
      <w:r>
        <w:rPr>
          <w:rFonts w:eastAsia="Times New Roman" w:cs="Times New Roman" w:ascii="Arial Narrow" w:hAnsi="Arial Narrow"/>
          <w:sz w:val="24"/>
          <w:szCs w:val="24"/>
          <w:vertAlign w:val="subscript"/>
          <w:lang w:val="en-IN" w:eastAsia="en-IN"/>
        </w:rPr>
        <w:t xml:space="preserve"> </w:t>
      </w:r>
      <w:r>
        <w:rPr>
          <w:rFonts w:eastAsia="Times New Roman" w:cs="Times New Roman" w:ascii="Arial Narrow" w:hAnsi="Arial Narrow"/>
          <w:sz w:val="24"/>
          <w:szCs w:val="24"/>
          <w:lang w:val="en-IN" w:eastAsia="en-IN"/>
        </w:rPr>
        <w:t>&lt;</w:t>
      </w:r>
      <w:r>
        <w:rPr>
          <w:rFonts w:eastAsia="Times New Roman" w:cs="Times New Roman" w:ascii="Arial Narrow" w:hAnsi="Arial Narrow"/>
          <w:sz w:val="24"/>
          <w:szCs w:val="24"/>
          <w:vertAlign w:val="subscript"/>
          <w:lang w:val="en-IN" w:eastAsia="en-IN"/>
        </w:rPr>
        <w:t xml:space="preserve"> </w:t>
      </w:r>
      <w:r>
        <w:rPr>
          <w:rFonts w:eastAsia="Times New Roman" w:cs="Times New Roman" w:ascii="Arial Narrow" w:hAnsi="Arial Narrow"/>
          <w:sz w:val="24"/>
          <w:szCs w:val="24"/>
          <w:lang w:val="en-IN" w:eastAsia="en-IN"/>
        </w:rPr>
        <w:t>.001). However, mean values of circumference to height ratio decreased with increasing child age. In the case of body circumferences, boys show higher mean values than girls except for thigh circumference. Sex differences were statistically significant except for medial calf circumference. In circumference to height ratios, the chest, thigh, and medial calf show statistically significant sex differences.</w:t>
      </w:r>
    </w:p>
    <w:p>
      <w:pPr>
        <w:pStyle w:val="Normal"/>
        <w:spacing w:before="0" w:after="0"/>
        <w:jc w:val="both"/>
        <w:rPr>
          <w:rFonts w:ascii="Arial Narrow" w:hAnsi="Arial Narrow" w:eastAsia="Calibri" w:cs="Times New Roman"/>
          <w:kern w:val="2"/>
          <w:sz w:val="24"/>
          <w:szCs w:val="24"/>
          <w:shd w:fill="FFFFFF" w:val="clear"/>
          <w:lang w:val="en-IN"/>
        </w:rPr>
      </w:pPr>
      <w:r>
        <w:rPr>
          <w:rFonts w:eastAsia="Calibri" w:cs="Times New Roman" w:ascii="Arial Narrow" w:hAnsi="Arial Narrow"/>
          <w:kern w:val="2"/>
          <w:sz w:val="24"/>
          <w:szCs w:val="24"/>
          <w:shd w:fill="FFFFFF" w:val="clear"/>
          <w:lang w:val="en-IN"/>
        </w:rPr>
      </w:r>
    </w:p>
    <w:p>
      <w:pPr>
        <w:pStyle w:val="Normal"/>
        <w:spacing w:before="0" w:after="0"/>
        <w:jc w:val="both"/>
        <w:rPr>
          <w:rFonts w:ascii="Arial Narrow" w:hAnsi="Arial Narrow" w:eastAsia="Calibri" w:cs="Times New Roman"/>
          <w:kern w:val="2"/>
          <w:sz w:val="24"/>
          <w:szCs w:val="24"/>
          <w:shd w:fill="FFFFFF" w:val="clear"/>
          <w:lang w:val="en-IN"/>
        </w:rPr>
      </w:pPr>
      <w:r>
        <w:rPr>
          <w:rFonts w:eastAsia="Calibri" w:cs="Times New Roman" w:ascii="Arial Narrow" w:hAnsi="Arial Narrow"/>
          <w:kern w:val="2"/>
          <w:sz w:val="24"/>
          <w:szCs w:val="24"/>
          <w:shd w:fill="FFFFFF" w:val="clear"/>
          <w:lang w:val="en-IN"/>
        </w:rPr>
      </w:r>
    </w:p>
    <w:p>
      <w:pPr>
        <w:pStyle w:val="Normal"/>
        <w:spacing w:before="0" w:after="120"/>
        <w:jc w:val="both"/>
        <w:rPr>
          <w:rFonts w:ascii="Arial Narrow" w:hAnsi="Arial Narrow" w:eastAsia="Calibri" w:cs="Times New Roman"/>
          <w:b/>
          <w:bCs/>
          <w:kern w:val="2"/>
          <w:sz w:val="24"/>
          <w:szCs w:val="24"/>
          <w:lang w:val="en-US"/>
        </w:rPr>
      </w:pPr>
      <w:r>
        <w:rPr>
          <w:rFonts w:eastAsia="Calibri" w:cs="Times New Roman" w:ascii="Arial Narrow" w:hAnsi="Arial Narrow"/>
          <w:b/>
          <w:kern w:val="2"/>
          <w:sz w:val="24"/>
          <w:szCs w:val="24"/>
          <w:shd w:fill="FFFFFF" w:val="clear"/>
          <w:lang w:val="en-IN"/>
        </w:rPr>
        <w:t>Table 1.</w:t>
      </w:r>
      <w:r>
        <w:rPr>
          <w:rFonts w:eastAsia="Calibri" w:cs="Times New Roman" w:ascii="Arial Narrow" w:hAnsi="Arial Narrow"/>
          <w:kern w:val="2"/>
          <w:sz w:val="24"/>
          <w:szCs w:val="24"/>
          <w:shd w:fill="FFFFFF" w:val="clear"/>
          <w:lang w:val="en-IN"/>
        </w:rPr>
        <w:t xml:space="preserve">  Age wise mean body circumferences and circumferences to height ratios </w:t>
      </w:r>
      <w:r>
        <w:rPr>
          <w:rFonts w:cs="Times New Roman" w:ascii="Arial Narrow" w:hAnsi="Arial Narrow"/>
          <w:sz w:val="24"/>
          <w:szCs w:val="24"/>
          <w:shd w:fill="FFFFFF" w:val="clear"/>
          <w:lang w:val="en-IN"/>
        </w:rPr>
        <w:t>(</w:t>
      </w:r>
      <w:r>
        <w:rPr>
          <w:rFonts w:cs="Times New Roman" w:ascii="Arial Narrow" w:hAnsi="Arial Narrow"/>
          <w:color w:val="1B1B1B"/>
          <w:sz w:val="24"/>
          <w:szCs w:val="24"/>
          <w:shd w:fill="FFFFFF" w:val="clear"/>
          <w:lang w:val="en-IN"/>
        </w:rPr>
        <w:t>mean ± SD)</w:t>
      </w:r>
      <w:r>
        <w:rPr>
          <w:rFonts w:eastAsia="Calibri" w:cs="Times New Roman" w:ascii="Arial Narrow" w:hAnsi="Arial Narrow"/>
          <w:kern w:val="2"/>
          <w:sz w:val="24"/>
          <w:szCs w:val="24"/>
          <w:shd w:fill="FFFFFF" w:val="clear"/>
          <w:lang w:val="en-IN"/>
        </w:rPr>
        <w:t xml:space="preserve"> among the participants.</w:t>
      </w:r>
    </w:p>
    <w:tbl>
      <w:tblPr>
        <w:tblStyle w:val="TableGrid1"/>
        <w:tblW w:w="9781" w:type="dxa"/>
        <w:jc w:val="left"/>
        <w:tblInd w:w="-147" w:type="dxa"/>
        <w:tblLayout w:type="fixed"/>
        <w:tblCellMar>
          <w:top w:w="28" w:type="dxa"/>
          <w:left w:w="0" w:type="dxa"/>
          <w:bottom w:w="28" w:type="dxa"/>
          <w:right w:w="0" w:type="dxa"/>
        </w:tblCellMar>
        <w:tblLook w:val="04a0" w:noHBand="0" w:noVBand="1" w:firstColumn="1" w:lastRow="0" w:lastColumn="0" w:firstRow="1"/>
      </w:tblPr>
      <w:tblGrid>
        <w:gridCol w:w="3119"/>
        <w:gridCol w:w="1133"/>
        <w:gridCol w:w="1135"/>
        <w:gridCol w:w="1133"/>
        <w:gridCol w:w="1134"/>
        <w:gridCol w:w="1137"/>
        <w:gridCol w:w="989"/>
      </w:tblGrid>
      <w:tr>
        <w:trPr/>
        <w:tc>
          <w:tcPr>
            <w:tcW w:w="3119"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cs="Times New Roman" w:ascii="Arial Narrow" w:hAnsi="Arial Narrow"/>
                <w:bCs/>
                <w:color w:val="1B1B1B"/>
                <w:shd w:fill="FFFFFF" w:val="clear"/>
                <w:lang w:val="en-IN"/>
              </w:rPr>
            </w:r>
          </w:p>
        </w:tc>
        <w:tc>
          <w:tcPr>
            <w:tcW w:w="6661" w:type="dxa"/>
            <w:gridSpan w:val="6"/>
            <w:tcBorders>
              <w:top w:val="nil"/>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Age wise differences (age in months)</w:t>
            </w:r>
          </w:p>
        </w:tc>
      </w:tr>
      <w:tr>
        <w:trPr/>
        <w:tc>
          <w:tcPr>
            <w:tcW w:w="3119" w:type="dxa"/>
            <w:tcBorders>
              <w:top w:val="nil"/>
              <w:left w:val="nil"/>
              <w:right w:val="nil"/>
            </w:tcBorders>
          </w:tcPr>
          <w:p>
            <w:pPr>
              <w:pStyle w:val="Normal"/>
              <w:widowControl/>
              <w:suppressAutoHyphens w:val="true"/>
              <w:spacing w:lineRule="auto" w:line="259" w:before="24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Anthropometric variables</w:t>
            </w:r>
          </w:p>
        </w:tc>
        <w:tc>
          <w:tcPr>
            <w:tcW w:w="1133" w:type="dxa"/>
            <w:tcBorders>
              <w:left w:val="nil"/>
              <w:right w:val="nil"/>
            </w:tcBorders>
          </w:tcPr>
          <w:p>
            <w:pPr>
              <w:pStyle w:val="Normal"/>
              <w:widowControl/>
              <w:suppressAutoHyphens w:val="true"/>
              <w:spacing w:lineRule="auto" w:line="259" w:before="0" w:after="0"/>
              <w:jc w:val="center"/>
              <w:rPr>
                <w:rFonts w:ascii="Arial Narrow" w:hAnsi="Arial Narrow" w:cs="Times New Roman"/>
                <w:b/>
                <w:bCs/>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12-23</w:t>
            </w:r>
          </w:p>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(n </w:t>
            </w:r>
            <w:r>
              <w:rPr>
                <w:rFonts w:eastAsia="Times New Roman" w:cs="Times New Roman" w:ascii="Arial Narrow" w:hAnsi="Arial Narrow"/>
                <w:bCs/>
                <w:color w:val="1B1B1B"/>
                <w:kern w:val="0"/>
                <w:sz w:val="22"/>
                <w:szCs w:val="22"/>
                <w:shd w:fill="FFFFFF" w:val="clear"/>
                <w:lang w:val="en-IN" w:eastAsia="en-IN" w:bidi="ar-SA"/>
              </w:rPr>
              <w:t>=</w:t>
            </w:r>
            <w:r>
              <w:rPr>
                <w:rFonts w:eastAsia="Times New Roman" w:cs="Times New Roman" w:ascii="Arial Narrow" w:hAnsi="Arial Narrow"/>
                <w:b/>
                <w:bCs/>
                <w:color w:val="1B1B1B"/>
                <w:kern w:val="0"/>
                <w:sz w:val="22"/>
                <w:szCs w:val="22"/>
                <w:shd w:fill="FFFFFF" w:val="clear"/>
                <w:lang w:val="en-IN" w:eastAsia="en-IN" w:bidi="ar-SA"/>
              </w:rPr>
              <w:t xml:space="preserve"> </w:t>
            </w:r>
            <w:r>
              <w:rPr>
                <w:rFonts w:eastAsia="Calibri" w:cs="Times New Roman" w:ascii="Arial Narrow" w:hAnsi="Arial Narrow"/>
                <w:color w:val="000000"/>
                <w:kern w:val="0"/>
                <w:sz w:val="22"/>
                <w:szCs w:val="22"/>
                <w:lang w:val="en-IN" w:eastAsia="en-IN" w:bidi="ar-SA"/>
              </w:rPr>
              <w:t>205)</w:t>
            </w:r>
          </w:p>
        </w:tc>
        <w:tc>
          <w:tcPr>
            <w:tcW w:w="1135"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24-35</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179</w:t>
            </w:r>
            <w:r>
              <w:rPr>
                <w:rFonts w:eastAsia="Times New Roman" w:cs="Times New Roman" w:ascii="Arial Narrow" w:hAnsi="Arial Narrow"/>
                <w:b/>
                <w:bCs/>
                <w:kern w:val="0"/>
                <w:sz w:val="22"/>
                <w:szCs w:val="22"/>
                <w:shd w:fill="FFFFFF" w:val="clear"/>
                <w:lang w:val="en-IN" w:eastAsia="en-IN" w:bidi="ar-SA"/>
              </w:rPr>
              <w:t>)</w:t>
            </w:r>
          </w:p>
        </w:tc>
        <w:tc>
          <w:tcPr>
            <w:tcW w:w="1133"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36-47</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140</w:t>
            </w:r>
            <w:r>
              <w:rPr>
                <w:rFonts w:eastAsia="Times New Roman" w:cs="Times New Roman" w:ascii="Arial Narrow" w:hAnsi="Arial Narrow"/>
                <w:b/>
                <w:bCs/>
                <w:kern w:val="0"/>
                <w:sz w:val="22"/>
                <w:szCs w:val="22"/>
                <w:shd w:fill="FFFFFF" w:val="clear"/>
                <w:lang w:val="en-IN" w:eastAsia="en-IN" w:bidi="ar-SA"/>
              </w:rPr>
              <w:t>)</w:t>
            </w:r>
          </w:p>
        </w:tc>
        <w:tc>
          <w:tcPr>
            <w:tcW w:w="1134"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48-59</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180)</w:t>
            </w:r>
          </w:p>
        </w:tc>
        <w:tc>
          <w:tcPr>
            <w:tcW w:w="1137"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60-71</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(n =</w:t>
            </w:r>
            <w:r>
              <w:rPr>
                <w:rFonts w:eastAsia="Times New Roman" w:cs="Times New Roman" w:ascii="Arial Narrow" w:hAnsi="Arial Narrow"/>
                <w:b/>
                <w:bCs/>
                <w:kern w:val="0"/>
                <w:sz w:val="22"/>
                <w:szCs w:val="22"/>
                <w:shd w:fill="FFFFFF" w:val="clear"/>
                <w:lang w:val="en-IN" w:eastAsia="en-IN" w:bidi="ar-SA"/>
              </w:rPr>
              <w:t xml:space="preserve"> </w:t>
            </w:r>
            <w:r>
              <w:rPr>
                <w:rFonts w:eastAsia="Calibri" w:cs="Times New Roman" w:ascii="Arial Narrow" w:hAnsi="Arial Narrow"/>
                <w:kern w:val="0"/>
                <w:sz w:val="22"/>
                <w:szCs w:val="22"/>
                <w:lang w:val="en-IN" w:eastAsia="en-IN" w:bidi="ar-SA"/>
              </w:rPr>
              <w:t>144)</w:t>
            </w:r>
          </w:p>
        </w:tc>
        <w:tc>
          <w:tcPr>
            <w:tcW w:w="989"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F test</w:t>
            </w:r>
          </w:p>
        </w:tc>
      </w:tr>
      <w:tr>
        <w:trPr/>
        <w:tc>
          <w:tcPr>
            <w:tcW w:w="3119" w:type="dxa"/>
            <w:tcBorders>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Head circumference (HC)</w:t>
            </w:r>
          </w:p>
        </w:tc>
        <w:tc>
          <w:tcPr>
            <w:tcW w:w="1133"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43.41 ± 1.69</w:t>
            </w:r>
          </w:p>
        </w:tc>
        <w:tc>
          <w:tcPr>
            <w:tcW w:w="1135"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45.23 ±1.64</w:t>
            </w:r>
          </w:p>
        </w:tc>
        <w:tc>
          <w:tcPr>
            <w:tcW w:w="1133"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46.08±1.56</w:t>
            </w:r>
          </w:p>
        </w:tc>
        <w:tc>
          <w:tcPr>
            <w:tcW w:w="1134"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47.02 ± 1.43</w:t>
            </w:r>
          </w:p>
        </w:tc>
        <w:tc>
          <w:tcPr>
            <w:tcW w:w="1137"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47.18 ± 1.75</w:t>
            </w:r>
          </w:p>
        </w:tc>
        <w:tc>
          <w:tcPr>
            <w:tcW w:w="989" w:type="dxa"/>
            <w:tcBorders>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168.50***</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Neck circumference (NC)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20.44 ± 1.01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21.31 ± 1.16</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21.73±1.09</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22.02 ± 0.96</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22.31 ± 0.99</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  </w:t>
            </w:r>
            <w:r>
              <w:rPr>
                <w:rFonts w:eastAsia="Times New Roman" w:cs="Times New Roman" w:ascii="Arial Narrow" w:hAnsi="Arial Narrow"/>
                <w:color w:val="1B1B1B"/>
                <w:kern w:val="0"/>
                <w:sz w:val="22"/>
                <w:szCs w:val="22"/>
                <w:shd w:fill="FFFFFF" w:val="clear"/>
                <w:lang w:val="en-IN" w:eastAsia="en-IN" w:bidi="ar-SA"/>
              </w:rPr>
              <w:t>88.91***</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Mid upper arm circumference (MUAC)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12.53 ± 0.74</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13.50 ± 0.85</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13.52±0.91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13.80 ± 0.92</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13.87 ± 0.83</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  </w:t>
            </w:r>
            <w:r>
              <w:rPr>
                <w:rFonts w:eastAsia="Times New Roman" w:cs="Times New Roman" w:ascii="Arial Narrow" w:hAnsi="Arial Narrow"/>
                <w:color w:val="1B1B1B"/>
                <w:kern w:val="0"/>
                <w:sz w:val="22"/>
                <w:szCs w:val="22"/>
                <w:shd w:fill="FFFFFF" w:val="clear"/>
                <w:lang w:val="en-IN" w:eastAsia="en-IN" w:bidi="ar-SA"/>
              </w:rPr>
              <w:t>81.05***</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Chest circumference (CC)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42.93 ± 2.13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45.40 ± 2.37</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46.97±2.43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48.37 ± 2.16</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49.20 ± 2.78</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203.13***</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Thigh circumference (TC)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21.21 ± 1.55</w:t>
            </w:r>
          </w:p>
        </w:tc>
        <w:tc>
          <w:tcPr>
            <w:tcW w:w="1135"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22.13 ± 1.87</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23.65±2.10</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24.50 ± 2.06</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24.91 ± 2.01</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123.35***</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Medial calf circumference (MCC)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15.69 ± 1.11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16.82 ± 1.15</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17.63±1.25</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18.42 ±1.37</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18.76 ± 1.24</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187.57***</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Head to height ratio</w:t>
            </w:r>
            <w:r>
              <w:rPr>
                <w:rFonts w:eastAsia="Times New Roman" w:cs="Times New Roman" w:ascii="Arial Narrow" w:hAnsi="Arial Narrow"/>
                <w:color w:val="1B1B1B"/>
                <w:kern w:val="0"/>
                <w:sz w:val="22"/>
                <w:szCs w:val="22"/>
                <w:shd w:fill="FFFFFF" w:val="clear"/>
                <w:lang w:val="en-IN" w:eastAsia="en-IN" w:bidi="ar-SA"/>
              </w:rPr>
              <w:t xml:space="preserve"> (HHtR)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.5820 ± 0.03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.5395 ± 0.03</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.5010±0.03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.4753 ± 0.02</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.4513 ± 0.02</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769.68***</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Neck to height ratio</w:t>
            </w:r>
            <w:r>
              <w:rPr>
                <w:rFonts w:eastAsia="Times New Roman" w:cs="Times New Roman" w:ascii="Arial Narrow" w:hAnsi="Arial Narrow"/>
                <w:color w:val="1B1B1B"/>
                <w:kern w:val="0"/>
                <w:sz w:val="22"/>
                <w:szCs w:val="22"/>
                <w:shd w:fill="FFFFFF" w:val="clear"/>
                <w:lang w:val="en-IN" w:eastAsia="en-IN" w:bidi="ar-SA"/>
              </w:rPr>
              <w:t xml:space="preserve"> (NHtR)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.2741 ± 0.02</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.2542 ± 0.02</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.2361±0.01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.2225 ± 0.01</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.2133 ± 0.01</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542.17***</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MUAC to height ratio</w:t>
            </w:r>
            <w:r>
              <w:rPr>
                <w:rFonts w:eastAsia="Times New Roman" w:cs="Times New Roman" w:ascii="Arial Narrow" w:hAnsi="Arial Narrow"/>
                <w:color w:val="1B1B1B"/>
                <w:kern w:val="0"/>
                <w:sz w:val="22"/>
                <w:szCs w:val="22"/>
                <w:shd w:fill="FFFFFF" w:val="clear"/>
                <w:lang w:val="en-IN" w:eastAsia="en-IN" w:bidi="ar-SA"/>
              </w:rPr>
              <w:t xml:space="preserve"> (AHtR)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.1680 ± 0.01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.1556 ± 0.01</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.1468±0.01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.1394 ± 0.01</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.1326 ± 0.01</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352.04***</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Chest to height ratio</w:t>
            </w:r>
            <w:r>
              <w:rPr>
                <w:rFonts w:eastAsia="Times New Roman" w:cs="Times New Roman" w:ascii="Arial Narrow" w:hAnsi="Arial Narrow"/>
                <w:color w:val="1B1B1B"/>
                <w:kern w:val="0"/>
                <w:sz w:val="22"/>
                <w:szCs w:val="22"/>
                <w:shd w:fill="FFFFFF" w:val="clear"/>
                <w:lang w:val="en-IN" w:eastAsia="en-IN" w:bidi="ar-SA"/>
              </w:rPr>
              <w:t xml:space="preserve"> (CHtR)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.5754 ± 0.03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.5413 ± 0.03</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.5102±0.03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.4885 ± 0.02</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.4704 ± 0.03</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439.76***</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Thigh to height ratio</w:t>
            </w:r>
            <w:r>
              <w:rPr>
                <w:rFonts w:eastAsia="Times New Roman" w:cs="Times New Roman" w:ascii="Arial Narrow" w:hAnsi="Arial Narrow"/>
                <w:color w:val="1B1B1B"/>
                <w:kern w:val="0"/>
                <w:sz w:val="22"/>
                <w:szCs w:val="22"/>
                <w:shd w:fill="FFFFFF" w:val="clear"/>
                <w:lang w:val="en-IN" w:eastAsia="en-IN" w:bidi="ar-SA"/>
              </w:rPr>
              <w:t xml:space="preserve"> (THtR)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.2844 ± 0.02</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.2630 ± 0.02</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.2566±0.02</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.2478 ± 0.02</w:t>
            </w:r>
          </w:p>
        </w:tc>
        <w:tc>
          <w:tcPr>
            <w:tcW w:w="1137"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.2382 ± 0.02</w:t>
            </w:r>
          </w:p>
        </w:tc>
        <w:tc>
          <w:tcPr>
            <w:tcW w:w="989"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129.26***</w:t>
            </w:r>
          </w:p>
        </w:tc>
      </w:tr>
      <w:tr>
        <w:trPr/>
        <w:tc>
          <w:tcPr>
            <w:tcW w:w="3119" w:type="dxa"/>
            <w:tcBorders>
              <w:top w:val="nil"/>
              <w:left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Medial calf to height ratio</w:t>
            </w:r>
            <w:r>
              <w:rPr>
                <w:rFonts w:eastAsia="Times New Roman" w:cs="Times New Roman" w:ascii="Arial Narrow" w:hAnsi="Arial Narrow"/>
                <w:color w:val="1B1B1B"/>
                <w:kern w:val="0"/>
                <w:sz w:val="22"/>
                <w:szCs w:val="22"/>
                <w:shd w:fill="FFFFFF" w:val="clear"/>
                <w:lang w:val="en-IN" w:eastAsia="en-IN" w:bidi="ar-SA"/>
              </w:rPr>
              <w:t xml:space="preserve"> (MCHtR)</w:t>
            </w:r>
          </w:p>
        </w:tc>
        <w:tc>
          <w:tcPr>
            <w:tcW w:w="1133"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.2103 ±0.01</w:t>
            </w:r>
          </w:p>
        </w:tc>
        <w:tc>
          <w:tcPr>
            <w:tcW w:w="1135"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.2005 ± 0.01</w:t>
            </w:r>
          </w:p>
        </w:tc>
        <w:tc>
          <w:tcPr>
            <w:tcW w:w="1133"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.1914±0.01</w:t>
            </w:r>
          </w:p>
        </w:tc>
        <w:tc>
          <w:tcPr>
            <w:tcW w:w="1134"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.1859 ± 0.01</w:t>
            </w:r>
          </w:p>
        </w:tc>
        <w:tc>
          <w:tcPr>
            <w:tcW w:w="1137"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.1793 ± 0.01</w:t>
            </w:r>
          </w:p>
        </w:tc>
        <w:tc>
          <w:tcPr>
            <w:tcW w:w="989" w:type="dxa"/>
            <w:tcBorders>
              <w:top w:val="nil"/>
              <w:left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163.02***</w:t>
            </w:r>
          </w:p>
        </w:tc>
      </w:tr>
    </w:tbl>
    <w:p>
      <w:pPr>
        <w:pStyle w:val="Normal"/>
        <w:spacing w:before="0" w:after="0"/>
        <w:jc w:val="both"/>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120"/>
        <w:jc w:val="both"/>
        <w:rPr>
          <w:rFonts w:ascii="Arial Narrow" w:hAnsi="Arial Narrow" w:eastAsia="Calibri" w:cs="Times New Roman"/>
          <w:b/>
          <w:bCs/>
          <w:kern w:val="2"/>
          <w:sz w:val="24"/>
          <w:szCs w:val="24"/>
          <w:lang w:val="en-US"/>
        </w:rPr>
      </w:pPr>
      <w:r>
        <w:rPr>
          <w:rFonts w:eastAsia="Calibri" w:cs="Times New Roman" w:ascii="Arial Narrow" w:hAnsi="Arial Narrow"/>
          <w:b/>
          <w:kern w:val="2"/>
          <w:sz w:val="24"/>
          <w:szCs w:val="24"/>
          <w:shd w:fill="FFFFFF" w:val="clear"/>
          <w:lang w:val="en-IN"/>
        </w:rPr>
        <w:t>Table 2.</w:t>
      </w:r>
      <w:r>
        <w:rPr>
          <w:rFonts w:eastAsia="Calibri" w:cs="Times New Roman" w:ascii="Arial Narrow" w:hAnsi="Arial Narrow"/>
          <w:kern w:val="2"/>
          <w:sz w:val="24"/>
          <w:szCs w:val="24"/>
          <w:shd w:fill="FFFFFF" w:val="clear"/>
          <w:lang w:val="en-IN"/>
        </w:rPr>
        <w:t xml:space="preserve">  Sex wise mean body circumferences and circumferences to height ratio differences </w:t>
      </w:r>
      <w:r>
        <w:rPr>
          <w:rFonts w:cs="Times New Roman" w:ascii="Arial Narrow" w:hAnsi="Arial Narrow"/>
          <w:sz w:val="24"/>
          <w:szCs w:val="24"/>
          <w:shd w:fill="FFFFFF" w:val="clear"/>
          <w:lang w:val="en-IN"/>
        </w:rPr>
        <w:t>(</w:t>
      </w:r>
      <w:r>
        <w:rPr>
          <w:rFonts w:cs="Times New Roman" w:ascii="Arial Narrow" w:hAnsi="Arial Narrow"/>
          <w:color w:val="1B1B1B"/>
          <w:sz w:val="24"/>
          <w:szCs w:val="24"/>
          <w:shd w:fill="FFFFFF" w:val="clear"/>
          <w:lang w:val="en-IN"/>
        </w:rPr>
        <w:t>mean ± SD)</w:t>
      </w:r>
      <w:r>
        <w:rPr>
          <w:rFonts w:eastAsia="Calibri" w:cs="Times New Roman" w:ascii="Arial Narrow" w:hAnsi="Arial Narrow"/>
          <w:kern w:val="2"/>
          <w:sz w:val="24"/>
          <w:szCs w:val="24"/>
          <w:shd w:fill="FFFFFF" w:val="clear"/>
          <w:lang w:val="en-IN"/>
        </w:rPr>
        <w:t>.</w:t>
      </w:r>
    </w:p>
    <w:tbl>
      <w:tblPr>
        <w:tblStyle w:val="TableGrid"/>
        <w:tblW w:w="8784" w:type="dxa"/>
        <w:jc w:val="left"/>
        <w:tblInd w:w="0" w:type="dxa"/>
        <w:tblLayout w:type="fixed"/>
        <w:tblCellMar>
          <w:top w:w="28" w:type="dxa"/>
          <w:left w:w="57" w:type="dxa"/>
          <w:bottom w:w="28" w:type="dxa"/>
          <w:right w:w="57" w:type="dxa"/>
        </w:tblCellMar>
        <w:tblLook w:val="04a0" w:noHBand="0" w:noVBand="1" w:firstColumn="1" w:lastRow="0" w:lastColumn="0" w:firstRow="1"/>
      </w:tblPr>
      <w:tblGrid>
        <w:gridCol w:w="3113"/>
        <w:gridCol w:w="1702"/>
        <w:gridCol w:w="1700"/>
        <w:gridCol w:w="1277"/>
        <w:gridCol w:w="992"/>
      </w:tblGrid>
      <w:tr>
        <w:trPr/>
        <w:tc>
          <w:tcPr>
            <w:tcW w:w="3113" w:type="dxa"/>
            <w:vMerge w:val="restart"/>
            <w:tcBorders>
              <w:top w:val="nil"/>
              <w:left w:val="nil"/>
              <w:right w:val="nil"/>
            </w:tcBorders>
          </w:tcPr>
          <w:p>
            <w:pPr>
              <w:pStyle w:val="Normal"/>
              <w:widowControl/>
              <w:suppressAutoHyphens w:val="true"/>
              <w:spacing w:lineRule="auto" w:line="240" w:before="360" w:after="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Anthropometric variables</w:t>
            </w:r>
          </w:p>
        </w:tc>
        <w:tc>
          <w:tcPr>
            <w:tcW w:w="1702" w:type="dxa"/>
            <w:vMerge w:val="restart"/>
            <w:tcBorders>
              <w:top w:val="nil"/>
              <w:left w:val="nil"/>
              <w:right w:val="nil"/>
            </w:tcBorders>
          </w:tcPr>
          <w:p>
            <w:pPr>
              <w:pStyle w:val="Normal"/>
              <w:widowControl/>
              <w:suppressAutoHyphens w:val="true"/>
              <w:spacing w:lineRule="auto" w:line="240" w:before="24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All (Mean &amp; SD)</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 848</w:t>
            </w:r>
          </w:p>
        </w:tc>
        <w:tc>
          <w:tcPr>
            <w:tcW w:w="3969" w:type="dxa"/>
            <w:gridSpan w:val="3"/>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Sex wise differences (Mean &amp; SD)</w:t>
            </w:r>
          </w:p>
        </w:tc>
      </w:tr>
      <w:tr>
        <w:trPr/>
        <w:tc>
          <w:tcPr>
            <w:tcW w:w="3113" w:type="dxa"/>
            <w:vMerge w:val="continue"/>
            <w:tcBorders>
              <w:top w:val="nil"/>
              <w:left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Times New Roman" w:cs="Times New Roman" w:ascii="Arial Narrow" w:hAnsi="Arial Narrow"/>
                <w:bCs/>
                <w:iCs/>
                <w:lang w:val="en-IN" w:eastAsia="en-IN"/>
              </w:rPr>
            </w:r>
          </w:p>
        </w:tc>
        <w:tc>
          <w:tcPr>
            <w:tcW w:w="1702" w:type="dxa"/>
            <w:vMerge w:val="continue"/>
            <w:tcBorders>
              <w:top w:val="nil"/>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cs="Times New Roman" w:ascii="Arial Narrow" w:hAnsi="Arial Narrow"/>
                <w:color w:val="1B1B1B"/>
                <w:shd w:fill="FFFFFF" w:val="clear"/>
                <w:lang w:val="en-IN"/>
              </w:rPr>
            </w:r>
          </w:p>
        </w:tc>
        <w:tc>
          <w:tcPr>
            <w:tcW w:w="1700" w:type="dxa"/>
            <w:tcBorders>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Boys</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430</w:t>
            </w:r>
          </w:p>
        </w:tc>
        <w:tc>
          <w:tcPr>
            <w:tcW w:w="1277" w:type="dxa"/>
            <w:tcBorders>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Girls</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418</w:t>
            </w:r>
          </w:p>
        </w:tc>
        <w:tc>
          <w:tcPr>
            <w:tcW w:w="992" w:type="dxa"/>
            <w:tcBorders>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t-test</w:t>
            </w:r>
          </w:p>
        </w:tc>
      </w:tr>
      <w:tr>
        <w:trPr/>
        <w:tc>
          <w:tcPr>
            <w:tcW w:w="3113" w:type="dxa"/>
            <w:tcBorders>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Head circumference (HC)</w:t>
            </w:r>
          </w:p>
        </w:tc>
        <w:tc>
          <w:tcPr>
            <w:tcW w:w="1702"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45.64 ± 2.16</w:t>
            </w:r>
          </w:p>
        </w:tc>
        <w:tc>
          <w:tcPr>
            <w:tcW w:w="1700"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46.09 ± 2.23</w:t>
            </w:r>
          </w:p>
        </w:tc>
        <w:tc>
          <w:tcPr>
            <w:tcW w:w="1277"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45.19 ± 1.99</w:t>
            </w:r>
          </w:p>
        </w:tc>
        <w:tc>
          <w:tcPr>
            <w:tcW w:w="992" w:type="dxa"/>
            <w:tcBorders>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6.22***</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Neck circumference (NC)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21.49 ± 1.24</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21.69 ±1.22</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21.28 ± 1.23</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4.81***</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Mid upper arm circumference (MUAC)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13.30 ± 0.99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13.41 ± 0.97</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13.19 ± 1.01</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3.26***</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Chest circumference (CC)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46.34 ± 3.29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46.78 ±3.34</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45.89 ± 3.19</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3.98***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Thigh circumference (TC)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23.14 ± 2.39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22.90 ±2.14</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23.40 ± 2.61</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-3.03**</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Medial calf circumference (MCC)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17.35 ± 1.67</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17.29 ±1.60</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17.41 ± 1.74</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-1.05</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Head to height ratio</w:t>
            </w:r>
            <w:r>
              <w:rPr>
                <w:rFonts w:eastAsia="Calibri" w:cs="Times New Roman" w:ascii="Arial Narrow" w:hAnsi="Arial Narrow"/>
                <w:color w:val="1B1B1B"/>
                <w:kern w:val="0"/>
                <w:sz w:val="22"/>
                <w:szCs w:val="22"/>
                <w:shd w:fill="FFFFFF" w:val="clear"/>
                <w:lang w:val="en-IN" w:eastAsia="en-US" w:bidi="ar-SA"/>
              </w:rPr>
              <w:t xml:space="preserve"> (HHtR)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.5148 ± 0.05</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.5180 ± 0.05</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.5115 ± 0.05</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 xml:space="preserve"> </w:t>
            </w:r>
            <w:r>
              <w:rPr>
                <w:rFonts w:eastAsia="Calibri" w:cs="Times New Roman" w:ascii="Arial Narrow" w:hAnsi="Arial Narrow"/>
                <w:kern w:val="0"/>
                <w:sz w:val="22"/>
                <w:szCs w:val="22"/>
                <w:shd w:fill="FFFFFF" w:val="clear"/>
                <w:lang w:val="en-IN" w:eastAsia="en-US" w:bidi="ar-SA"/>
              </w:rPr>
              <w:t>1.74</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Neck to height ratio</w:t>
            </w:r>
            <w:r>
              <w:rPr>
                <w:rFonts w:eastAsia="Calibri" w:cs="Times New Roman" w:ascii="Arial Narrow" w:hAnsi="Arial Narrow"/>
                <w:color w:val="1B1B1B"/>
                <w:kern w:val="0"/>
                <w:sz w:val="22"/>
                <w:szCs w:val="22"/>
                <w:shd w:fill="FFFFFF" w:val="clear"/>
                <w:lang w:val="en-IN" w:eastAsia="en-US" w:bidi="ar-SA"/>
              </w:rPr>
              <w:t xml:space="preserve"> (NHtR)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.2424 ± 0.02</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.2438 ± 0.03</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.2409 ± 0.03</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 xml:space="preserve"> </w:t>
            </w:r>
            <w:r>
              <w:rPr>
                <w:rFonts w:eastAsia="Calibri" w:cs="Times New Roman" w:ascii="Arial Narrow" w:hAnsi="Arial Narrow"/>
                <w:kern w:val="0"/>
                <w:sz w:val="22"/>
                <w:szCs w:val="22"/>
                <w:shd w:fill="FFFFFF" w:val="clear"/>
                <w:lang w:val="en-IN" w:eastAsia="en-US" w:bidi="ar-SA"/>
              </w:rPr>
              <w:t>1.58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MUAC to height ratio</w:t>
            </w:r>
            <w:r>
              <w:rPr>
                <w:rFonts w:eastAsia="Calibri" w:cs="Times New Roman" w:ascii="Arial Narrow" w:hAnsi="Arial Narrow"/>
                <w:color w:val="1B1B1B"/>
                <w:kern w:val="0"/>
                <w:sz w:val="22"/>
                <w:szCs w:val="22"/>
                <w:shd w:fill="FFFFFF" w:val="clear"/>
                <w:lang w:val="en-IN" w:eastAsia="en-US" w:bidi="ar-SA"/>
              </w:rPr>
              <w:t xml:space="preserve"> (AHtR)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.1498 ± 0.02</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.1506 ± 0.02</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.1490 ± 0.02</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1.48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Chest to height ratio</w:t>
            </w:r>
            <w:r>
              <w:rPr>
                <w:rFonts w:eastAsia="Calibri" w:cs="Times New Roman" w:ascii="Arial Narrow" w:hAnsi="Arial Narrow"/>
                <w:color w:val="1B1B1B"/>
                <w:kern w:val="0"/>
                <w:sz w:val="22"/>
                <w:szCs w:val="22"/>
                <w:shd w:fill="FFFFFF" w:val="clear"/>
                <w:lang w:val="en-IN" w:eastAsia="en-US" w:bidi="ar-SA"/>
              </w:rPr>
              <w:t xml:space="preserve"> (CHtR)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.5212 ± 0.05</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.5243 ± 0.05</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.5179 ± 0.05</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1.99*</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Thigh to height ratio</w:t>
            </w:r>
            <w:r>
              <w:rPr>
                <w:rFonts w:eastAsia="Calibri" w:cs="Times New Roman" w:ascii="Arial Narrow" w:hAnsi="Arial Narrow"/>
                <w:color w:val="1B1B1B"/>
                <w:kern w:val="0"/>
                <w:sz w:val="22"/>
                <w:szCs w:val="22"/>
                <w:shd w:fill="FFFFFF" w:val="clear"/>
                <w:lang w:val="en-IN" w:eastAsia="en-US" w:bidi="ar-SA"/>
              </w:rPr>
              <w:t xml:space="preserve"> (THtR)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.2599 ± 0.03</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.2567± 0.03</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.2631 ± 0.02</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-3.55***</w:t>
            </w:r>
          </w:p>
        </w:tc>
      </w:tr>
      <w:tr>
        <w:trPr/>
        <w:tc>
          <w:tcPr>
            <w:tcW w:w="3113" w:type="dxa"/>
            <w:tcBorders>
              <w:top w:val="nil"/>
              <w:left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Medial calf to height ratio</w:t>
            </w:r>
            <w:r>
              <w:rPr>
                <w:rFonts w:eastAsia="Calibri" w:cs="Times New Roman" w:ascii="Arial Narrow" w:hAnsi="Arial Narrow"/>
                <w:color w:val="1B1B1B"/>
                <w:kern w:val="0"/>
                <w:sz w:val="22"/>
                <w:szCs w:val="22"/>
                <w:shd w:fill="FFFFFF" w:val="clear"/>
                <w:lang w:val="en-IN" w:eastAsia="en-US" w:bidi="ar-SA"/>
              </w:rPr>
              <w:t xml:space="preserve"> (MCHtR)</w:t>
            </w:r>
          </w:p>
        </w:tc>
        <w:tc>
          <w:tcPr>
            <w:tcW w:w="1702"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.1947 ± 0.02</w:t>
            </w:r>
          </w:p>
        </w:tc>
        <w:tc>
          <w:tcPr>
            <w:tcW w:w="1700"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.1935 ± 0.02</w:t>
            </w:r>
          </w:p>
        </w:tc>
        <w:tc>
          <w:tcPr>
            <w:tcW w:w="1277"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.1958 ± 0.02</w:t>
            </w:r>
          </w:p>
        </w:tc>
        <w:tc>
          <w:tcPr>
            <w:tcW w:w="992" w:type="dxa"/>
            <w:tcBorders>
              <w:top w:val="nil"/>
              <w:left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-1.98*</w:t>
            </w:r>
          </w:p>
        </w:tc>
      </w:tr>
    </w:tbl>
    <w:p>
      <w:pPr>
        <w:pStyle w:val="Normal"/>
        <w:spacing w:before="0" w:after="0"/>
        <w:jc w:val="both"/>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ind w:firstLine="567"/>
        <w:jc w:val="both"/>
        <w:rPr>
          <w:rFonts w:ascii="Arial Narrow" w:hAnsi="Arial Narrow" w:eastAsia="Times New Roman" w:cs="Times New Roman"/>
          <w:sz w:val="24"/>
          <w:szCs w:val="24"/>
          <w:lang w:val="en-US" w:eastAsia="en-IN"/>
        </w:rPr>
      </w:pPr>
      <w:r>
        <w:rPr>
          <w:rFonts w:eastAsia="Times New Roman" w:cs="Times New Roman" w:ascii="Arial Narrow" w:hAnsi="Arial Narrow"/>
          <w:bCs/>
          <w:iCs/>
          <w:color w:val="00B050"/>
          <w:sz w:val="24"/>
          <w:szCs w:val="24"/>
          <w:lang w:val="en-IN" w:eastAsia="en-IN"/>
        </w:rPr>
        <w:t>Table</w:t>
      </w:r>
      <w:r>
        <w:rPr>
          <w:rFonts w:eastAsia="Times New Roman" w:cs="Times New Roman" w:ascii="Arial Narrow" w:hAnsi="Arial Narrow"/>
          <w:color w:val="00B050"/>
          <w:sz w:val="24"/>
          <w:szCs w:val="24"/>
          <w:lang w:val="en-IN" w:eastAsia="en-IN"/>
        </w:rPr>
        <w:t xml:space="preserve"> 3</w:t>
      </w:r>
      <w:r>
        <w:rPr>
          <w:rFonts w:eastAsia="Times New Roman" w:cs="Times New Roman" w:ascii="Arial Narrow" w:hAnsi="Arial Narrow"/>
          <w:sz w:val="24"/>
          <w:szCs w:val="24"/>
          <w:lang w:val="en-IN" w:eastAsia="en-IN"/>
        </w:rPr>
        <w:t xml:space="preserve"> shows the prevalence of undernutrition based on two types of circumferences among the tribal preschool children. Overall, MUAC and HC-based undernutrition </w:t>
      </w:r>
      <w:r>
        <w:rPr>
          <w:rFonts w:eastAsia="Times New Roman" w:cs="Times New Roman" w:ascii="Arial Narrow" w:hAnsi="Arial Narrow"/>
          <w:bCs/>
          <w:sz w:val="24"/>
          <w:szCs w:val="24"/>
          <w:lang w:val="en-IN" w:eastAsia="en-IN"/>
        </w:rPr>
        <w:t xml:space="preserve">was </w:t>
      </w:r>
      <w:r>
        <w:rPr>
          <w:rFonts w:eastAsia="Times New Roman" w:cs="Times New Roman" w:ascii="Arial Narrow" w:hAnsi="Arial Narrow"/>
          <w:sz w:val="24"/>
          <w:szCs w:val="24"/>
          <w:lang w:val="en-IN" w:eastAsia="en-IN"/>
        </w:rPr>
        <w:t xml:space="preserve">35.3% (boys: 34.4 and girls: 36.1%) and 60.7% (boys: 59.3 and girls: 62.2%), respectively. Most of the children had one type of undernutrition (45.8%). Only 25.1% were undernourished on both measures, MUAC and HC. On both measures, girls experienced a marginally higher prevalence of growth and nutritional deficiencies than boys, but differences were not statistically significant. </w:t>
      </w:r>
      <w:r>
        <w:rPr>
          <w:rFonts w:eastAsia="Times New Roman" w:cs="Times New Roman" w:ascii="Arial Narrow" w:hAnsi="Arial Narrow"/>
          <w:color w:val="00B050"/>
          <w:sz w:val="24"/>
          <w:szCs w:val="24"/>
          <w:lang w:val="en-IN" w:eastAsia="en-IN"/>
        </w:rPr>
        <w:t>Figure 1</w:t>
      </w:r>
      <w:r>
        <w:rPr>
          <w:rFonts w:eastAsia="Times New Roman" w:cs="Times New Roman" w:ascii="Arial Narrow" w:hAnsi="Arial Narrow"/>
          <w:sz w:val="24"/>
          <w:szCs w:val="24"/>
          <w:lang w:val="en-IN" w:eastAsia="en-IN"/>
        </w:rPr>
        <w:t xml:space="preserve"> represents the HC and MUAC </w:t>
      </w:r>
      <w:r>
        <w:rPr>
          <w:rFonts w:eastAsia="Calibri" w:cs="Times New Roman" w:ascii="Arial Narrow" w:hAnsi="Arial Narrow"/>
          <w:kern w:val="2"/>
          <w:sz w:val="24"/>
          <w:szCs w:val="24"/>
          <w:lang w:val="en-IN"/>
        </w:rPr>
        <w:t xml:space="preserve">based growth and </w:t>
      </w:r>
      <w:r>
        <w:rPr>
          <w:rFonts w:eastAsia="Times New Roman" w:cs="Times New Roman" w:ascii="Arial Narrow" w:hAnsi="Arial Narrow"/>
          <w:sz w:val="24"/>
          <w:szCs w:val="24"/>
          <w:lang w:val="en-IN" w:eastAsia="en-IN"/>
        </w:rPr>
        <w:t xml:space="preserve">nutritional </w:t>
      </w:r>
      <w:r>
        <w:rPr>
          <w:rFonts w:eastAsia="Calibri" w:cs="Times New Roman" w:ascii="Arial Narrow" w:hAnsi="Arial Narrow"/>
          <w:kern w:val="2"/>
          <w:sz w:val="24"/>
          <w:szCs w:val="24"/>
          <w:lang w:val="en-IN"/>
        </w:rPr>
        <w:t xml:space="preserve">status among the studied tribal preschool children. </w:t>
      </w:r>
      <w:r>
        <w:rPr>
          <w:rFonts w:eastAsia="Calibri" w:ascii="Arial Narrow" w:hAnsi="Arial Narrow"/>
          <w:kern w:val="2"/>
          <w:sz w:val="24"/>
          <w:szCs w:val="24"/>
          <w:lang w:val="en-US"/>
        </w:rPr>
        <w:t xml:space="preserve">The frequencies of undernutrition </w:t>
      </w:r>
      <w:r>
        <w:rPr>
          <w:rFonts w:eastAsia="Times New Roman" w:cs="Times New Roman" w:ascii="Arial Narrow" w:hAnsi="Arial Narrow"/>
          <w:sz w:val="24"/>
          <w:szCs w:val="24"/>
          <w:lang w:val="en-US" w:eastAsia="en-IN"/>
        </w:rPr>
        <w:t>were 35.6% for HC only, 10.2% for MUAC only, and 25.1% for both conditions.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120"/>
        <w:rPr>
          <w:rFonts w:ascii="Arial Narrow" w:hAnsi="Arial Narrow" w:eastAsia="Calibri" w:cs="Times New Roman"/>
          <w:kern w:val="2"/>
          <w:sz w:val="24"/>
          <w:szCs w:val="24"/>
          <w:lang w:val="en-IN"/>
        </w:rPr>
      </w:pPr>
      <w:r>
        <w:rPr>
          <w:rFonts w:eastAsia="Calibri" w:cs="Times New Roman" w:ascii="Arial Narrow" w:hAnsi="Arial Narrow"/>
          <w:b/>
          <w:color w:val="1B1B1B"/>
          <w:kern w:val="2"/>
          <w:sz w:val="24"/>
          <w:szCs w:val="24"/>
          <w:shd w:fill="FFFFFF" w:val="clear"/>
          <w:lang w:val="en-IN"/>
        </w:rPr>
        <w:t>Table 3.</w:t>
      </w:r>
      <w:r>
        <w:rPr>
          <w:rFonts w:eastAsia="Calibri" w:cs="Times New Roman" w:ascii="Arial Narrow" w:hAnsi="Arial Narrow"/>
          <w:color w:val="1B1B1B"/>
          <w:kern w:val="2"/>
          <w:sz w:val="24"/>
          <w:szCs w:val="24"/>
          <w:shd w:fill="FFFFFF" w:val="clear"/>
          <w:lang w:val="en-IN"/>
        </w:rPr>
        <w:t xml:space="preserve"> </w:t>
      </w:r>
      <w:r>
        <w:rPr>
          <w:rFonts w:eastAsia="Calibri" w:cs="Times New Roman" w:ascii="Arial Narrow" w:hAnsi="Arial Narrow"/>
          <w:b/>
          <w:bCs/>
          <w:color w:val="1B1B1B"/>
          <w:kern w:val="2"/>
          <w:sz w:val="24"/>
          <w:szCs w:val="24"/>
          <w:shd w:fill="FFFFFF" w:val="clear"/>
          <w:lang w:val="en-IN"/>
        </w:rPr>
        <w:t xml:space="preserve"> </w:t>
      </w:r>
      <w:r>
        <w:rPr>
          <w:rFonts w:eastAsia="Calibri" w:cs="Times New Roman" w:ascii="Arial Narrow" w:hAnsi="Arial Narrow"/>
          <w:kern w:val="2"/>
          <w:sz w:val="24"/>
          <w:szCs w:val="24"/>
          <w:lang w:val="en-IN"/>
        </w:rPr>
        <w:t>Sex-wise growth and nutritional status indicators among the studied preschool children. Numbers with percent in parentheses.</w:t>
      </w:r>
    </w:p>
    <w:tbl>
      <w:tblPr>
        <w:tblStyle w:val="TableGrid1"/>
        <w:tblW w:w="5000" w:type="pct"/>
        <w:jc w:val="left"/>
        <w:tblInd w:w="0" w:type="dxa"/>
        <w:tblLayout w:type="fixed"/>
        <w:tblCellMar>
          <w:top w:w="28" w:type="dxa"/>
          <w:left w:w="28" w:type="dxa"/>
          <w:bottom w:w="28" w:type="dxa"/>
          <w:right w:w="28" w:type="dxa"/>
        </w:tblCellMar>
        <w:tblLook w:val="04a0" w:noHBand="0" w:noVBand="1" w:firstColumn="1" w:lastRow="0" w:lastColumn="0" w:firstRow="1"/>
      </w:tblPr>
      <w:tblGrid>
        <w:gridCol w:w="1479"/>
        <w:gridCol w:w="3058"/>
        <w:gridCol w:w="1134"/>
        <w:gridCol w:w="1136"/>
        <w:gridCol w:w="1253"/>
        <w:gridCol w:w="965"/>
      </w:tblGrid>
      <w:tr>
        <w:trPr/>
        <w:tc>
          <w:tcPr>
            <w:tcW w:w="1479"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Growth and nutritional status</w:t>
            </w:r>
          </w:p>
        </w:tc>
        <w:tc>
          <w:tcPr>
            <w:tcW w:w="1134"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Overall</w:t>
            </w:r>
          </w:p>
        </w:tc>
        <w:tc>
          <w:tcPr>
            <w:tcW w:w="1136"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Boys</w:t>
            </w:r>
          </w:p>
        </w:tc>
        <w:tc>
          <w:tcPr>
            <w:tcW w:w="1253"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Girls</w:t>
            </w:r>
          </w:p>
        </w:tc>
        <w:tc>
          <w:tcPr>
            <w:tcW w:w="965"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χ</w:t>
            </w:r>
            <w:r>
              <w:rPr>
                <w:rFonts w:eastAsia="Times New Roman" w:cs="Times New Roman" w:ascii="Arial Narrow" w:hAnsi="Arial Narrow"/>
                <w:kern w:val="0"/>
                <w:sz w:val="22"/>
                <w:szCs w:val="22"/>
                <w:vertAlign w:val="superscript"/>
                <w:lang w:val="en-IN" w:eastAsia="en-IN" w:bidi="ar-SA"/>
              </w:rPr>
              <w:t>2</w:t>
            </w:r>
          </w:p>
        </w:tc>
      </w:tr>
      <w:tr>
        <w:trPr/>
        <w:tc>
          <w:tcPr>
            <w:tcW w:w="1479" w:type="dxa"/>
            <w:vMerge w:val="restart"/>
            <w:tcBorders>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HC based</w:t>
            </w:r>
          </w:p>
        </w:tc>
        <w:tc>
          <w:tcPr>
            <w:tcW w:w="3058" w:type="dxa"/>
            <w:tcBorders>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Undernutrition (&lt;-2SD Z score)</w:t>
            </w:r>
          </w:p>
        </w:tc>
        <w:tc>
          <w:tcPr>
            <w:tcW w:w="1134"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515 (60.7)</w:t>
            </w:r>
          </w:p>
        </w:tc>
        <w:tc>
          <w:tcPr>
            <w:tcW w:w="1136"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255 (59.3)</w:t>
            </w:r>
          </w:p>
        </w:tc>
        <w:tc>
          <w:tcPr>
            <w:tcW w:w="1253"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260 (62.2)</w:t>
            </w:r>
          </w:p>
        </w:tc>
        <w:tc>
          <w:tcPr>
            <w:tcW w:w="965" w:type="dxa"/>
            <w:vMerge w:val="restart"/>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0.75</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Normal (-2 SD to +2 SD)</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333 (39.3)</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175 (40.7)</w:t>
            </w:r>
          </w:p>
        </w:tc>
        <w:tc>
          <w:tcPr>
            <w:tcW w:w="1253"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158 (37.8)</w:t>
            </w:r>
          </w:p>
        </w:tc>
        <w:tc>
          <w:tcPr>
            <w:tcW w:w="965"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r>
      <w:tr>
        <w:trPr/>
        <w:tc>
          <w:tcPr>
            <w:tcW w:w="1479" w:type="dxa"/>
            <w:vMerge w:val="restart"/>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MUAC based</w:t>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Undernutrition (&lt;-2SD Z score)</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299 (35.3)</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148 (34.4)</w:t>
            </w:r>
          </w:p>
        </w:tc>
        <w:tc>
          <w:tcPr>
            <w:tcW w:w="1253"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151 (36.1)</w:t>
            </w:r>
          </w:p>
        </w:tc>
        <w:tc>
          <w:tcPr>
            <w:tcW w:w="965" w:type="dxa"/>
            <w:vMerge w:val="restart"/>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0.27</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cs="Times New Roman" w:ascii="Arial Narrow" w:hAnsi="Arial Narrow"/>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Normal (-2 SD to +2 SD)</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549 (64.7)</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282 (65.6)</w:t>
            </w:r>
          </w:p>
        </w:tc>
        <w:tc>
          <w:tcPr>
            <w:tcW w:w="1253"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267 (63.9)</w:t>
            </w:r>
          </w:p>
        </w:tc>
        <w:tc>
          <w:tcPr>
            <w:tcW w:w="965"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r>
      <w:tr>
        <w:trPr/>
        <w:tc>
          <w:tcPr>
            <w:tcW w:w="1479"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Types of nutritional deficiencies</w:t>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Both HC and MUAC normal</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247 (29.1)</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133 (30.9)</w:t>
            </w:r>
          </w:p>
        </w:tc>
        <w:tc>
          <w:tcPr>
            <w:tcW w:w="1253"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114 (27.3)</w:t>
            </w:r>
          </w:p>
        </w:tc>
        <w:tc>
          <w:tcPr>
            <w:tcW w:w="965" w:type="dxa"/>
            <w:vMerge w:val="restart"/>
            <w:tcBorders>
              <w:top w:val="nil"/>
              <w:left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1.39</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One type of undernutrition (HC or MUAC)</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388 (45.8)</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191 (44.4)</w:t>
            </w:r>
          </w:p>
        </w:tc>
        <w:tc>
          <w:tcPr>
            <w:tcW w:w="1253"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197 (47.1)</w:t>
            </w:r>
          </w:p>
        </w:tc>
        <w:tc>
          <w:tcPr>
            <w:tcW w:w="965"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r>
      <w:tr>
        <w:trPr/>
        <w:tc>
          <w:tcPr>
            <w:tcW w:w="1479"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Both types of undernutrition (HC and MUAC)</w:t>
            </w:r>
          </w:p>
        </w:tc>
        <w:tc>
          <w:tcPr>
            <w:tcW w:w="1134"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213 (25.1)</w:t>
            </w:r>
          </w:p>
        </w:tc>
        <w:tc>
          <w:tcPr>
            <w:tcW w:w="1136"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106 (24.7)</w:t>
            </w:r>
          </w:p>
        </w:tc>
        <w:tc>
          <w:tcPr>
            <w:tcW w:w="1253"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107 (25.6)</w:t>
            </w:r>
          </w:p>
        </w:tc>
        <w:tc>
          <w:tcPr>
            <w:tcW w:w="965"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r>
    </w:tbl>
    <w:p>
      <w:pPr>
        <w:pStyle w:val="Normal"/>
        <w:spacing w:before="0" w:after="0"/>
        <w:jc w:val="both"/>
        <w:rPr>
          <w:rFonts w:ascii="Arial Narrow" w:hAnsi="Arial Narrow" w:eastAsia="Times New Roman" w:cs="Times New Roman"/>
          <w:bCs/>
          <w:iCs/>
          <w:lang w:val="en-IN" w:eastAsia="en-IN"/>
        </w:rPr>
      </w:pPr>
      <w:r>
        <w:rPr>
          <w:rFonts w:eastAsia="Times New Roman" w:cs="Times New Roman" w:ascii="Arial Narrow" w:hAnsi="Arial Narrow"/>
          <w:bCs/>
          <w:iCs/>
          <w:lang w:val="en-IN" w:eastAsia="en-IN"/>
        </w:rPr>
        <w:t xml:space="preserve">NS means not statistically significant at </w:t>
      </w:r>
      <w:r>
        <w:rPr>
          <w:rFonts w:eastAsia="Times New Roman" w:cs="Times New Roman" w:ascii="Arial Narrow" w:hAnsi="Arial Narrow"/>
          <w:bCs/>
          <w:i/>
          <w:iCs/>
          <w:lang w:val="en-IN" w:eastAsia="en-IN"/>
        </w:rPr>
        <w:t>p</w:t>
      </w:r>
      <w:r>
        <w:rPr>
          <w:rFonts w:eastAsia="Times New Roman" w:cs="Times New Roman" w:ascii="Arial Narrow" w:hAnsi="Arial Narrow"/>
          <w:bCs/>
          <w:iCs/>
          <w:vertAlign w:val="subscript"/>
          <w:lang w:val="en-IN" w:eastAsia="en-IN"/>
        </w:rPr>
        <w:t xml:space="preserve"> </w:t>
      </w:r>
      <w:r>
        <w:rPr>
          <w:rFonts w:eastAsia="Times New Roman" w:cs="Times New Roman" w:ascii="Arial Narrow" w:hAnsi="Arial Narrow"/>
          <w:bCs/>
          <w:iCs/>
          <w:lang w:val="en-IN" w:eastAsia="en-IN"/>
        </w:rPr>
        <w:t>&lt;</w:t>
      </w:r>
      <w:r>
        <w:rPr>
          <w:rFonts w:eastAsia="Times New Roman" w:cs="Times New Roman" w:ascii="Arial Narrow" w:hAnsi="Arial Narrow"/>
          <w:bCs/>
          <w:iCs/>
          <w:vertAlign w:val="subscript"/>
          <w:lang w:val="en-IN" w:eastAsia="en-IN"/>
        </w:rPr>
        <w:t xml:space="preserve"> </w:t>
      </w:r>
      <w:r>
        <w:rPr>
          <w:rFonts w:eastAsia="Times New Roman" w:cs="Times New Roman" w:ascii="Arial Narrow" w:hAnsi="Arial Narrow"/>
          <w:bCs/>
          <w:iCs/>
          <w:lang w:val="en-IN" w:eastAsia="en-IN"/>
        </w:rPr>
        <w:t>.05.</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jc w:val="center"/>
        <w:rPr>
          <w:rFonts w:ascii="Arial Narrow" w:hAnsi="Arial Narrow" w:eastAsia="Calibri" w:cs="Times New Roman"/>
          <w:kern w:val="2"/>
          <w:lang w:val="en-IN"/>
        </w:rPr>
      </w:pPr>
      <w:r>
        <w:rPr/>
        <w:drawing>
          <wp:inline distT="0" distB="0" distL="0" distR="0">
            <wp:extent cx="3190875" cy="205740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3190875" cy="2057400"/>
                    </a:xfrm>
                    <a:prstGeom prst="rect">
                      <a:avLst/>
                    </a:prstGeom>
                  </pic:spPr>
                </pic:pic>
              </a:graphicData>
            </a:graphic>
          </wp:inline>
        </w:drawing>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b/>
          <w:kern w:val="2"/>
          <w:sz w:val="24"/>
          <w:szCs w:val="24"/>
          <w:lang w:val="en-IN"/>
        </w:rPr>
        <w:t>Figure 1.</w:t>
      </w:r>
      <w:r>
        <w:rPr>
          <w:rFonts w:eastAsia="Calibri" w:cs="Times New Roman" w:ascii="Arial Narrow" w:hAnsi="Arial Narrow"/>
          <w:kern w:val="2"/>
          <w:sz w:val="24"/>
          <w:szCs w:val="24"/>
          <w:lang w:val="en-IN"/>
        </w:rPr>
        <w:t xml:space="preserve">  Mid upper arm circumference and head circumference-based growth and </w:t>
      </w:r>
      <w:r>
        <w:rPr>
          <w:rFonts w:eastAsia="Times New Roman" w:cs="Times New Roman" w:ascii="Arial Narrow" w:hAnsi="Arial Narrow"/>
          <w:sz w:val="24"/>
          <w:szCs w:val="24"/>
          <w:lang w:val="en-IN" w:eastAsia="en-IN"/>
        </w:rPr>
        <w:t xml:space="preserve">nutritional </w:t>
      </w:r>
      <w:r>
        <w:rPr>
          <w:rFonts w:eastAsia="Calibri" w:cs="Times New Roman" w:ascii="Arial Narrow" w:hAnsi="Arial Narrow"/>
          <w:kern w:val="2"/>
          <w:sz w:val="24"/>
          <w:szCs w:val="24"/>
          <w:lang w:val="en-IN"/>
        </w:rPr>
        <w:t>status among the studied tribal preschool children</w:t>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0"/>
        <w:ind w:firstLine="567"/>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The body circumferences and circumferences to height ratio differences observed between healthy and undernourished children are shown in Table 4. Normal or healthy children of both sexes show</w:t>
      </w:r>
      <w:r>
        <w:rPr>
          <w:rFonts w:eastAsia="Times New Roman" w:cs="Times New Roman" w:ascii="Arial Narrow" w:hAnsi="Arial Narrow"/>
          <w:bCs/>
          <w:iCs/>
          <w:sz w:val="24"/>
          <w:szCs w:val="24"/>
          <w:lang w:val="en-IN" w:eastAsia="en-IN"/>
        </w:rPr>
        <w:t xml:space="preserve">ed </w:t>
      </w:r>
      <w:r>
        <w:rPr>
          <w:rFonts w:eastAsia="Times New Roman" w:cs="Times New Roman" w:ascii="Arial Narrow" w:hAnsi="Arial Narrow"/>
          <w:sz w:val="24"/>
          <w:szCs w:val="24"/>
          <w:lang w:val="en-IN" w:eastAsia="en-IN"/>
        </w:rPr>
        <w:t>higher mean values in height and weight and significant differences (except girls’ height) observed. Six types of circumferences show</w:t>
      </w:r>
      <w:r>
        <w:rPr>
          <w:rFonts w:eastAsia="Times New Roman" w:cs="Times New Roman" w:ascii="Arial Narrow" w:hAnsi="Arial Narrow"/>
          <w:bCs/>
          <w:sz w:val="24"/>
          <w:szCs w:val="24"/>
          <w:lang w:val="en-IN" w:eastAsia="en-IN"/>
        </w:rPr>
        <w:t>ed</w:t>
      </w:r>
      <w:r>
        <w:rPr>
          <w:rFonts w:eastAsia="Times New Roman" w:cs="Times New Roman" w:ascii="Arial Narrow" w:hAnsi="Arial Narrow"/>
          <w:sz w:val="24"/>
          <w:szCs w:val="24"/>
          <w:lang w:val="en-IN" w:eastAsia="en-IN"/>
        </w:rPr>
        <w:t xml:space="preserve"> a higher mean value in healthy children compared to nutritional deficiencies children, with significant differences observed in both boys and girls (p= &lt;0.001). In both boys and girls, all circumference to height ratio shows statistically significant differences from normal to </w:t>
      </w:r>
      <w:r>
        <w:rPr>
          <w:rFonts w:eastAsia="Calibri" w:cs="Times New Roman" w:ascii="Arial Narrow" w:hAnsi="Arial Narrow"/>
          <w:kern w:val="2"/>
          <w:sz w:val="24"/>
          <w:szCs w:val="24"/>
        </w:rPr>
        <w:t>undernourished</w:t>
      </w:r>
      <w:r>
        <w:rPr>
          <w:rFonts w:eastAsia="Times New Roman" w:cs="Times New Roman" w:ascii="Arial Narrow" w:hAnsi="Arial Narrow"/>
          <w:sz w:val="24"/>
          <w:szCs w:val="24"/>
          <w:lang w:val="en-IN" w:eastAsia="en-IN"/>
        </w:rPr>
        <w:t xml:space="preserve"> children (except head circumference to height ratio in boys).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120"/>
        <w:jc w:val="both"/>
        <w:rPr>
          <w:rFonts w:ascii="Arial Narrow" w:hAnsi="Arial Narrow" w:eastAsia="Calibri" w:cs="Times New Roman"/>
          <w:kern w:val="2"/>
          <w:sz w:val="24"/>
          <w:szCs w:val="24"/>
          <w:lang w:val="en-IN"/>
        </w:rPr>
      </w:pPr>
      <w:r>
        <w:rPr>
          <w:rFonts w:eastAsia="Calibri" w:cs="Times New Roman" w:ascii="Arial Narrow" w:hAnsi="Arial Narrow"/>
          <w:b/>
          <w:color w:val="1B1B1B"/>
          <w:kern w:val="2"/>
          <w:sz w:val="24"/>
          <w:szCs w:val="24"/>
          <w:shd w:fill="FFFFFF" w:val="clear"/>
          <w:lang w:val="en-IN"/>
        </w:rPr>
        <w:t>Table 4.</w:t>
      </w:r>
      <w:r>
        <w:rPr>
          <w:rFonts w:eastAsia="Calibri" w:cs="Times New Roman" w:ascii="Arial Narrow" w:hAnsi="Arial Narrow"/>
          <w:color w:val="1B1B1B"/>
          <w:kern w:val="2"/>
          <w:sz w:val="24"/>
          <w:szCs w:val="24"/>
          <w:shd w:fill="FFFFFF" w:val="clear"/>
          <w:lang w:val="en-IN"/>
        </w:rPr>
        <w:t xml:space="preserve"> </w:t>
      </w:r>
      <w:r>
        <w:rPr>
          <w:rFonts w:eastAsia="Calibri" w:cs="Times New Roman" w:ascii="Arial Narrow" w:hAnsi="Arial Narrow"/>
          <w:b/>
          <w:bCs/>
          <w:color w:val="1B1B1B"/>
          <w:kern w:val="2"/>
          <w:sz w:val="24"/>
          <w:szCs w:val="24"/>
          <w:shd w:fill="FFFFFF" w:val="clear"/>
          <w:lang w:val="en-IN"/>
        </w:rPr>
        <w:t xml:space="preserve"> </w:t>
      </w:r>
      <w:r>
        <w:rPr>
          <w:rFonts w:eastAsia="Calibri" w:cs="Times New Roman" w:ascii="Arial Narrow" w:hAnsi="Arial Narrow"/>
          <w:kern w:val="2"/>
          <w:sz w:val="24"/>
          <w:szCs w:val="24"/>
          <w:lang w:val="en-IN"/>
        </w:rPr>
        <w:t>Nutritional status and sex-wise circumference differences among the studied preschool children</w:t>
      </w:r>
    </w:p>
    <w:tbl>
      <w:tblPr>
        <w:tblStyle w:val="TableGrid1"/>
        <w:tblW w:w="8359" w:type="dxa"/>
        <w:jc w:val="left"/>
        <w:tblInd w:w="0" w:type="dxa"/>
        <w:tblLayout w:type="fixed"/>
        <w:tblCellMar>
          <w:top w:w="28" w:type="dxa"/>
          <w:left w:w="28" w:type="dxa"/>
          <w:bottom w:w="28" w:type="dxa"/>
          <w:right w:w="28" w:type="dxa"/>
        </w:tblCellMar>
        <w:tblLook w:val="04a0" w:noHBand="0" w:noVBand="1" w:firstColumn="1" w:lastRow="0" w:lastColumn="0" w:firstRow="1"/>
      </w:tblPr>
      <w:tblGrid>
        <w:gridCol w:w="2122"/>
        <w:gridCol w:w="526"/>
        <w:gridCol w:w="1476"/>
        <w:gridCol w:w="1682"/>
        <w:gridCol w:w="1702"/>
        <w:gridCol w:w="850"/>
      </w:tblGrid>
      <w:tr>
        <w:trPr/>
        <w:tc>
          <w:tcPr>
            <w:tcW w:w="2122"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Anthropometric variables</w:t>
            </w:r>
          </w:p>
        </w:tc>
        <w:tc>
          <w:tcPr>
            <w:tcW w:w="526"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Sex</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Normal</w:t>
            </w:r>
          </w:p>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(B=133 &amp; G=114)</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One type of undernutrition</w:t>
            </w:r>
            <w:r>
              <w:rPr>
                <w:rFonts w:eastAsia="Calibri" w:cs="Times New Roman" w:ascii="Arial Narrow" w:hAnsi="Arial Narrow"/>
                <w:kern w:val="0"/>
                <w:sz w:val="22"/>
                <w:szCs w:val="22"/>
                <w:vertAlign w:val="superscript"/>
                <w:lang w:val="en-IN" w:eastAsia="en-IN" w:bidi="ar-SA"/>
              </w:rPr>
              <w:t>a</w:t>
            </w:r>
            <w:r>
              <w:rPr>
                <w:rFonts w:eastAsia="Calibri" w:cs="Times New Roman" w:ascii="Arial Narrow" w:hAnsi="Arial Narrow"/>
                <w:kern w:val="0"/>
                <w:sz w:val="22"/>
                <w:szCs w:val="22"/>
                <w:lang w:val="en-IN" w:eastAsia="en-IN" w:bidi="ar-SA"/>
              </w:rPr>
              <w:t xml:space="preserve"> (B=191 &amp; G=197)</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Dual type of undernutrition</w:t>
            </w:r>
            <w:r>
              <w:rPr>
                <w:rFonts w:eastAsia="Calibri" w:cs="Times New Roman" w:ascii="Arial Narrow" w:hAnsi="Arial Narrow"/>
                <w:kern w:val="0"/>
                <w:sz w:val="22"/>
                <w:szCs w:val="22"/>
                <w:vertAlign w:val="superscript"/>
                <w:lang w:val="en-IN" w:eastAsia="en-IN" w:bidi="ar-SA"/>
              </w:rPr>
              <w:t>b</w:t>
            </w:r>
          </w:p>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(B=106 &amp; G=107)</w:t>
            </w:r>
          </w:p>
        </w:tc>
        <w:tc>
          <w:tcPr>
            <w:tcW w:w="850"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F test</w:t>
            </w:r>
          </w:p>
        </w:tc>
      </w:tr>
      <w:tr>
        <w:trPr/>
        <w:tc>
          <w:tcPr>
            <w:tcW w:w="2122" w:type="dxa"/>
            <w:vMerge w:val="restart"/>
            <w:tcBorders>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Height</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94.36 </w:t>
            </w:r>
            <w:r>
              <w:rPr>
                <w:rFonts w:eastAsia="Calibri" w:cs="Times New Roman" w:ascii="Arial Narrow" w:hAnsi="Arial Narrow"/>
                <w:color w:val="000000"/>
                <w:kern w:val="0"/>
                <w:sz w:val="22"/>
                <w:szCs w:val="22"/>
                <w:lang w:val="en-IN" w:eastAsia="en-IN" w:bidi="ar-SA"/>
              </w:rPr>
              <w:t>± 11.38</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88.60 </w:t>
            </w:r>
            <w:r>
              <w:rPr>
                <w:rFonts w:eastAsia="Calibri" w:cs="Times New Roman" w:ascii="Arial Narrow" w:hAnsi="Arial Narrow"/>
                <w:color w:val="000000"/>
                <w:kern w:val="0"/>
                <w:sz w:val="22"/>
                <w:szCs w:val="22"/>
                <w:lang w:val="en-IN" w:eastAsia="en-IN" w:bidi="ar-SA"/>
              </w:rPr>
              <w:t>± 11.72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87.62 </w:t>
            </w:r>
            <w:r>
              <w:rPr>
                <w:rFonts w:eastAsia="Calibri" w:cs="Times New Roman" w:ascii="Arial Narrow" w:hAnsi="Arial Narrow"/>
                <w:color w:val="000000"/>
                <w:kern w:val="0"/>
                <w:sz w:val="22"/>
                <w:szCs w:val="22"/>
                <w:lang w:val="en-IN" w:eastAsia="en-IN" w:bidi="ar-SA"/>
              </w:rPr>
              <w:t>± 11.37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13.13***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89.47 </w:t>
            </w:r>
            <w:r>
              <w:rPr>
                <w:rFonts w:eastAsia="Calibri" w:cs="Times New Roman" w:ascii="Arial Narrow" w:hAnsi="Arial Narrow"/>
                <w:color w:val="000000"/>
                <w:kern w:val="0"/>
                <w:sz w:val="22"/>
                <w:szCs w:val="22"/>
                <w:lang w:val="en-IN" w:eastAsia="en-IN" w:bidi="ar-SA"/>
              </w:rPr>
              <w:t>± 12.55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89.40 </w:t>
            </w:r>
            <w:r>
              <w:rPr>
                <w:rFonts w:eastAsia="Calibri" w:cs="Times New Roman" w:ascii="Arial Narrow" w:hAnsi="Arial Narrow"/>
                <w:color w:val="000000"/>
                <w:kern w:val="0"/>
                <w:sz w:val="22"/>
                <w:szCs w:val="22"/>
                <w:lang w:val="en-IN" w:eastAsia="en-IN" w:bidi="ar-SA"/>
              </w:rPr>
              <w:t>± 11.66</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89.66 </w:t>
            </w:r>
            <w:r>
              <w:rPr>
                <w:rFonts w:eastAsia="Calibri" w:cs="Times New Roman" w:ascii="Arial Narrow" w:hAnsi="Arial Narrow"/>
                <w:color w:val="000000"/>
                <w:kern w:val="0"/>
                <w:sz w:val="22"/>
                <w:szCs w:val="22"/>
                <w:lang w:val="en-IN" w:eastAsia="en-IN" w:bidi="ar-SA"/>
              </w:rPr>
              <w:t>± 10.41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vertAlign w:val="superscript"/>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0.02</w:t>
            </w:r>
            <w:r>
              <w:rPr>
                <w:rFonts w:eastAsia="Calibri" w:cs="Times New Roman" w:ascii="Arial Narrow" w:hAnsi="Arial Narrow"/>
                <w:kern w:val="0"/>
                <w:sz w:val="22"/>
                <w:szCs w:val="22"/>
                <w:vertAlign w:val="superscript"/>
                <w:lang w:val="en-IN" w:eastAsia="en-IN" w:bidi="ar-SA"/>
              </w:rPr>
              <w:t>NS</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Weight</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13.28 </w:t>
            </w:r>
            <w:r>
              <w:rPr>
                <w:rFonts w:eastAsia="Calibri" w:cs="Times New Roman" w:ascii="Arial Narrow" w:hAnsi="Arial Narrow"/>
                <w:color w:val="000000"/>
                <w:kern w:val="0"/>
                <w:sz w:val="22"/>
                <w:szCs w:val="22"/>
                <w:lang w:val="en-IN" w:eastAsia="en-IN" w:bidi="ar-SA"/>
              </w:rPr>
              <w:t>± 2.88</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11.41 </w:t>
            </w:r>
            <w:r>
              <w:rPr>
                <w:rFonts w:eastAsia="Calibri" w:cs="Times New Roman" w:ascii="Arial Narrow" w:hAnsi="Arial Narrow"/>
                <w:color w:val="000000"/>
                <w:kern w:val="0"/>
                <w:sz w:val="22"/>
                <w:szCs w:val="22"/>
                <w:lang w:val="en-IN" w:eastAsia="en-IN" w:bidi="ar-SA"/>
              </w:rPr>
              <w:t>± 2.84</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10.53 </w:t>
            </w:r>
            <w:r>
              <w:rPr>
                <w:rFonts w:eastAsia="Calibri" w:cs="Times New Roman" w:ascii="Arial Narrow" w:hAnsi="Arial Narrow"/>
                <w:color w:val="000000"/>
                <w:kern w:val="0"/>
                <w:sz w:val="22"/>
                <w:szCs w:val="22"/>
                <w:lang w:val="en-IN" w:eastAsia="en-IN" w:bidi="ar-SA"/>
              </w:rPr>
              <w:t>± 2.55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31.61***</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12.01 </w:t>
            </w:r>
            <w:r>
              <w:rPr>
                <w:rFonts w:eastAsia="Calibri" w:cs="Times New Roman" w:ascii="Arial Narrow" w:hAnsi="Arial Narrow"/>
                <w:color w:val="000000"/>
                <w:kern w:val="0"/>
                <w:sz w:val="22"/>
                <w:szCs w:val="22"/>
                <w:lang w:val="en-IN" w:eastAsia="en-IN" w:bidi="ar-SA"/>
              </w:rPr>
              <w:t>± 3.24</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11.37 </w:t>
            </w:r>
            <w:r>
              <w:rPr>
                <w:rFonts w:eastAsia="Calibri" w:cs="Times New Roman" w:ascii="Arial Narrow" w:hAnsi="Arial Narrow"/>
                <w:color w:val="000000"/>
                <w:kern w:val="0"/>
                <w:sz w:val="22"/>
                <w:szCs w:val="22"/>
                <w:lang w:val="en-IN" w:eastAsia="en-IN" w:bidi="ar-SA"/>
              </w:rPr>
              <w:t>± 2.90</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10.60 </w:t>
            </w:r>
            <w:r>
              <w:rPr>
                <w:rFonts w:eastAsia="Calibri" w:cs="Times New Roman" w:ascii="Arial Narrow" w:hAnsi="Arial Narrow"/>
                <w:color w:val="000000"/>
                <w:kern w:val="0"/>
                <w:sz w:val="22"/>
                <w:szCs w:val="22"/>
                <w:lang w:val="en-IN" w:eastAsia="en-IN" w:bidi="ar-SA"/>
              </w:rPr>
              <w:t>± 2.29</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6.71***</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Head circumference (HC)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47.84 ± 1.45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45.65 </w:t>
            </w:r>
            <w:r>
              <w:rPr>
                <w:rFonts w:eastAsia="Calibri" w:cs="Times New Roman" w:ascii="Arial Narrow" w:hAnsi="Arial Narrow"/>
                <w:color w:val="000000"/>
                <w:kern w:val="0"/>
                <w:sz w:val="22"/>
                <w:szCs w:val="22"/>
                <w:lang w:val="en-IN" w:eastAsia="en-IN" w:bidi="ar-SA"/>
              </w:rPr>
              <w:t>± 1.97</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44.67 </w:t>
            </w:r>
            <w:r>
              <w:rPr>
                <w:rFonts w:eastAsia="Calibri" w:cs="Times New Roman" w:ascii="Arial Narrow" w:hAnsi="Arial Narrow"/>
                <w:color w:val="000000"/>
                <w:kern w:val="0"/>
                <w:sz w:val="22"/>
                <w:szCs w:val="22"/>
                <w:lang w:val="en-IN" w:eastAsia="en-IN" w:bidi="ar-SA"/>
              </w:rPr>
              <w:t>± 2.09</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95.55***</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46.34 </w:t>
            </w:r>
            <w:r>
              <w:rPr>
                <w:rFonts w:eastAsia="Calibri" w:cs="Times New Roman" w:ascii="Arial Narrow" w:hAnsi="Arial Narrow"/>
                <w:color w:val="000000"/>
                <w:kern w:val="0"/>
                <w:sz w:val="22"/>
                <w:szCs w:val="22"/>
                <w:lang w:val="en-IN" w:eastAsia="en-IN" w:bidi="ar-SA"/>
              </w:rPr>
              <w:t>± 1.75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44.91 </w:t>
            </w:r>
            <w:r>
              <w:rPr>
                <w:rFonts w:eastAsia="Calibri" w:cs="Times New Roman" w:ascii="Arial Narrow" w:hAnsi="Arial Narrow"/>
                <w:color w:val="000000"/>
                <w:kern w:val="0"/>
                <w:sz w:val="22"/>
                <w:szCs w:val="22"/>
                <w:lang w:val="en-IN" w:eastAsia="en-IN" w:bidi="ar-SA"/>
              </w:rPr>
              <w:t>± 2.03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44.47 </w:t>
            </w:r>
            <w:r>
              <w:rPr>
                <w:rFonts w:eastAsia="Calibri" w:cs="Times New Roman" w:ascii="Arial Narrow" w:hAnsi="Arial Narrow"/>
                <w:color w:val="000000"/>
                <w:kern w:val="0"/>
                <w:sz w:val="22"/>
                <w:szCs w:val="22"/>
                <w:lang w:val="en-IN" w:eastAsia="en-IN" w:bidi="ar-SA"/>
              </w:rPr>
              <w:t>± 1.61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32.07***</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Neck circumference (NC)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22.21 </w:t>
            </w:r>
            <w:r>
              <w:rPr>
                <w:rFonts w:eastAsia="Calibri" w:cs="Times New Roman" w:ascii="Arial Narrow" w:hAnsi="Arial Narrow"/>
                <w:color w:val="000000"/>
                <w:kern w:val="0"/>
                <w:sz w:val="22"/>
                <w:szCs w:val="22"/>
                <w:lang w:val="en-IN" w:eastAsia="en-IN" w:bidi="ar-SA"/>
              </w:rPr>
              <w:t>± 1.15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21.71 </w:t>
            </w:r>
            <w:r>
              <w:rPr>
                <w:rFonts w:eastAsia="Calibri" w:cs="Times New Roman" w:ascii="Arial Narrow" w:hAnsi="Arial Narrow"/>
                <w:color w:val="000000"/>
                <w:kern w:val="0"/>
                <w:sz w:val="22"/>
                <w:szCs w:val="22"/>
                <w:lang w:val="en-IN" w:eastAsia="en-IN" w:bidi="ar-SA"/>
              </w:rPr>
              <w:t>± 1.18</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20.99 </w:t>
            </w:r>
            <w:r>
              <w:rPr>
                <w:rFonts w:eastAsia="Calibri" w:cs="Times New Roman" w:ascii="Arial Narrow" w:hAnsi="Arial Narrow"/>
                <w:color w:val="000000"/>
                <w:kern w:val="0"/>
                <w:sz w:val="22"/>
                <w:szCs w:val="22"/>
                <w:lang w:val="en-IN" w:eastAsia="en-IN" w:bidi="ar-SA"/>
              </w:rPr>
              <w:t>± 1.05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33.44***</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21.79 </w:t>
            </w:r>
            <w:r>
              <w:rPr>
                <w:rFonts w:eastAsia="Calibri" w:cs="Times New Roman" w:ascii="Arial Narrow" w:hAnsi="Arial Narrow"/>
                <w:color w:val="000000"/>
                <w:kern w:val="0"/>
                <w:sz w:val="22"/>
                <w:szCs w:val="22"/>
                <w:lang w:val="en-IN" w:eastAsia="en-IN" w:bidi="ar-SA"/>
              </w:rPr>
              <w:t>± 1.32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21.27 </w:t>
            </w:r>
            <w:r>
              <w:rPr>
                <w:rFonts w:eastAsia="Calibri" w:cs="Times New Roman" w:ascii="Arial Narrow" w:hAnsi="Arial Narrow"/>
                <w:color w:val="000000"/>
                <w:kern w:val="0"/>
                <w:sz w:val="22"/>
                <w:szCs w:val="22"/>
                <w:lang w:val="en-IN" w:eastAsia="en-IN" w:bidi="ar-SA"/>
              </w:rPr>
              <w:t>± 1.15</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20.78 </w:t>
            </w:r>
            <w:r>
              <w:rPr>
                <w:rFonts w:eastAsia="Calibri" w:cs="Times New Roman" w:ascii="Arial Narrow" w:hAnsi="Arial Narrow"/>
                <w:color w:val="000000"/>
                <w:kern w:val="0"/>
                <w:sz w:val="22"/>
                <w:szCs w:val="22"/>
                <w:lang w:val="en-IN" w:eastAsia="en-IN" w:bidi="ar-SA"/>
              </w:rPr>
              <w:t>± 1.05</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20.44***</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Mid upper arm circumference (MUAC)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14.07 </w:t>
            </w:r>
            <w:r>
              <w:rPr>
                <w:rFonts w:eastAsia="Calibri" w:cs="Times New Roman" w:ascii="Arial Narrow" w:hAnsi="Arial Narrow"/>
                <w:color w:val="000000"/>
                <w:kern w:val="0"/>
                <w:sz w:val="22"/>
                <w:szCs w:val="22"/>
                <w:lang w:val="en-IN" w:eastAsia="en-IN" w:bidi="ar-SA"/>
              </w:rPr>
              <w:t>± 0.77</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13.46 </w:t>
            </w:r>
            <w:r>
              <w:rPr>
                <w:rFonts w:eastAsia="Calibri" w:cs="Times New Roman" w:ascii="Arial Narrow" w:hAnsi="Arial Narrow"/>
                <w:color w:val="000000"/>
                <w:kern w:val="0"/>
                <w:sz w:val="22"/>
                <w:szCs w:val="22"/>
                <w:lang w:val="en-IN" w:eastAsia="en-IN" w:bidi="ar-SA"/>
              </w:rPr>
              <w:t>± 0.85</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12.49 </w:t>
            </w:r>
            <w:r>
              <w:rPr>
                <w:rFonts w:eastAsia="Calibri" w:cs="Times New Roman" w:ascii="Arial Narrow" w:hAnsi="Arial Narrow"/>
                <w:color w:val="000000"/>
                <w:kern w:val="0"/>
                <w:sz w:val="22"/>
                <w:szCs w:val="22"/>
                <w:lang w:val="en-IN" w:eastAsia="en-IN" w:bidi="ar-SA"/>
              </w:rPr>
              <w:t>± 0.60</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125.70***</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13.69 </w:t>
            </w:r>
            <w:r>
              <w:rPr>
                <w:rFonts w:eastAsia="Calibri" w:cs="Times New Roman" w:ascii="Arial Narrow" w:hAnsi="Arial Narrow"/>
                <w:color w:val="000000"/>
                <w:kern w:val="0"/>
                <w:sz w:val="22"/>
                <w:szCs w:val="22"/>
                <w:lang w:val="en-IN" w:eastAsia="en-IN" w:bidi="ar-SA"/>
              </w:rPr>
              <w:t>± 0.99</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13.31 </w:t>
            </w:r>
            <w:r>
              <w:rPr>
                <w:rFonts w:eastAsia="Calibri" w:cs="Times New Roman" w:ascii="Arial Narrow" w:hAnsi="Arial Narrow"/>
                <w:color w:val="000000"/>
                <w:kern w:val="0"/>
                <w:sz w:val="22"/>
                <w:szCs w:val="22"/>
                <w:lang w:val="en-IN" w:eastAsia="en-IN" w:bidi="ar-SA"/>
              </w:rPr>
              <w:t>± 0.92</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12.42 </w:t>
            </w:r>
            <w:r>
              <w:rPr>
                <w:rFonts w:eastAsia="Calibri" w:cs="Times New Roman" w:ascii="Arial Narrow" w:hAnsi="Arial Narrow"/>
                <w:color w:val="000000"/>
                <w:kern w:val="0"/>
                <w:sz w:val="22"/>
                <w:szCs w:val="22"/>
                <w:lang w:val="en-IN" w:eastAsia="en-IN" w:bidi="ar-SA"/>
              </w:rPr>
              <w:t>± 0.69</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60.35***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Chest circumference (CC)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48.39 </w:t>
            </w:r>
            <w:r>
              <w:rPr>
                <w:rFonts w:eastAsia="Calibri" w:cs="Times New Roman" w:ascii="Arial Narrow" w:hAnsi="Arial Narrow"/>
                <w:color w:val="000000"/>
                <w:kern w:val="0"/>
                <w:sz w:val="22"/>
                <w:szCs w:val="22"/>
                <w:lang w:val="en-IN" w:eastAsia="en-IN" w:bidi="ar-SA"/>
              </w:rPr>
              <w:t>± 3.11</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46.58 </w:t>
            </w:r>
            <w:r>
              <w:rPr>
                <w:rFonts w:eastAsia="Calibri" w:cs="Times New Roman" w:ascii="Arial Narrow" w:hAnsi="Arial Narrow"/>
                <w:color w:val="000000"/>
                <w:kern w:val="0"/>
                <w:sz w:val="22"/>
                <w:szCs w:val="22"/>
                <w:lang w:val="en-IN" w:eastAsia="en-IN" w:bidi="ar-SA"/>
              </w:rPr>
              <w:t>± 3.18</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45.11 </w:t>
            </w:r>
            <w:r>
              <w:rPr>
                <w:rFonts w:eastAsia="Calibri" w:cs="Times New Roman" w:ascii="Arial Narrow" w:hAnsi="Arial Narrow"/>
                <w:color w:val="000000"/>
                <w:kern w:val="0"/>
                <w:sz w:val="22"/>
                <w:szCs w:val="22"/>
                <w:lang w:val="en-IN" w:eastAsia="en-IN" w:bidi="ar-SA"/>
              </w:rPr>
              <w:t>± 2.97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33.50***</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46.67 </w:t>
            </w:r>
            <w:r>
              <w:rPr>
                <w:rFonts w:eastAsia="Calibri" w:cs="Times New Roman" w:ascii="Arial Narrow" w:hAnsi="Arial Narrow"/>
                <w:color w:val="000000"/>
                <w:kern w:val="0"/>
                <w:sz w:val="22"/>
                <w:szCs w:val="22"/>
                <w:lang w:val="en-IN" w:eastAsia="en-IN" w:bidi="ar-SA"/>
              </w:rPr>
              <w:t>± 3.63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46.08 </w:t>
            </w:r>
            <w:r>
              <w:rPr>
                <w:rFonts w:eastAsia="Calibri" w:cs="Times New Roman" w:ascii="Arial Narrow" w:hAnsi="Arial Narrow"/>
                <w:color w:val="000000"/>
                <w:kern w:val="0"/>
                <w:sz w:val="22"/>
                <w:szCs w:val="22"/>
                <w:lang w:val="en-IN" w:eastAsia="en-IN" w:bidi="ar-SA"/>
              </w:rPr>
              <w:t>± 2.93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44.70 </w:t>
            </w:r>
            <w:r>
              <w:rPr>
                <w:rFonts w:eastAsia="Calibri" w:cs="Times New Roman" w:ascii="Arial Narrow" w:hAnsi="Arial Narrow"/>
                <w:color w:val="000000"/>
                <w:kern w:val="0"/>
                <w:sz w:val="22"/>
                <w:szCs w:val="22"/>
                <w:lang w:val="en-IN" w:eastAsia="en-IN" w:bidi="ar-SA"/>
              </w:rPr>
              <w:t>± 2.82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11.76***</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Thigh circumference (TC)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23.78 </w:t>
            </w:r>
            <w:r>
              <w:rPr>
                <w:rFonts w:eastAsia="Calibri" w:cs="Times New Roman" w:ascii="Arial Narrow" w:hAnsi="Arial Narrow"/>
                <w:color w:val="000000"/>
                <w:kern w:val="0"/>
                <w:sz w:val="22"/>
                <w:szCs w:val="22"/>
                <w:lang w:val="en-IN" w:eastAsia="en-IN" w:bidi="ar-SA"/>
              </w:rPr>
              <w:t>± 1.99</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22.89 </w:t>
            </w:r>
            <w:r>
              <w:rPr>
                <w:rFonts w:eastAsia="Calibri" w:cs="Times New Roman" w:ascii="Arial Narrow" w:hAnsi="Arial Narrow"/>
                <w:color w:val="000000"/>
                <w:kern w:val="0"/>
                <w:sz w:val="22"/>
                <w:szCs w:val="22"/>
                <w:lang w:val="en-IN" w:eastAsia="en-IN" w:bidi="ar-SA"/>
              </w:rPr>
              <w:t>± 2.11</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21.80 </w:t>
            </w:r>
            <w:r>
              <w:rPr>
                <w:rFonts w:eastAsia="Calibri" w:cs="Times New Roman" w:ascii="Arial Narrow" w:hAnsi="Arial Narrow"/>
                <w:color w:val="000000"/>
                <w:kern w:val="0"/>
                <w:sz w:val="22"/>
                <w:szCs w:val="22"/>
                <w:lang w:val="en-IN" w:eastAsia="en-IN" w:bidi="ar-SA"/>
              </w:rPr>
              <w:t>± 1.87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28.47***</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23.88 </w:t>
            </w:r>
            <w:r>
              <w:rPr>
                <w:rFonts w:eastAsia="Calibri" w:cs="Times New Roman" w:ascii="Arial Narrow" w:hAnsi="Arial Narrow"/>
                <w:color w:val="000000"/>
                <w:kern w:val="0"/>
                <w:sz w:val="22"/>
                <w:szCs w:val="22"/>
                <w:lang w:val="en-IN" w:eastAsia="en-IN" w:bidi="ar-SA"/>
              </w:rPr>
              <w:t>± 2.61</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23.58 </w:t>
            </w:r>
            <w:r>
              <w:rPr>
                <w:rFonts w:eastAsia="Calibri" w:cs="Times New Roman" w:ascii="Arial Narrow" w:hAnsi="Arial Narrow"/>
                <w:color w:val="000000"/>
                <w:kern w:val="0"/>
                <w:sz w:val="22"/>
                <w:szCs w:val="22"/>
                <w:lang w:val="en-IN" w:eastAsia="en-IN" w:bidi="ar-SA"/>
              </w:rPr>
              <w:t>± 2.60</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22.55 </w:t>
            </w:r>
            <w:r>
              <w:rPr>
                <w:rFonts w:eastAsia="Calibri" w:cs="Times New Roman" w:ascii="Arial Narrow" w:hAnsi="Arial Narrow"/>
                <w:color w:val="000000"/>
                <w:kern w:val="0"/>
                <w:sz w:val="22"/>
                <w:szCs w:val="22"/>
                <w:lang w:val="en-IN" w:eastAsia="en-IN" w:bidi="ar-SA"/>
              </w:rPr>
              <w:t>± 2.44</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8.36***</w:t>
            </w:r>
          </w:p>
        </w:tc>
      </w:tr>
      <w:tr>
        <w:trPr>
          <w:trHeight w:val="64" w:hRule="atLeast"/>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Medial calf circumference (MCC)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18.05 </w:t>
            </w:r>
            <w:r>
              <w:rPr>
                <w:rFonts w:eastAsia="Calibri" w:cs="Times New Roman" w:ascii="Arial Narrow" w:hAnsi="Arial Narrow"/>
                <w:color w:val="000000"/>
                <w:kern w:val="0"/>
                <w:sz w:val="22"/>
                <w:szCs w:val="22"/>
                <w:lang w:val="en-IN" w:eastAsia="en-IN" w:bidi="ar-SA"/>
              </w:rPr>
              <w:t>± 1.52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17.24 </w:t>
            </w:r>
            <w:r>
              <w:rPr>
                <w:rFonts w:eastAsia="Calibri" w:cs="Times New Roman" w:ascii="Arial Narrow" w:hAnsi="Arial Narrow"/>
                <w:color w:val="000000"/>
                <w:kern w:val="0"/>
                <w:sz w:val="22"/>
                <w:szCs w:val="22"/>
                <w:lang w:val="en-IN" w:eastAsia="en-IN" w:bidi="ar-SA"/>
              </w:rPr>
              <w:t>± 1.52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16.43 </w:t>
            </w:r>
            <w:r>
              <w:rPr>
                <w:rFonts w:eastAsia="Calibri" w:cs="Times New Roman" w:ascii="Arial Narrow" w:hAnsi="Arial Narrow"/>
                <w:color w:val="000000"/>
                <w:kern w:val="0"/>
                <w:sz w:val="22"/>
                <w:szCs w:val="22"/>
                <w:lang w:val="en-IN" w:eastAsia="en-IN" w:bidi="ar-SA"/>
              </w:rPr>
              <w:t>± 1.39</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34.93***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17.90 </w:t>
            </w:r>
            <w:r>
              <w:rPr>
                <w:rFonts w:eastAsia="Calibri" w:cs="Times New Roman" w:ascii="Arial Narrow" w:hAnsi="Arial Narrow"/>
                <w:color w:val="000000"/>
                <w:kern w:val="0"/>
                <w:sz w:val="22"/>
                <w:szCs w:val="22"/>
                <w:lang w:val="en-IN" w:eastAsia="en-IN" w:bidi="ar-SA"/>
              </w:rPr>
              <w:t>± 1.73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17.46 </w:t>
            </w:r>
            <w:r>
              <w:rPr>
                <w:rFonts w:eastAsia="Calibri" w:cs="Times New Roman" w:ascii="Arial Narrow" w:hAnsi="Arial Narrow"/>
                <w:color w:val="000000"/>
                <w:kern w:val="0"/>
                <w:sz w:val="22"/>
                <w:szCs w:val="22"/>
                <w:lang w:val="en-IN" w:eastAsia="en-IN" w:bidi="ar-SA"/>
              </w:rPr>
              <w:t>± 1.74</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16.81 </w:t>
            </w:r>
            <w:r>
              <w:rPr>
                <w:rFonts w:eastAsia="Calibri" w:cs="Times New Roman" w:ascii="Arial Narrow" w:hAnsi="Arial Narrow"/>
                <w:color w:val="000000"/>
                <w:kern w:val="0"/>
                <w:sz w:val="22"/>
                <w:szCs w:val="22"/>
                <w:lang w:val="en-IN" w:eastAsia="en-IN" w:bidi="ar-SA"/>
              </w:rPr>
              <w:t>± 1.60</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11.50***</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Head to height ratio (HHtR)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color w:val="000000"/>
                <w:lang w:val="en-IN"/>
              </w:rPr>
            </w:pPr>
            <w:r>
              <w:rPr>
                <w:rFonts w:eastAsia="Times New Roman" w:cs="Times New Roman" w:ascii="Arial Narrow" w:hAnsi="Arial Narrow"/>
                <w:color w:val="000000"/>
                <w:kern w:val="0"/>
                <w:sz w:val="22"/>
                <w:szCs w:val="22"/>
                <w:lang w:val="en-IN" w:eastAsia="en-IN" w:bidi="ar-SA"/>
              </w:rPr>
              <w:t xml:space="preserve">.5132 </w:t>
            </w:r>
            <w:r>
              <w:rPr>
                <w:rFonts w:eastAsia="Calibri" w:cs="Times New Roman" w:ascii="Arial Narrow" w:hAnsi="Arial Narrow"/>
                <w:color w:val="000000"/>
                <w:kern w:val="0"/>
                <w:sz w:val="22"/>
                <w:szCs w:val="22"/>
                <w:lang w:val="en-IN" w:eastAsia="en-IN" w:bidi="ar-SA"/>
              </w:rPr>
              <w:t>± 0.05</w:t>
            </w:r>
          </w:p>
        </w:tc>
        <w:tc>
          <w:tcPr>
            <w:tcW w:w="1682"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.5222 </w:t>
            </w:r>
            <w:r>
              <w:rPr>
                <w:rFonts w:eastAsia="Calibri" w:cs="Times New Roman" w:ascii="Arial Narrow" w:hAnsi="Arial Narrow"/>
                <w:color w:val="000000"/>
                <w:kern w:val="0"/>
                <w:sz w:val="22"/>
                <w:szCs w:val="22"/>
                <w:lang w:val="en-IN" w:eastAsia="en-IN" w:bidi="ar-SA"/>
              </w:rPr>
              <w:t>± 0.06</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.5163 </w:t>
            </w:r>
            <w:r>
              <w:rPr>
                <w:rFonts w:eastAsia="Calibri" w:cs="Times New Roman" w:ascii="Arial Narrow" w:hAnsi="Arial Narrow"/>
                <w:color w:val="000000"/>
                <w:kern w:val="0"/>
                <w:sz w:val="22"/>
                <w:szCs w:val="22"/>
                <w:lang w:val="en-IN" w:eastAsia="en-IN" w:bidi="ar-SA"/>
              </w:rPr>
              <w:t>± 0.05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vertAlign w:val="superscript"/>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1.17</w:t>
            </w:r>
            <w:r>
              <w:rPr>
                <w:rFonts w:eastAsia="Calibri" w:cs="Times New Roman" w:ascii="Arial Narrow" w:hAnsi="Arial Narrow"/>
                <w:color w:val="000000"/>
                <w:kern w:val="0"/>
                <w:sz w:val="22"/>
                <w:szCs w:val="22"/>
                <w:vertAlign w:val="superscript"/>
                <w:lang w:val="en-IN" w:eastAsia="en-IN" w:bidi="ar-SA"/>
              </w:rPr>
              <w:t>NS</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.5258 </w:t>
            </w:r>
            <w:r>
              <w:rPr>
                <w:rFonts w:eastAsia="Calibri" w:cs="Times New Roman" w:ascii="Arial Narrow" w:hAnsi="Arial Narrow"/>
                <w:color w:val="000000"/>
                <w:kern w:val="0"/>
                <w:sz w:val="22"/>
                <w:szCs w:val="22"/>
                <w:lang w:val="en-IN" w:eastAsia="en-IN" w:bidi="ar-SA"/>
              </w:rPr>
              <w:t>± 0.06</w:t>
            </w:r>
          </w:p>
        </w:tc>
        <w:tc>
          <w:tcPr>
            <w:tcW w:w="1682"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.5090 </w:t>
            </w:r>
            <w:r>
              <w:rPr>
                <w:rFonts w:eastAsia="Calibri" w:cs="Times New Roman" w:ascii="Arial Narrow" w:hAnsi="Arial Narrow"/>
                <w:color w:val="000000"/>
                <w:kern w:val="0"/>
                <w:sz w:val="22"/>
                <w:szCs w:val="22"/>
                <w:lang w:val="en-IN" w:eastAsia="en-IN" w:bidi="ar-SA"/>
              </w:rPr>
              <w:t>± 0.05</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.5011 </w:t>
            </w:r>
            <w:r>
              <w:rPr>
                <w:rFonts w:eastAsia="Calibri" w:cs="Times New Roman" w:ascii="Arial Narrow" w:hAnsi="Arial Narrow"/>
                <w:color w:val="000000"/>
                <w:kern w:val="0"/>
                <w:sz w:val="22"/>
                <w:szCs w:val="22"/>
                <w:lang w:val="en-IN" w:eastAsia="en-IN" w:bidi="ar-SA"/>
              </w:rPr>
              <w:t>± 0.05</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6.45**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Neck to height ratio (NHtR)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.2380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.2484 </w:t>
            </w:r>
            <w:r>
              <w:rPr>
                <w:rFonts w:eastAsia="Calibri" w:cs="Times New Roman" w:ascii="Arial Narrow" w:hAnsi="Arial Narrow"/>
                <w:color w:val="000000"/>
                <w:kern w:val="0"/>
                <w:sz w:val="22"/>
                <w:szCs w:val="22"/>
                <w:lang w:val="en-IN" w:eastAsia="en-IN" w:bidi="ar-SA"/>
              </w:rPr>
              <w:t>± 0.03</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.2426 </w:t>
            </w:r>
            <w:r>
              <w:rPr>
                <w:rFonts w:eastAsia="Calibri" w:cs="Times New Roman" w:ascii="Arial Narrow" w:hAnsi="Arial Narrow"/>
                <w:color w:val="000000"/>
                <w:kern w:val="0"/>
                <w:sz w:val="22"/>
                <w:szCs w:val="22"/>
                <w:lang w:val="en-IN" w:eastAsia="en-IN" w:bidi="ar-SA"/>
              </w:rPr>
              <w:t>± 0.02</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6.23**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.2472 </w:t>
            </w:r>
            <w:r>
              <w:rPr>
                <w:rFonts w:eastAsia="Calibri" w:cs="Times New Roman" w:ascii="Arial Narrow" w:hAnsi="Arial Narrow"/>
                <w:color w:val="000000"/>
                <w:kern w:val="0"/>
                <w:sz w:val="22"/>
                <w:szCs w:val="22"/>
                <w:lang w:val="en-IN" w:eastAsia="en-IN" w:bidi="ar-SA"/>
              </w:rPr>
              <w:t>± 0.03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.2409 </w:t>
            </w:r>
            <w:r>
              <w:rPr>
                <w:rFonts w:eastAsia="Calibri" w:cs="Times New Roman" w:ascii="Arial Narrow" w:hAnsi="Arial Narrow"/>
                <w:color w:val="000000"/>
                <w:kern w:val="0"/>
                <w:sz w:val="22"/>
                <w:szCs w:val="22"/>
                <w:lang w:val="en-IN" w:eastAsia="en-IN" w:bidi="ar-SA"/>
              </w:rPr>
              <w:t>± 0.03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.2341 </w:t>
            </w:r>
            <w:r>
              <w:rPr>
                <w:rFonts w:eastAsia="Calibri" w:cs="Times New Roman" w:ascii="Arial Narrow" w:hAnsi="Arial Narrow"/>
                <w:color w:val="000000"/>
                <w:kern w:val="0"/>
                <w:sz w:val="22"/>
                <w:szCs w:val="22"/>
                <w:lang w:val="en-IN" w:eastAsia="en-IN" w:bidi="ar-SA"/>
              </w:rPr>
              <w:t>± 0.02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6.96***</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MUAC to height ratio (AHtR)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.1509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.1539 </w:t>
            </w:r>
            <w:r>
              <w:rPr>
                <w:rFonts w:eastAsia="Calibri" w:cs="Times New Roman" w:ascii="Arial Narrow" w:hAnsi="Arial Narrow"/>
                <w:color w:val="000000"/>
                <w:kern w:val="0"/>
                <w:sz w:val="22"/>
                <w:szCs w:val="22"/>
                <w:lang w:val="en-IN" w:eastAsia="en-IN" w:bidi="ar-SA"/>
              </w:rPr>
              <w:t>± 0.02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.1443 </w:t>
            </w:r>
            <w:r>
              <w:rPr>
                <w:rFonts w:eastAsia="Calibri" w:cs="Times New Roman" w:ascii="Arial Narrow" w:hAnsi="Arial Narrow"/>
                <w:color w:val="000000"/>
                <w:kern w:val="0"/>
                <w:sz w:val="22"/>
                <w:szCs w:val="22"/>
                <w:lang w:val="en-IN" w:eastAsia="en-IN" w:bidi="ar-SA"/>
              </w:rPr>
              <w:t>± 0.01</w:t>
            </w:r>
          </w:p>
        </w:tc>
        <w:tc>
          <w:tcPr>
            <w:tcW w:w="850" w:type="dxa"/>
            <w:tcBorders>
              <w:left w:val="nil"/>
              <w:bottom w:val="nil"/>
              <w:right w:val="nil"/>
            </w:tcBorders>
            <w:vAlign w:val="center"/>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11.58***</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.1549 </w:t>
            </w:r>
            <w:r>
              <w:rPr>
                <w:rFonts w:eastAsia="Calibri" w:cs="Times New Roman" w:ascii="Arial Narrow" w:hAnsi="Arial Narrow"/>
                <w:color w:val="000000"/>
                <w:kern w:val="0"/>
                <w:sz w:val="22"/>
                <w:szCs w:val="22"/>
                <w:lang w:val="en-IN" w:eastAsia="en-IN" w:bidi="ar-SA"/>
              </w:rPr>
              <w:t>± 0.02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.1506 </w:t>
            </w:r>
            <w:r>
              <w:rPr>
                <w:rFonts w:eastAsia="Calibri" w:cs="Times New Roman" w:ascii="Arial Narrow" w:hAnsi="Arial Narrow"/>
                <w:color w:val="000000"/>
                <w:kern w:val="0"/>
                <w:sz w:val="22"/>
                <w:szCs w:val="22"/>
                <w:lang w:val="en-IN" w:eastAsia="en-IN" w:bidi="ar-SA"/>
              </w:rPr>
              <w:t>± 0.01</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.1397 </w:t>
            </w:r>
            <w:r>
              <w:rPr>
                <w:rFonts w:eastAsia="Calibri" w:cs="Times New Roman" w:ascii="Arial Narrow" w:hAnsi="Arial Narrow"/>
                <w:color w:val="000000"/>
                <w:kern w:val="0"/>
                <w:sz w:val="22"/>
                <w:szCs w:val="22"/>
                <w:lang w:val="en-IN" w:eastAsia="en-IN" w:bidi="ar-SA"/>
              </w:rPr>
              <w:t>± 0.01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34.14***</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Chest to height ratio (CHtR)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.5175 </w:t>
            </w:r>
            <w:r>
              <w:rPr>
                <w:rFonts w:eastAsia="Calibri" w:cs="Times New Roman" w:ascii="Arial Narrow" w:hAnsi="Arial Narrow"/>
                <w:color w:val="000000"/>
                <w:kern w:val="0"/>
                <w:sz w:val="22"/>
                <w:szCs w:val="22"/>
                <w:lang w:val="en-IN" w:eastAsia="en-IN" w:bidi="ar-SA"/>
              </w:rPr>
              <w:t>± 0.05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.5314 </w:t>
            </w:r>
            <w:r>
              <w:rPr>
                <w:rFonts w:eastAsia="Calibri" w:cs="Times New Roman" w:ascii="Arial Narrow" w:hAnsi="Arial Narrow"/>
                <w:color w:val="000000"/>
                <w:kern w:val="0"/>
                <w:sz w:val="22"/>
                <w:szCs w:val="22"/>
                <w:lang w:val="en-IN" w:eastAsia="en-IN" w:bidi="ar-SA"/>
              </w:rPr>
              <w:t>± 0.05</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.5202 </w:t>
            </w:r>
            <w:r>
              <w:rPr>
                <w:rFonts w:eastAsia="Calibri" w:cs="Times New Roman" w:ascii="Arial Narrow" w:hAnsi="Arial Narrow"/>
                <w:color w:val="000000"/>
                <w:kern w:val="0"/>
                <w:sz w:val="22"/>
                <w:szCs w:val="22"/>
                <w:lang w:val="en-IN" w:eastAsia="en-IN" w:bidi="ar-SA"/>
              </w:rPr>
              <w:t>± 0.05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3.99*</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.5275 </w:t>
            </w:r>
            <w:r>
              <w:rPr>
                <w:rFonts w:eastAsia="Calibri" w:cs="Times New Roman" w:ascii="Arial Narrow" w:hAnsi="Arial Narrow"/>
                <w:color w:val="000000"/>
                <w:kern w:val="0"/>
                <w:sz w:val="22"/>
                <w:szCs w:val="22"/>
                <w:lang w:val="en-IN" w:eastAsia="en-IN" w:bidi="ar-SA"/>
              </w:rPr>
              <w:t>± 0.05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.5207 </w:t>
            </w:r>
            <w:r>
              <w:rPr>
                <w:rFonts w:eastAsia="Calibri" w:cs="Times New Roman" w:ascii="Arial Narrow" w:hAnsi="Arial Narrow"/>
                <w:color w:val="000000"/>
                <w:kern w:val="0"/>
                <w:sz w:val="22"/>
                <w:szCs w:val="22"/>
                <w:lang w:val="en-IN" w:eastAsia="en-IN" w:bidi="ar-SA"/>
              </w:rPr>
              <w:t>± 0.04</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.5026 </w:t>
            </w:r>
            <w:r>
              <w:rPr>
                <w:rFonts w:eastAsia="Calibri" w:cs="Times New Roman" w:ascii="Arial Narrow" w:hAnsi="Arial Narrow"/>
                <w:color w:val="000000"/>
                <w:kern w:val="0"/>
                <w:sz w:val="22"/>
                <w:szCs w:val="22"/>
                <w:lang w:val="en-IN" w:eastAsia="en-IN" w:bidi="ar-SA"/>
              </w:rPr>
              <w:t>± 0.04</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9.15***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Thigh to height ratio (THtR)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.2544 </w:t>
            </w:r>
            <w:r>
              <w:rPr>
                <w:rFonts w:eastAsia="Calibri" w:cs="Times New Roman" w:ascii="Arial Narrow" w:hAnsi="Arial Narrow"/>
                <w:color w:val="000000"/>
                <w:kern w:val="0"/>
                <w:sz w:val="22"/>
                <w:szCs w:val="22"/>
                <w:lang w:val="en-IN" w:eastAsia="en-IN" w:bidi="ar-SA"/>
              </w:rPr>
              <w:t>± 0.03</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.2612 </w:t>
            </w:r>
            <w:r>
              <w:rPr>
                <w:rFonts w:eastAsia="Calibri" w:cs="Times New Roman" w:ascii="Arial Narrow" w:hAnsi="Arial Narrow"/>
                <w:color w:val="000000"/>
                <w:kern w:val="0"/>
                <w:sz w:val="22"/>
                <w:szCs w:val="22"/>
                <w:lang w:val="en-IN" w:eastAsia="en-IN" w:bidi="ar-SA"/>
              </w:rPr>
              <w:t>± 0.03</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.2516 </w:t>
            </w:r>
            <w:r>
              <w:rPr>
                <w:rFonts w:eastAsia="Calibri" w:cs="Times New Roman" w:ascii="Arial Narrow" w:hAnsi="Arial Narrow"/>
                <w:color w:val="000000"/>
                <w:kern w:val="0"/>
                <w:sz w:val="22"/>
                <w:szCs w:val="22"/>
                <w:lang w:val="en-IN" w:eastAsia="en-IN" w:bidi="ar-SA"/>
              </w:rPr>
              <w:t>± 0.03</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4.56*</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.2691 </w:t>
            </w:r>
            <w:r>
              <w:rPr>
                <w:rFonts w:eastAsia="Calibri" w:cs="Times New Roman" w:ascii="Arial Narrow" w:hAnsi="Arial Narrow"/>
                <w:color w:val="000000"/>
                <w:kern w:val="0"/>
                <w:sz w:val="22"/>
                <w:szCs w:val="22"/>
                <w:lang w:val="en-IN" w:eastAsia="en-IN" w:bidi="ar-SA"/>
              </w:rPr>
              <w:t>± 0.03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.2653 </w:t>
            </w:r>
            <w:r>
              <w:rPr>
                <w:rFonts w:eastAsia="Calibri" w:cs="Times New Roman" w:ascii="Arial Narrow" w:hAnsi="Arial Narrow"/>
                <w:color w:val="000000"/>
                <w:kern w:val="0"/>
                <w:sz w:val="22"/>
                <w:szCs w:val="22"/>
                <w:lang w:val="en-IN" w:eastAsia="en-IN" w:bidi="ar-SA"/>
              </w:rPr>
              <w:t>± 0.02</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.2524 </w:t>
            </w:r>
            <w:r>
              <w:rPr>
                <w:rFonts w:eastAsia="Calibri" w:cs="Times New Roman" w:ascii="Arial Narrow" w:hAnsi="Arial Narrow"/>
                <w:color w:val="000000"/>
                <w:kern w:val="0"/>
                <w:sz w:val="22"/>
                <w:szCs w:val="22"/>
                <w:lang w:val="en-IN" w:eastAsia="en-IN" w:bidi="ar-SA"/>
              </w:rPr>
              <w:t>± 0.02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17.59***</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Medial calf to height ratio (MCHtR)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.1927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.1964 </w:t>
            </w:r>
            <w:r>
              <w:rPr>
                <w:rFonts w:eastAsia="Calibri" w:cs="Times New Roman" w:ascii="Arial Narrow" w:hAnsi="Arial Narrow"/>
                <w:color w:val="000000"/>
                <w:kern w:val="0"/>
                <w:sz w:val="22"/>
                <w:szCs w:val="22"/>
                <w:lang w:val="en-IN" w:eastAsia="en-IN" w:bidi="ar-SA"/>
              </w:rPr>
              <w:t>± 0.02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.1893 </w:t>
            </w:r>
            <w:r>
              <w:rPr>
                <w:rFonts w:eastAsia="Calibri" w:cs="Times New Roman" w:ascii="Arial Narrow" w:hAnsi="Arial Narrow"/>
                <w:color w:val="000000"/>
                <w:kern w:val="0"/>
                <w:sz w:val="22"/>
                <w:szCs w:val="22"/>
                <w:lang w:val="en-IN" w:eastAsia="en-IN" w:bidi="ar-SA"/>
              </w:rPr>
              <w:t>± 0.02</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5.47**</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.2017 </w:t>
            </w:r>
            <w:r>
              <w:rPr>
                <w:rFonts w:eastAsia="Calibri" w:cs="Times New Roman" w:ascii="Arial Narrow" w:hAnsi="Arial Narrow"/>
                <w:color w:val="000000"/>
                <w:kern w:val="0"/>
                <w:sz w:val="22"/>
                <w:szCs w:val="22"/>
                <w:lang w:val="en-IN" w:eastAsia="en-IN" w:bidi="ar-SA"/>
              </w:rPr>
              <w:t>± 0.02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.1965 </w:t>
            </w:r>
            <w:r>
              <w:rPr>
                <w:rFonts w:eastAsia="Calibri" w:cs="Times New Roman" w:ascii="Arial Narrow" w:hAnsi="Arial Narrow"/>
                <w:color w:val="000000"/>
                <w:kern w:val="0"/>
                <w:sz w:val="22"/>
                <w:szCs w:val="22"/>
                <w:lang w:val="en-IN" w:eastAsia="en-IN" w:bidi="ar-SA"/>
              </w:rPr>
              <w:t>± 0.01</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.1883 </w:t>
            </w:r>
            <w:r>
              <w:rPr>
                <w:rFonts w:eastAsia="Calibri" w:cs="Times New Roman" w:ascii="Arial Narrow" w:hAnsi="Arial Narrow"/>
                <w:color w:val="000000"/>
                <w:kern w:val="0"/>
                <w:sz w:val="22"/>
                <w:szCs w:val="22"/>
                <w:lang w:val="en-IN" w:eastAsia="en-IN" w:bidi="ar-SA"/>
              </w:rPr>
              <w:t>± 0.01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24.25***</w:t>
            </w:r>
          </w:p>
        </w:tc>
      </w:tr>
    </w:tbl>
    <w:p>
      <w:pPr>
        <w:pStyle w:val="Normal"/>
        <w:spacing w:before="0" w:after="60"/>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rPr>
          <w:rFonts w:ascii="Arial Narrow" w:hAnsi="Arial Narrow" w:eastAsia="Calibri" w:cs="Times New Roman"/>
          <w:kern w:val="2"/>
          <w:lang w:val="en-IN"/>
        </w:rPr>
      </w:pPr>
      <w:r>
        <w:rPr>
          <w:rFonts w:eastAsia="Calibri" w:cs="Times New Roman" w:ascii="Arial Narrow" w:hAnsi="Arial Narrow"/>
          <w:kern w:val="2"/>
          <w:vertAlign w:val="superscript"/>
          <w:lang w:val="en-IN"/>
        </w:rPr>
        <w:t>a</w:t>
      </w:r>
      <w:r>
        <w:rPr>
          <w:rFonts w:eastAsia="Calibri" w:cs="Times New Roman" w:ascii="Arial Narrow" w:hAnsi="Arial Narrow"/>
          <w:kern w:val="2"/>
          <w:lang w:val="en-IN"/>
        </w:rPr>
        <w:t xml:space="preserve">One type of undernutrition = Children suffered </w:t>
      </w:r>
      <w:r>
        <w:rPr>
          <w:rFonts w:eastAsia="Times New Roman" w:cs="Times New Roman" w:ascii="Arial Narrow" w:hAnsi="Arial Narrow"/>
          <w:lang w:val="en-IN" w:eastAsia="en-IN"/>
        </w:rPr>
        <w:t>nutritional deficiencies</w:t>
      </w:r>
      <w:r>
        <w:rPr>
          <w:rFonts w:eastAsia="Calibri" w:cs="Times New Roman" w:ascii="Arial Narrow" w:hAnsi="Arial Narrow"/>
          <w:kern w:val="2"/>
          <w:lang w:val="en-IN"/>
        </w:rPr>
        <w:t xml:space="preserve"> either MUAC based or HC based; </w:t>
      </w:r>
      <w:r>
        <w:rPr>
          <w:rFonts w:eastAsia="Calibri" w:cs="Times New Roman" w:ascii="Arial Narrow" w:hAnsi="Arial Narrow"/>
          <w:kern w:val="2"/>
          <w:vertAlign w:val="superscript"/>
          <w:lang w:val="en-IN"/>
        </w:rPr>
        <w:t>b</w:t>
      </w:r>
      <w:r>
        <w:rPr>
          <w:rFonts w:eastAsia="Calibri" w:cs="Times New Roman" w:ascii="Arial Narrow" w:hAnsi="Arial Narrow"/>
          <w:kern w:val="2"/>
          <w:lang w:val="en-IN"/>
        </w:rPr>
        <w:t xml:space="preserve">Dual type of undernutrition = Children suffered in both MUAC and HC based </w:t>
      </w:r>
      <w:r>
        <w:rPr>
          <w:rFonts w:eastAsia="Times New Roman" w:cs="Times New Roman" w:ascii="Arial Narrow" w:hAnsi="Arial Narrow"/>
          <w:lang w:val="en-IN" w:eastAsia="en-IN"/>
        </w:rPr>
        <w:t>nutritional deficiencies</w:t>
      </w:r>
      <w:r>
        <w:rPr>
          <w:rFonts w:eastAsia="Calibri" w:cs="Times New Roman" w:ascii="Arial Narrow" w:hAnsi="Arial Narrow"/>
          <w:kern w:val="2"/>
          <w:lang w:val="en-IN"/>
        </w:rPr>
        <w:t>.</w:t>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rPr>
          <w:rFonts w:ascii="Arial Narrow" w:hAnsi="Arial Narrow" w:eastAsia="Calibri" w:cs="Times New Roman"/>
          <w:kern w:val="2"/>
          <w:lang w:val="en-IN"/>
        </w:rPr>
      </w:pPr>
      <w:r>
        <w:rPr/>
        <w:drawing>
          <wp:inline distT="0" distB="0" distL="0" distR="0">
            <wp:extent cx="5731510" cy="596519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5731510" cy="5965190"/>
                    </a:xfrm>
                    <a:prstGeom prst="rect">
                      <a:avLst/>
                    </a:prstGeom>
                  </pic:spPr>
                </pic:pic>
              </a:graphicData>
            </a:graphic>
          </wp:inline>
        </w:drawing>
      </w:r>
    </w:p>
    <w:p>
      <w:pPr>
        <w:pStyle w:val="Normal"/>
        <w:spacing w:before="0" w:after="0"/>
        <w:rPr>
          <w:rFonts w:ascii="Arial Narrow" w:hAnsi="Arial Narrow" w:eastAsia="Times New Roman" w:cs="Times New Roman"/>
          <w:sz w:val="24"/>
          <w:szCs w:val="24"/>
          <w:lang w:val="en-IN" w:eastAsia="en-IN"/>
        </w:rPr>
      </w:pPr>
      <w:r>
        <w:rPr>
          <w:rFonts w:eastAsia="Calibri" w:cs="Times New Roman" w:ascii="Arial Narrow" w:hAnsi="Arial Narrow"/>
          <w:b/>
          <w:kern w:val="2"/>
          <w:sz w:val="24"/>
          <w:szCs w:val="24"/>
          <w:lang w:val="en-IN"/>
        </w:rPr>
        <w:t>Figure 2.</w:t>
      </w:r>
      <w:r>
        <w:rPr>
          <w:rFonts w:eastAsia="Calibri" w:cs="Times New Roman" w:ascii="Arial Narrow" w:hAnsi="Arial Narrow"/>
          <w:kern w:val="2"/>
          <w:sz w:val="24"/>
          <w:szCs w:val="24"/>
          <w:lang w:val="en-IN"/>
        </w:rPr>
        <w:t xml:space="preserve">  Age and sex wise ROC curve by using twelve types of parameters for predicting growth faltering and </w:t>
      </w:r>
      <w:r>
        <w:rPr>
          <w:rFonts w:eastAsia="Times New Roman" w:cs="Times New Roman" w:ascii="Arial Narrow" w:hAnsi="Arial Narrow"/>
          <w:sz w:val="24"/>
          <w:szCs w:val="24"/>
          <w:lang w:val="en-IN" w:eastAsia="en-IN"/>
        </w:rPr>
        <w:t>nutritional deficiencies</w:t>
      </w:r>
    </w:p>
    <w:p>
      <w:pPr>
        <w:pStyle w:val="Normal"/>
        <w:spacing w:before="0" w:after="0"/>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4. Discussion</w:t>
      </w:r>
    </w:p>
    <w:p>
      <w:pPr>
        <w:pStyle w:val="Normal"/>
        <w:jc w:val="both"/>
        <w:rPr>
          <w:rFonts w:ascii="Arial Narrow" w:hAnsi="Arial Narrow" w:cs="Times New Roman"/>
          <w:sz w:val="24"/>
          <w:szCs w:val="24"/>
          <w:lang w:val="en-US"/>
        </w:rPr>
      </w:pPr>
      <w:r>
        <w:rPr>
          <w:rFonts w:cs="Times New Roman" w:ascii="Arial Narrow" w:hAnsi="Arial Narrow"/>
          <w:sz w:val="24"/>
          <w:szCs w:val="24"/>
          <w:lang w:val="en-US"/>
        </w:rPr>
        <w:t xml:space="preserve">Undernutrition is a significant global issue, causing 3.1 million child deaths annually, 45% of them in children under five years of age </w:t>
      </w:r>
      <w:r>
        <w:rPr>
          <w:rFonts w:eastAsia="Times New Roman" w:cs="Times New Roman" w:ascii="Arial Narrow" w:hAnsi="Arial Narrow"/>
          <w:sz w:val="24"/>
          <w:szCs w:val="24"/>
          <w:lang w:eastAsia="en-IN"/>
        </w:rPr>
        <w:t xml:space="preserve">(UNICEF, 2018). </w:t>
      </w:r>
      <w:r>
        <w:rPr>
          <w:rFonts w:eastAsia="Times New Roman" w:cs="Times New Roman" w:ascii="Arial Narrow" w:hAnsi="Arial Narrow"/>
          <w:sz w:val="24"/>
          <w:szCs w:val="24"/>
          <w:lang w:val="en-IN" w:eastAsia="en-IN"/>
        </w:rPr>
        <w:t xml:space="preserve">A previous study reported that chronic undernutrition in children causes slower cognitive development, major health problems later in life, and reduced life expectancy </w:t>
      </w:r>
      <w:r>
        <w:fldChar w:fldCharType="begin"/>
      </w:r>
      <w:r>
        <w:rPr>
          <w:sz w:val="24"/>
          <w:szCs w:val="24"/>
          <w:rFonts w:eastAsia="Times New Roman" w:cs="Times New Roman" w:ascii="Arial Narrow" w:hAnsi="Arial Narrow"/>
          <w:lang w:val="en-IN" w:eastAsia="en-IN"/>
        </w:rPr>
        <w:instrText xml:space="preserve">ADDIN ZOTERO_ITEM CSL_CITATION {"citationID":"p2A1TgFb","properties":{"formattedCitation":"(Scrimshaw, 1997)","plainCitation":"(Scrimshaw, 1997)","noteIndex":0},"citationItems":[{"id":285,"uris":["http://zotero.org/users/local/hXR51pOC/items/IU9A4NXC"],"itemData":{"id":285,"type":"article-journal","abstract":"Fulfilment of the genetic potential of individuals is impaired by malnutrition and other environmental factors throughout life. The impact of nutritional factors in early childhood helps to explain why the known adult risk factors, demonstrable in populations, are poor predictors of cardiovascular disease in individuals. The combined findings of early and later risk factors strengthen the conclusion that the bulk of so-called degenerative diseases and many other functional impairments in adult life occur because of environmental factors, of which diet may be the most important. The apparent increased susceptibility to degenerative diseases of adults born small-for-date suggests that the increase in meat, fat, and calorie consumption with rising affluence is particularly hazardous for formerly poorly nourished populations. Articles confirming the nutritional origins of a wide range of diseases and disabilities at all ages increasingly predominate in the health-related scientific literature. Recognition that so much disease can be prevented or delayed by improved diet and related lifestyles constitutes a new paradigm applicable to the populations of both developing and industrialized countries.","container-title":"Food and Nutrition Bulletin","DOI":"10.1177/156482659701800101","ISSN":"0379-5721, 1564-8265","issue":"1","journalAbbreviation":"Food Nutr Bull","language":"en","license":"http://journals.sagepub.com/page/policies/text-and-data-mining-license","page":"1-21","source":"DOI.org (Crossref)","title":"Nutrition and Health from Womb to Tomb","URL":"http://journals.sagepub.com/doi/10.1177/156482659701800101","volume":"18","author":[{"family":"Scrimshaw","given":"Nevin S."}],"accessed":{"date-parts":[["2024",5,8]]},"issued":{"date-parts":[["1997",1]]}}}],"schema":"https://github.com/citation-style-language/schema/raw/master/csl-citation.json"}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(Scrimshaw, 1997)</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current study found that boys have higher age-adjusted mean body circumferences than girls, with the exception of thigh circumferences. Differences between the sexes were statistically significant, except for medial calf circumferences. Similarly, a previous study in Midnapore town reported that boys had higher mean HC values than girls </w:t>
      </w:r>
      <w:r>
        <w:fldChar w:fldCharType="begin"/>
      </w:r>
      <w:r>
        <w:rPr>
          <w:sz w:val="24"/>
          <w:szCs w:val="24"/>
          <w:rFonts w:eastAsia="Times New Roman" w:cs="Times New Roman" w:ascii="Arial Narrow" w:hAnsi="Arial Narrow"/>
          <w:lang w:val="en-IN" w:eastAsia="en-IN"/>
        </w:rPr>
        <w:instrText xml:space="preserve">ADDIN ZOTERO_ITEM CSL_CITATION {"citationID":"MNypD15F","properties":{"formattedCitation":"(Maiti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(Maiti et al., 2012)</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Many previous studies reported similar findings </w:t>
      </w:r>
      <w:r>
        <w:fldChar w:fldCharType="begin"/>
      </w:r>
      <w:r>
        <w:rPr>
          <w:sz w:val="24"/>
          <w:szCs w:val="24"/>
          <w:rFonts w:eastAsia="Times New Roman" w:cs="Times New Roman" w:ascii="Arial Narrow" w:hAnsi="Arial Narrow"/>
          <w:lang w:val="en-IN" w:eastAsia="en-IN"/>
        </w:rPr>
        <w:instrText xml:space="preserve">ADDIN ZOTERO_ITEM CSL_CITATION {"citationID":"PMRZ4SzM","properties":{"formattedCitation":"(Mandal GC &amp; Bose K, 2010; Mondal, 2019)","plainCitation":"(Mandal GC &amp; Bose K, 2010; Mondal, 2019)","noteIndex":0},"citationItems":[{"id":265,"uris":["http://zotero.org/users/local/hXR51pOC/items/IM3T2TTJ"],"itemData":{"id":265,"type":"article-journal","container-title":"International Journal of Current Research","journalAbbreviation":"Int J Cur Res","page":"7-11","title":"Undernutrition among the rural preschool children (ICDS) of Arambag, Hooghly district, West Bengal, India, using new head Circumference cut-off points","volume":"10","author":[{"literal":"Mandal GC"},{"literal":"Bose K"}],"issued":{"date-parts":[["2010"]]}}},{"id":263,"uris":["http://zotero.org/users/local/hXR51pOC/items/AS2UJ28J"],"itemData":{"id":263,"type":"article-journal","container-title":"JOURNAL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(Mandal &amp; Bose, 2010; Mondal,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ind w:firstLine="567"/>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The present study observed that all body circumferences increased with increasing child age, but the circumference to height ratios decreased with increasing age. Earlier studies had observed that HC increases with age in both sexes </w:t>
      </w:r>
      <w:r>
        <w:fldChar w:fldCharType="begin"/>
      </w:r>
      <w:r>
        <w:rPr>
          <w:sz w:val="24"/>
          <w:szCs w:val="24"/>
          <w:rFonts w:eastAsia="Times New Roman" w:cs="Times New Roman" w:ascii="Arial Narrow" w:hAnsi="Arial Narrow"/>
          <w:lang w:val="en-IN" w:eastAsia="en-IN"/>
        </w:rPr>
        <w:instrText xml:space="preserve">ADDIN ZOTERO_ITEM CSL_CITATION {"citationID":"Lf4DKOpC","properties":{"formattedCitation":"(Maiti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 xml:space="preserve">(Maiti et al., 2012; </w:t>
      </w:r>
      <w:r>
        <w:fldChar w:fldCharType="begin"/>
      </w:r>
      <w:r>
        <w:rPr>
          <w:sz w:val="24"/>
          <w:kern w:val="2"/>
          <w:rFonts w:eastAsia="Calibri" w:cs="Times New Roman" w:ascii="Arial Narrow" w:hAnsi="Arial Narrow"/>
          <w:lang w:val="en-IN"/>
        </w:rPr>
        <w:instrText xml:space="preserve">ADDIN ZOTERO_ITEM CSL_CITATION {"citationID":"jmBJuUQi","properties":{"formattedCitation":"(Mondal, 2019)","plainCitation":"(Mondal, 2019)","noteIndex":0},"citationItems":[{"id":263,"uris":["http://zotero.org/users/local/hXR51pOC/items/AS2UJ28J"],"itemData":{"id":263,"type":"article-journal","container-title":"JOURNAL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Calibri" w:cs="Times New Roman" w:ascii="Arial Narrow" w:hAnsi="Arial Narrow"/>
          <w:kern w:val="2"/>
          <w:sz w:val="24"/>
          <w:lang w:val="en-IN"/>
        </w:rPr>
      </w:r>
      <w:r>
        <w:rPr>
          <w:sz w:val="24"/>
          <w:kern w:val="2"/>
          <w:rFonts w:eastAsia="Calibri" w:cs="Times New Roman" w:ascii="Arial Narrow" w:hAnsi="Arial Narrow"/>
          <w:lang w:val="en-IN"/>
        </w:rPr>
        <w:fldChar w:fldCharType="separate"/>
      </w:r>
      <w:r>
        <w:rPr>
          <w:rFonts w:eastAsia="Calibri" w:cs="Times New Roman" w:ascii="Arial Narrow" w:hAnsi="Arial Narrow"/>
          <w:kern w:val="2"/>
          <w:sz w:val="24"/>
          <w:lang w:val="en-IN"/>
        </w:rPr>
        <w:t>Mondal, 2019)</w:t>
      </w:r>
      <w:r>
        <w:rPr>
          <w:rFonts w:eastAsia="Calibri" w:cs="Times New Roman" w:ascii="Arial Narrow" w:hAnsi="Arial Narrow"/>
          <w:kern w:val="2"/>
          <w:sz w:val="24"/>
          <w:lang w:val="en-IN"/>
        </w:rPr>
      </w:r>
      <w:r>
        <w:rPr>
          <w:sz w:val="24"/>
          <w:kern w:val="2"/>
          <w:rFonts w:eastAsia="Calibri" w:cs="Times New Roman" w:ascii="Arial Narrow" w:hAnsi="Arial Narrow"/>
          <w:lang w:val="en-IN"/>
        </w:rPr>
        <w:fldChar w:fldCharType="end"/>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and the MUAC value also increases with age </w:t>
      </w:r>
      <w:r>
        <w:fldChar w:fldCharType="begin"/>
      </w:r>
      <w:r>
        <w:rPr>
          <w:sz w:val="24"/>
          <w:szCs w:val="24"/>
          <w:rFonts w:eastAsia="Times New Roman" w:cs="Times New Roman" w:ascii="Arial Narrow" w:hAnsi="Arial Narrow"/>
          <w:lang w:val="en-IN" w:eastAsia="en-IN"/>
        </w:rPr>
        <w:instrText xml:space="preserve">ADDIN ZOTERO_ITEM CSL_CITATION {"citationID":"DI5MMcur","properties":{"formattedCitation":"(Biswas et al., 2010)","plainCitation":"(Biswas et al., 2010)","noteIndex":0},"citationItems":[{"id":273,"uris":["http://zotero.org/users/local/hXR51pOC/items/2F8U5LCJ"],"itemData":{"id":273,"type":"article-journal","abstract":"OBJECTIVE: To investigate age and sex variations in undernutrition using mid-upper arm circumference (MUAC) cut-off values among 2016 (930 boys and 1086 girls). 3-5 years old rural children of Bengalee ethnicity at 66 Integrated Child Development Services (ICDS) Centers of Nadia District, West Bengal, India.\nMETHODS: In a cross sectional study in west Bengal of India, MUAC was measured using standard technique. A total of 2028 children (935 boys and 1093 girls) from 66 ICDS centers were enrolled in this study. The response rate was approximately 95%.\nFINDINGS: Mean MUAC among boys was higher than girls at all ages except 5 years. Significant sex differences were not observed over ages. The age-combined rates of overall (moderate and severe) undernutrition among boys (38.49%) was higher than among girls (32.22%).The age-combined rates of moderate undernutrition were 36.34% and 31.03% among boys and girls, respectively. The rates of severe undernutrition were 2.15% and 1.20% among boys and girls, respectively. There were sex differences in both moderate and severe undernutrition. In general, there was an increasing trend in the rates of overall undernutrition from 3 to 5 years in both sexes.\nCONCLUSION: These children were experiencing severe nutritional stress.","container-title":"Iranian Journal of Pediatrics","ISSN":"2008-2142","issue":"1","journalAbbreviation":"Iran J Pediatr","language":"eng","note":"PMID: 23056684\nPMCID: PMC3446013","page":"63-68","source":"PubMed","title":"Mid-upper Arm Circumference Based Undernutrition among Bengalee Children of Chapra, West Bengal, India","volume":"20","author":[{"family":"Biswas","given":"Sadaruddin"},{"family":"Bose","given":"Kaushik"},{"family":"Mukhopadhyay","given":"Ashish"},{"family":"Bhadra","given":"Mithu"}],"issued":{"date-parts":[["2010",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(Biswas et al., 2010)</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ind w:firstLine="567"/>
        <w:jc w:val="both"/>
        <w:rPr>
          <w:rFonts w:ascii="Arial Narrow" w:hAnsi="Arial Narrow"/>
          <w:color w:val="000000"/>
          <w:sz w:val="24"/>
          <w:szCs w:val="24"/>
          <w:lang w:val="en-US"/>
        </w:rPr>
      </w:pPr>
      <w:r>
        <w:rPr>
          <w:rFonts w:ascii="Arial Narrow" w:hAnsi="Arial Narrow"/>
          <w:color w:val="000000"/>
          <w:sz w:val="24"/>
          <w:szCs w:val="24"/>
          <w:lang w:val="en-US"/>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5. Limitations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The present study, had some limitations, due to its cross-sectional nature and its small sample size in a small geographical region. Therefore, the results cannot be generalized to the entire state or country. The study design was such that it could not reveal any correlation between socioeconomic factors, mortality, morbidity, and undernutrition based on various parameters.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6. Recommendation</w:t>
      </w:r>
    </w:p>
    <w:p>
      <w:pPr>
        <w:pStyle w:val="Normal"/>
        <w:spacing w:before="0" w:after="0"/>
        <w:jc w:val="both"/>
        <w:rPr>
          <w:rFonts w:ascii="Arial Narrow" w:hAnsi="Arial Narrow"/>
          <w:sz w:val="24"/>
          <w:szCs w:val="24"/>
          <w:lang w:val="en-US"/>
        </w:rPr>
      </w:pPr>
      <w:r>
        <w:rPr>
          <w:rFonts w:eastAsia="Times New Roman" w:cs="Times New Roman" w:ascii="Arial Narrow" w:hAnsi="Arial Narrow"/>
          <w:sz w:val="24"/>
          <w:szCs w:val="24"/>
          <w:lang w:val="en-IN" w:eastAsia="en-IN"/>
        </w:rPr>
        <w:t xml:space="preserve">The present study found that undernutrition is a major issue among tribal children and a barrier to their growth and brain development. </w:t>
      </w:r>
      <w:r>
        <w:rPr>
          <w:rFonts w:cs="Times New Roman" w:ascii="Arial Narrow" w:hAnsi="Arial Narrow"/>
          <w:sz w:val="24"/>
          <w:szCs w:val="24"/>
          <w:lang w:val="en-US"/>
        </w:rPr>
        <w:t>In India, two main government schemes, the Integrated Child Development Services (ICDS) and POSHAN Abhiyaan, are currently operating to provide supplementary food for preschool children. So, there is an urgent need for strengthening existing nutrition schemes, a requirement for regular monitoring of growth indicators, a quality assessment of food distribution, and timely interventions to address gaps. Ensuring community participation, capacity building of Anganwadi workers, and introducing digital tools for real-time monitoring can improve accountability and efficiency.</w:t>
      </w:r>
      <w:r>
        <w:rPr>
          <w:rFonts w:eastAsia="Times New Roman" w:cs="Times New Roman" w:ascii="Arial Narrow" w:hAnsi="Arial Narrow"/>
          <w:sz w:val="24"/>
          <w:szCs w:val="24"/>
          <w:lang w:val="en-IN" w:eastAsia="en-IN"/>
        </w:rPr>
        <w:t xml:space="preserve"> Also needed are programs to raise parents’ awareness of their child’s growth and development, nutritional requirements and health. This study also provides cut-off values which can be used in future studies of tribal children. </w:t>
      </w:r>
    </w:p>
    <w:p>
      <w:pPr>
        <w:pStyle w:val="Normal"/>
        <w:spacing w:before="0" w:after="0"/>
        <w:jc w:val="both"/>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r>
    </w:p>
    <w:p>
      <w:pPr>
        <w:pStyle w:val="Normal"/>
        <w:tabs>
          <w:tab w:val="clear" w:pos="720"/>
          <w:tab w:val="left" w:pos="2745" w:leader="none"/>
        </w:tabs>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7. Conclusion</w:t>
        <w:tab/>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rPr>
        <w:t>The present study indicates that head circumference (HC)-based nutritional deficiencies are more prevalent than mid-upper arm circumference (MUAC)-based nutritional deficiencies among tribal preschool children. While low MUAC reflects a high prevalence of undernutrition, low HC indicates inadequate brain growth and development, thereby underscoring the multifaceted impact of malnutrition. The use of circumference-to-height ratios further provides critical insights into the proportional growth and development of children. By comparing twelve anthropometric parameters, MUAC emerged as the most reliable predictor of dual forms of child undernutrition across both sexes.</w:t>
      </w:r>
      <w:r>
        <w:rPr>
          <w:rFonts w:eastAsia="Calibri" w:cs="Times New Roman" w:ascii="Arial Narrow" w:hAnsi="Arial Narrow"/>
          <w:kern w:val="2"/>
          <w:sz w:val="24"/>
          <w:szCs w:val="24"/>
          <w:lang w:val="en-IN"/>
        </w:rPr>
        <w:t xml:space="preserve"> </w:t>
      </w:r>
      <w:r>
        <w:rPr>
          <w:rFonts w:eastAsia="Times New Roman" w:cs="Times New Roman" w:ascii="Arial Narrow" w:hAnsi="Arial Narrow"/>
          <w:sz w:val="24"/>
          <w:szCs w:val="24"/>
          <w:lang w:val="en-IN" w:eastAsia="en-IN"/>
        </w:rPr>
        <w:t xml:space="preserve">It will aid in the early detection of undernutrition among tribal preschool children. </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iCs/>
          <w:sz w:val="24"/>
          <w:szCs w:val="24"/>
          <w:lang w:val="en-IN"/>
        </w:rPr>
        <w:t xml:space="preserve">Acknowledgements:  </w:t>
      </w:r>
      <w:r>
        <w:rPr>
          <w:rFonts w:eastAsia="Times New Roman" w:cs="Times New Roman" w:ascii="Arial Narrow" w:hAnsi="Arial Narrow"/>
          <w:sz w:val="24"/>
          <w:szCs w:val="24"/>
          <w:lang w:val="en-IN" w:eastAsia="en-IN"/>
        </w:rPr>
        <w:t>We gratefully acknowledge the assistance and cooperation of all preschool children who participated in this study. The authors are grateful to the Block Development Officer and Child Development Project Officer of the three blocks studied.</w:t>
      </w:r>
    </w:p>
    <w:p>
      <w:pPr>
        <w:pStyle w:val="Normal"/>
        <w:spacing w:before="0" w:after="0"/>
        <w:jc w:val="both"/>
        <w:rPr>
          <w:rFonts w:ascii="Arial Narrow" w:hAnsi="Arial Narrow" w:eastAsia="Calibri" w:cs="Times New Roman"/>
          <w:b/>
          <w:bCs/>
          <w:iCs/>
          <w:sz w:val="24"/>
          <w:szCs w:val="24"/>
          <w:lang w:val="en-IN"/>
        </w:rPr>
      </w:pPr>
      <w:r>
        <w:rPr>
          <w:rFonts w:eastAsia="Calibri" w:cs="Times New Roman" w:ascii="Arial Narrow" w:hAnsi="Arial Narrow"/>
          <w:b/>
          <w:bCs/>
          <w:iCs/>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iCs/>
          <w:sz w:val="24"/>
          <w:szCs w:val="24"/>
          <w:lang w:val="en-IN"/>
        </w:rPr>
        <w:t xml:space="preserve">Declaration of conflicting Interests:  </w:t>
      </w:r>
      <w:r>
        <w:rPr>
          <w:rFonts w:eastAsia="Times New Roman" w:cs="Times New Roman" w:ascii="Arial Narrow" w:hAnsi="Arial Narrow"/>
          <w:sz w:val="24"/>
          <w:szCs w:val="24"/>
          <w:lang w:val="en-IN" w:eastAsia="en-IN"/>
        </w:rPr>
        <w:t>The authors declare that there is no conflict of interest in publishing this paper.</w:t>
      </w:r>
    </w:p>
    <w:p>
      <w:pPr>
        <w:pStyle w:val="Normal"/>
        <w:spacing w:before="0" w:after="0"/>
        <w:jc w:val="both"/>
        <w:rPr>
          <w:rFonts w:ascii="Arial Narrow" w:hAnsi="Arial Narrow" w:eastAsia="Calibri" w:cs="Times New Roman"/>
          <w:b/>
          <w:iCs/>
          <w:sz w:val="24"/>
          <w:szCs w:val="24"/>
          <w:lang w:val="en-IN"/>
        </w:rPr>
      </w:pPr>
      <w:r>
        <w:rPr>
          <w:rFonts w:eastAsia="Calibri" w:cs="Times New Roman" w:ascii="Arial Narrow" w:hAnsi="Arial Narrow"/>
          <w:b/>
          <w:iCs/>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iCs/>
          <w:sz w:val="24"/>
          <w:szCs w:val="24"/>
          <w:lang w:val="en-IN"/>
        </w:rPr>
        <w:t xml:space="preserve">Ethical approval:  </w:t>
      </w:r>
      <w:r>
        <w:rPr>
          <w:rFonts w:eastAsia="Times New Roman" w:cs="Times New Roman" w:ascii="Arial Narrow" w:hAnsi="Arial Narrow"/>
          <w:sz w:val="24"/>
          <w:szCs w:val="24"/>
          <w:lang w:val="en-IN" w:eastAsia="en-IN"/>
        </w:rPr>
        <w:t>The institutional ethical review board of Vidyasagar University’s Department of Anthropology provided formal ethical approval. Verbal informed consent was obtained from all participants prior to data collection.</w:t>
      </w:r>
    </w:p>
    <w:p>
      <w:pPr>
        <w:pStyle w:val="Normal"/>
        <w:spacing w:before="0" w:after="0"/>
        <w:jc w:val="both"/>
        <w:rPr>
          <w:rFonts w:ascii="Arial Narrow" w:hAnsi="Arial Narrow" w:eastAsia="Calibri" w:cs="Times New Roman"/>
          <w:b/>
          <w:bCs/>
          <w:iCs/>
          <w:color w:val="000000"/>
          <w:sz w:val="24"/>
          <w:szCs w:val="24"/>
          <w:lang w:val="en-IN"/>
        </w:rPr>
      </w:pPr>
      <w:r>
        <w:rPr>
          <w:rFonts w:eastAsia="Calibri" w:cs="Times New Roman" w:ascii="Arial Narrow" w:hAnsi="Arial Narrow"/>
          <w:b/>
          <w:bCs/>
          <w:iCs/>
          <w:color w:val="000000"/>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iCs/>
          <w:color w:val="000000"/>
          <w:sz w:val="24"/>
          <w:szCs w:val="24"/>
          <w:lang w:val="en-IN"/>
        </w:rPr>
        <w:t xml:space="preserve">Author contributions:  </w:t>
      </w:r>
      <w:r>
        <w:rPr>
          <w:rFonts w:eastAsia="Times New Roman" w:cs="Times New Roman" w:ascii="Arial Narrow" w:hAnsi="Arial Narrow"/>
          <w:sz w:val="24"/>
          <w:szCs w:val="24"/>
          <w:lang w:val="en-IN" w:eastAsia="en-IN"/>
        </w:rPr>
        <w:t xml:space="preserve">BM collected the data, analysed the data, prepared the first draft of the manuscript, and formatted the manuscript for submission as well. KB supervised the study and reviewed the manuscript. </w:t>
      </w:r>
    </w:p>
    <w:p>
      <w:pPr>
        <w:pStyle w:val="Normal"/>
        <w:spacing w:before="0" w:after="0"/>
        <w:jc w:val="both"/>
        <w:rPr>
          <w:rFonts w:ascii="Arial Narrow" w:hAnsi="Arial Narrow" w:eastAsia="Calibri" w:cs="Times New Roman"/>
          <w:color w:val="252525"/>
          <w:sz w:val="24"/>
          <w:szCs w:val="24"/>
          <w:lang w:val="en-IN"/>
        </w:rPr>
      </w:pPr>
      <w:r>
        <w:rPr>
          <w:rFonts w:eastAsia="Calibri" w:cs="Times New Roman" w:ascii="Arial Narrow" w:hAnsi="Arial Narrow"/>
          <w:color w:val="252525"/>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color w:val="252525"/>
          <w:sz w:val="24"/>
          <w:szCs w:val="24"/>
          <w:lang w:val="en-IN"/>
        </w:rPr>
        <w:t xml:space="preserve">Funding:  </w:t>
      </w:r>
      <w:r>
        <w:rPr>
          <w:rFonts w:eastAsia="Times New Roman" w:cs="Times New Roman" w:ascii="Arial Narrow" w:hAnsi="Arial Narrow"/>
          <w:sz w:val="24"/>
          <w:szCs w:val="24"/>
          <w:lang w:val="en-IN" w:eastAsia="en-IN"/>
        </w:rPr>
        <w:t>No funds were received for this study.</w:t>
      </w:r>
    </w:p>
    <w:p>
      <w:pPr>
        <w:pStyle w:val="Normal"/>
        <w:spacing w:before="0" w:after="0"/>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p>
    <w:p>
      <w:pPr>
        <w:pStyle w:val="Normal"/>
        <w:spacing w:before="0" w:after="120"/>
        <w:jc w:val="center"/>
        <w:rPr>
          <w:rFonts w:ascii="Arial Narrow" w:hAnsi="Arial Narrow" w:eastAsia="Calibri" w:cs="Times New Roman"/>
          <w:b/>
          <w:bCs/>
          <w:color w:val="000000"/>
          <w:kern w:val="2"/>
          <w:sz w:val="24"/>
          <w:szCs w:val="24"/>
          <w:lang w:val="en-IN"/>
        </w:rPr>
      </w:pPr>
      <w:r>
        <w:rPr>
          <w:rFonts w:eastAsia="Calibri" w:cs="Times New Roman" w:ascii="Arial Narrow" w:hAnsi="Arial Narrow"/>
          <w:b/>
          <w:bCs/>
          <w:color w:val="000000"/>
          <w:kern w:val="2"/>
          <w:sz w:val="24"/>
          <w:szCs w:val="24"/>
          <w:lang w:val="en-IN"/>
        </w:rPr>
        <w:t>References</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Alderman, H., Hentschel, J., &amp; Sabates, R. (2003). With the help of one’s neighbors: Externalities in the production of nutrition in Peru. </w:t>
      </w:r>
      <w:r>
        <w:rPr>
          <w:rFonts w:eastAsia="Calibri" w:cs="Times New Roman" w:ascii="Arial Narrow" w:hAnsi="Arial Narrow"/>
          <w:bCs/>
          <w:i/>
          <w:color w:val="000000"/>
          <w:kern w:val="2"/>
          <w:sz w:val="24"/>
          <w:szCs w:val="24"/>
          <w:lang w:val="en-IN"/>
        </w:rPr>
        <w:t>Social Science &amp; Medicine, 56</w:t>
      </w:r>
      <w:r>
        <w:rPr>
          <w:rFonts w:eastAsia="Calibri" w:cs="Times New Roman" w:ascii="Arial Narrow" w:hAnsi="Arial Narrow"/>
          <w:bCs/>
          <w:color w:val="000000"/>
          <w:kern w:val="2"/>
          <w:sz w:val="24"/>
          <w:szCs w:val="24"/>
          <w:lang w:val="en-IN"/>
        </w:rPr>
        <w:t>(10), 2019-2031. https://doi.org/10.1016/S0277-9536(02)00183-1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Behera, J., Acharya, S. S., &amp; Pal, G. C. (2024). Equity in access to nutrition through ICDS. </w:t>
      </w:r>
      <w:r>
        <w:rPr>
          <w:rFonts w:eastAsia="Calibri" w:cs="Times New Roman" w:ascii="Arial Narrow" w:hAnsi="Arial Narrow"/>
          <w:bCs/>
          <w:i/>
          <w:color w:val="000000"/>
          <w:kern w:val="2"/>
          <w:sz w:val="24"/>
          <w:szCs w:val="24"/>
          <w:lang w:val="en-IN"/>
        </w:rPr>
        <w:t>Journal of Social Inclusion Studies, 10</w:t>
      </w:r>
      <w:r>
        <w:rPr>
          <w:rFonts w:eastAsia="Calibri" w:cs="Times New Roman" w:ascii="Arial Narrow" w:hAnsi="Arial Narrow"/>
          <w:bCs/>
          <w:color w:val="000000"/>
          <w:kern w:val="2"/>
          <w:sz w:val="24"/>
          <w:szCs w:val="24"/>
          <w:lang w:val="en-IN"/>
        </w:rPr>
        <w:t>(1), 7-18. https://doi.org/10.1177/23944811241233716</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Biswas, S., Bose, K., Mukhopadhyay, A., &amp; Bhadra, M. (2010). Mid-upper arm circumference based undernutrition among Bengalee children of Chapra, West Bengal, India. </w:t>
      </w:r>
      <w:r>
        <w:rPr>
          <w:rFonts w:eastAsia="Calibri" w:cs="Times New Roman" w:ascii="Arial Narrow" w:hAnsi="Arial Narrow"/>
          <w:bCs/>
          <w:i/>
          <w:color w:val="000000"/>
          <w:kern w:val="2"/>
          <w:sz w:val="24"/>
          <w:szCs w:val="24"/>
          <w:lang w:val="en-IN"/>
        </w:rPr>
        <w:t>Iranian Journal of Pediatrics, 20</w:t>
      </w:r>
      <w:r>
        <w:rPr>
          <w:rFonts w:eastAsia="Calibri" w:cs="Times New Roman" w:ascii="Arial Narrow" w:hAnsi="Arial Narrow"/>
          <w:bCs/>
          <w:color w:val="000000"/>
          <w:kern w:val="2"/>
          <w:sz w:val="24"/>
          <w:szCs w:val="24"/>
          <w:lang w:val="en-IN"/>
        </w:rPr>
        <w:t>(1), 63-68.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Black, R. E., Victora, C. G., Walker, S. P., Bhutta, Z. A., Christian, P., De Onis, M., … &amp; Uauy, R. (2013). Maternal and child undernutrition and overweight in low-income and middle-income countries. </w:t>
      </w:r>
      <w:r>
        <w:rPr>
          <w:rFonts w:eastAsia="Calibri" w:cs="Times New Roman" w:ascii="Arial Narrow" w:hAnsi="Arial Narrow"/>
          <w:bCs/>
          <w:i/>
          <w:color w:val="000000"/>
          <w:kern w:val="2"/>
          <w:sz w:val="24"/>
          <w:szCs w:val="24"/>
          <w:lang w:val="en-IN"/>
        </w:rPr>
        <w:t>Lancet, 382</w:t>
      </w:r>
      <w:r>
        <w:rPr>
          <w:rFonts w:eastAsia="Calibri" w:cs="Times New Roman" w:ascii="Arial Narrow" w:hAnsi="Arial Narrow"/>
          <w:bCs/>
          <w:color w:val="000000"/>
          <w:kern w:val="2"/>
          <w:sz w:val="24"/>
          <w:szCs w:val="24"/>
          <w:lang w:val="en-IN"/>
        </w:rPr>
        <w:t>(9890), 427-451. https://doi.org/10.1016/S0140-6736(13)60937-X</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Bose, K., Bisai, S., Chakraborty, J., Datta, N., &amp; Banerjee, P. (2008). Extreme levels of underweight and stunting among pre-adolescent children of low socioeconomic class from Madhyamgram and Barasat, West Bengal, India. </w:t>
      </w:r>
      <w:r>
        <w:rPr>
          <w:rFonts w:eastAsia="Calibri" w:cs="Times New Roman" w:ascii="Arial Narrow" w:hAnsi="Arial Narrow"/>
          <w:bCs/>
          <w:i/>
          <w:color w:val="000000"/>
          <w:kern w:val="2"/>
          <w:sz w:val="24"/>
          <w:szCs w:val="24"/>
          <w:lang w:val="en-IN"/>
        </w:rPr>
        <w:t>Collegium Anthropologicum, 32</w:t>
      </w:r>
      <w:r>
        <w:rPr>
          <w:rFonts w:eastAsia="Calibri" w:cs="Times New Roman" w:ascii="Arial Narrow" w:hAnsi="Arial Narrow"/>
          <w:bCs/>
          <w:color w:val="000000"/>
          <w:kern w:val="2"/>
          <w:sz w:val="24"/>
          <w:szCs w:val="24"/>
          <w:lang w:val="en-IN"/>
        </w:rPr>
        <w:t>(1), 73-77.</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Briend, A., &amp; Zimicki, S. (1986). Validation of arm circumference as an indicator of risk of death in one to four year old children. </w:t>
      </w:r>
      <w:r>
        <w:rPr>
          <w:rFonts w:eastAsia="Calibri" w:cs="Times New Roman" w:ascii="Arial Narrow" w:hAnsi="Arial Narrow"/>
          <w:bCs/>
          <w:i/>
          <w:color w:val="000000"/>
          <w:kern w:val="2"/>
          <w:sz w:val="24"/>
          <w:szCs w:val="24"/>
          <w:lang w:val="en-IN"/>
        </w:rPr>
        <w:t>Nutrition Research, 6</w:t>
      </w:r>
      <w:r>
        <w:rPr>
          <w:rFonts w:eastAsia="Calibri" w:cs="Times New Roman" w:ascii="Arial Narrow" w:hAnsi="Arial Narrow"/>
          <w:bCs/>
          <w:color w:val="000000"/>
          <w:kern w:val="2"/>
          <w:sz w:val="24"/>
          <w:szCs w:val="24"/>
          <w:lang w:val="en-IN"/>
        </w:rPr>
        <w:t>(3), 249-261. https://doi.org/10.1016/S0271-5317(86)80129-4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Census of India (2011). Office of the Registrar General &amp; Census Commissioner, India. Ministry of Home Affairs, Government of India. https://censusindia.gov.in/census.website/</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Giri, S. P., Biswas, S., &amp; Bose, K. (2018). Head circumference based nutritional status of rural Bengalee preschool children from Sagar Island, West Bengal, India. </w:t>
      </w:r>
      <w:r>
        <w:rPr>
          <w:rFonts w:eastAsia="Calibri" w:cs="Times New Roman" w:ascii="Arial Narrow" w:hAnsi="Arial Narrow"/>
          <w:bCs/>
          <w:i/>
          <w:color w:val="000000"/>
          <w:kern w:val="2"/>
          <w:sz w:val="24"/>
          <w:szCs w:val="24"/>
          <w:lang w:val="en-IN"/>
        </w:rPr>
        <w:t>Mankind Quarterly, 58</w:t>
      </w:r>
      <w:r>
        <w:rPr>
          <w:rFonts w:eastAsia="Calibri" w:cs="Times New Roman" w:ascii="Arial Narrow" w:hAnsi="Arial Narrow"/>
          <w:bCs/>
          <w:color w:val="000000"/>
          <w:kern w:val="2"/>
          <w:sz w:val="24"/>
          <w:szCs w:val="24"/>
          <w:lang w:val="en-IN"/>
        </w:rPr>
        <w:t>(4), 599-610. https://doi.org/10.46469/mq.2018.58.4.5</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IFPRI (2016). </w:t>
      </w:r>
      <w:r>
        <w:rPr>
          <w:rFonts w:eastAsia="Calibri" w:cs="Times New Roman" w:ascii="Arial Narrow" w:hAnsi="Arial Narrow"/>
          <w:bCs/>
          <w:i/>
          <w:color w:val="000000"/>
          <w:kern w:val="2"/>
          <w:sz w:val="24"/>
          <w:szCs w:val="24"/>
          <w:lang w:val="en-IN"/>
        </w:rPr>
        <w:t>Global Nutrition Report 2016. From promise to impact ending malnutrition by 2030</w:t>
      </w:r>
      <w:r>
        <w:rPr>
          <w:rFonts w:eastAsia="Calibri" w:cs="Times New Roman" w:ascii="Arial Narrow" w:hAnsi="Arial Narrow"/>
          <w:bCs/>
          <w:color w:val="000000"/>
          <w:kern w:val="2"/>
          <w:sz w:val="24"/>
          <w:szCs w:val="24"/>
          <w:lang w:val="en-IN"/>
        </w:rPr>
        <w:t>. International Food Policy Research Institute. https://doi.org/10.2499/9780896295841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Joseph, B., Rebello, A., Kullu, P., &amp; Raj, V. D. (2002). Prevalence of malnutrition in rural Karnataka, South India: A comparison of anthropometric indicators. </w:t>
      </w:r>
      <w:r>
        <w:rPr>
          <w:rFonts w:eastAsia="Calibri" w:cs="Times New Roman" w:ascii="Arial Narrow" w:hAnsi="Arial Narrow"/>
          <w:bCs/>
          <w:i/>
          <w:color w:val="000000"/>
          <w:kern w:val="2"/>
          <w:sz w:val="24"/>
          <w:szCs w:val="24"/>
          <w:lang w:val="en-IN"/>
        </w:rPr>
        <w:t>Journal of Health, Population, and Nutrition, 20</w:t>
      </w:r>
      <w:r>
        <w:rPr>
          <w:rFonts w:eastAsia="Calibri" w:cs="Times New Roman" w:ascii="Arial Narrow" w:hAnsi="Arial Narrow"/>
          <w:bCs/>
          <w:color w:val="000000"/>
          <w:kern w:val="2"/>
          <w:sz w:val="24"/>
          <w:szCs w:val="24"/>
          <w:lang w:val="en-IN"/>
        </w:rPr>
        <w:t>(3), 239-244.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Klanjsek, P., Pajnkihar, M., Marcun Varda, N., &amp; Povalej Brzan, P. (2019). Screening and assessment tools for early detection of malnutrition in hospitalised children: A systematic review of validation studies. </w:t>
      </w:r>
      <w:r>
        <w:rPr>
          <w:rFonts w:eastAsia="Calibri" w:cs="Times New Roman" w:ascii="Arial Narrow" w:hAnsi="Arial Narrow"/>
          <w:bCs/>
          <w:i/>
          <w:color w:val="000000"/>
          <w:kern w:val="2"/>
          <w:sz w:val="24"/>
          <w:szCs w:val="24"/>
          <w:lang w:val="en-IN"/>
        </w:rPr>
        <w:t>BMJ Open, 9</w:t>
      </w:r>
      <w:r>
        <w:rPr>
          <w:rFonts w:eastAsia="Calibri" w:cs="Times New Roman" w:ascii="Arial Narrow" w:hAnsi="Arial Narrow"/>
          <w:bCs/>
          <w:color w:val="000000"/>
          <w:kern w:val="2"/>
          <w:sz w:val="24"/>
          <w:szCs w:val="24"/>
          <w:lang w:val="en-IN"/>
        </w:rPr>
        <w:t>(5), e025444. https://doi.org/10.1136/bmjopen-2018-025444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Lohman, T., Roche, A., &amp; Martorell, R. (1988). </w:t>
      </w:r>
      <w:r>
        <w:rPr>
          <w:rFonts w:eastAsia="Calibri" w:cs="Times New Roman" w:ascii="Arial Narrow" w:hAnsi="Arial Narrow"/>
          <w:bCs/>
          <w:i/>
          <w:color w:val="000000"/>
          <w:kern w:val="2"/>
          <w:sz w:val="24"/>
          <w:szCs w:val="24"/>
          <w:lang w:val="en-IN"/>
        </w:rPr>
        <w:t>Anthropometric Standardization Reference Manual</w:t>
      </w:r>
      <w:r>
        <w:rPr>
          <w:rFonts w:eastAsia="Calibri" w:cs="Times New Roman" w:ascii="Arial Narrow" w:hAnsi="Arial Narrow"/>
          <w:bCs/>
          <w:color w:val="000000"/>
          <w:kern w:val="2"/>
          <w:sz w:val="24"/>
          <w:szCs w:val="24"/>
          <w:lang w:val="en-IN"/>
        </w:rPr>
        <w:t>. Chicago: Human Kinetics Books.</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Mahapatra, B. (2021). </w:t>
      </w:r>
      <w:r>
        <w:rPr>
          <w:rFonts w:eastAsia="Calibri" w:cs="Times New Roman" w:ascii="Arial Narrow" w:hAnsi="Arial Narrow"/>
          <w:bCs/>
          <w:i/>
          <w:color w:val="000000"/>
          <w:kern w:val="2"/>
          <w:sz w:val="24"/>
          <w:szCs w:val="24"/>
          <w:lang w:val="en-IN"/>
        </w:rPr>
        <w:t>Anthropometric assessment of nutritional status of preschool children in Santal and Bhumij tribes of Paschim Medinipur</w:t>
      </w:r>
      <w:r>
        <w:rPr>
          <w:rFonts w:eastAsia="Calibri" w:cs="Times New Roman" w:ascii="Arial Narrow" w:hAnsi="Arial Narrow"/>
          <w:bCs/>
          <w:color w:val="000000"/>
          <w:kern w:val="2"/>
          <w:sz w:val="24"/>
          <w:szCs w:val="24"/>
          <w:lang w:val="en-IN"/>
        </w:rPr>
        <w:t>. Vidyasagar University. http://hdl.handle.net/10603/365990</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Mahapatra, B., Pal, S., Bose, K., &amp; Sahoo, G. (2020). Undernutrition using anthropometric indices among the Bhumij preschool children of West Bengal, India. </w:t>
      </w:r>
      <w:r>
        <w:rPr>
          <w:rFonts w:eastAsia="Calibri" w:cs="Times New Roman" w:ascii="Arial Narrow" w:hAnsi="Arial Narrow"/>
          <w:bCs/>
          <w:i/>
          <w:color w:val="000000"/>
          <w:kern w:val="2"/>
          <w:sz w:val="24"/>
          <w:szCs w:val="24"/>
          <w:lang w:val="en-IN"/>
        </w:rPr>
        <w:t>International Journal of Statistical Sciences, 20</w:t>
      </w:r>
      <w:r>
        <w:rPr>
          <w:rFonts w:eastAsia="Calibri" w:cs="Times New Roman" w:ascii="Arial Narrow" w:hAnsi="Arial Narrow"/>
          <w:bCs/>
          <w:color w:val="000000"/>
          <w:kern w:val="2"/>
          <w:sz w:val="24"/>
          <w:szCs w:val="24"/>
          <w:lang w:val="en-IN"/>
        </w:rPr>
        <w:t>(1), 1-18.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Maiti, S., Ali, K. M., Ghosh, D., &amp; Paul, S. (2012). Assessment of head circumference among pre-school children of Midnapore Town, West Bengal using WHO (2007) recommended cut-off points. </w:t>
      </w:r>
      <w:r>
        <w:rPr>
          <w:rFonts w:eastAsia="Calibri" w:cs="Times New Roman" w:ascii="Arial Narrow" w:hAnsi="Arial Narrow"/>
          <w:bCs/>
          <w:i/>
          <w:color w:val="000000"/>
          <w:kern w:val="2"/>
          <w:sz w:val="24"/>
          <w:szCs w:val="24"/>
          <w:lang w:val="en-IN"/>
        </w:rPr>
        <w:t>International Journal of Preventive Medicine, 3</w:t>
      </w:r>
      <w:r>
        <w:rPr>
          <w:rFonts w:eastAsia="Calibri" w:cs="Times New Roman" w:ascii="Arial Narrow" w:hAnsi="Arial Narrow"/>
          <w:bCs/>
          <w:color w:val="000000"/>
          <w:kern w:val="2"/>
          <w:sz w:val="24"/>
          <w:szCs w:val="24"/>
          <w:lang w:val="en-IN"/>
        </w:rPr>
        <w:t>(10), 742-744.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Mandal, G. C., &amp; Bose, K. (2010). Undernutrition among the rural preschool children (ICDS) of Arambag, Hooghly district, West Bengal, India, using new head circumference cut-off points. </w:t>
      </w:r>
      <w:r>
        <w:rPr>
          <w:rFonts w:eastAsia="Calibri" w:cs="Times New Roman" w:ascii="Arial Narrow" w:hAnsi="Arial Narrow"/>
          <w:bCs/>
          <w:i/>
          <w:color w:val="000000"/>
          <w:kern w:val="2"/>
          <w:sz w:val="24"/>
          <w:szCs w:val="24"/>
          <w:lang w:val="en-IN"/>
        </w:rPr>
        <w:t>International Journal of Current Research, 10,</w:t>
      </w:r>
      <w:r>
        <w:rPr>
          <w:rFonts w:eastAsia="Calibri" w:cs="Times New Roman" w:ascii="Arial Narrow" w:hAnsi="Arial Narrow"/>
          <w:bCs/>
          <w:color w:val="000000"/>
          <w:kern w:val="2"/>
          <w:sz w:val="24"/>
          <w:szCs w:val="24"/>
          <w:lang w:val="en-IN"/>
        </w:rPr>
        <w:t xml:space="preserve"> 7-11.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Mondal, N. (2019). Assessment of undernutrition using head circumference-for-age among Karbi preschool children (&lt;5 years) of Karbi Anglong, Assam (India). </w:t>
      </w:r>
      <w:r>
        <w:rPr>
          <w:rFonts w:eastAsia="Calibri" w:cs="Times New Roman" w:ascii="Arial Narrow" w:hAnsi="Arial Narrow"/>
          <w:bCs/>
          <w:i/>
          <w:color w:val="000000"/>
          <w:kern w:val="2"/>
          <w:sz w:val="24"/>
          <w:szCs w:val="24"/>
          <w:lang w:val="en-IN"/>
        </w:rPr>
        <w:t>Journal of Life Sciences, 11</w:t>
      </w:r>
      <w:r>
        <w:rPr>
          <w:rFonts w:eastAsia="Calibri" w:cs="Times New Roman" w:ascii="Arial Narrow" w:hAnsi="Arial Narrow"/>
          <w:bCs/>
          <w:color w:val="000000"/>
          <w:kern w:val="2"/>
          <w:sz w:val="24"/>
          <w:szCs w:val="24"/>
          <w:lang w:val="en-IN"/>
        </w:rPr>
        <w:t>(1-2). https://doi.org/10.31901/24566306.2019/11.1-2.238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Myatt, M., Khara, T., &amp; Collins, S. (2006). A review of methods to detect cases of severely malnourished children in the community for their admission into community-based therapeutic care programs. </w:t>
      </w:r>
      <w:r>
        <w:rPr>
          <w:rFonts w:eastAsia="Calibri" w:cs="Times New Roman" w:ascii="Arial Narrow" w:hAnsi="Arial Narrow"/>
          <w:bCs/>
          <w:i/>
          <w:color w:val="000000"/>
          <w:kern w:val="2"/>
          <w:sz w:val="24"/>
          <w:szCs w:val="24"/>
          <w:lang w:val="en-IN"/>
        </w:rPr>
        <w:t>Food and Nutrition Bulletin, 27</w:t>
      </w:r>
      <w:r>
        <w:rPr>
          <w:rFonts w:eastAsia="Calibri" w:cs="Times New Roman" w:ascii="Arial Narrow" w:hAnsi="Arial Narrow"/>
          <w:bCs/>
          <w:color w:val="000000"/>
          <w:kern w:val="2"/>
          <w:sz w:val="24"/>
          <w:szCs w:val="24"/>
          <w:lang w:val="en-IN"/>
        </w:rPr>
        <w:t>(3_suppl3), S7-S23. https://doi.org/10.1177/15648265060273S302</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Planning Commission Report (2007). </w:t>
      </w:r>
      <w:r>
        <w:rPr>
          <w:rFonts w:eastAsia="Calibri" w:cs="Times New Roman" w:ascii="Arial Narrow" w:hAnsi="Arial Narrow"/>
          <w:bCs/>
          <w:i/>
          <w:color w:val="000000"/>
          <w:kern w:val="2"/>
          <w:sz w:val="24"/>
          <w:szCs w:val="24"/>
          <w:lang w:val="en-IN"/>
        </w:rPr>
        <w:t>Strategies for under six: A framework for the 11</w:t>
      </w:r>
      <w:r>
        <w:rPr>
          <w:rFonts w:eastAsia="Calibri" w:cs="Times New Roman" w:ascii="Arial Narrow" w:hAnsi="Arial Narrow"/>
          <w:bCs/>
          <w:i/>
          <w:color w:val="000000"/>
          <w:kern w:val="2"/>
          <w:sz w:val="24"/>
          <w:szCs w:val="24"/>
          <w:vertAlign w:val="superscript"/>
          <w:lang w:val="en-IN"/>
        </w:rPr>
        <w:t>th</w:t>
      </w:r>
      <w:r>
        <w:rPr>
          <w:rFonts w:eastAsia="Calibri" w:cs="Times New Roman" w:ascii="Arial Narrow" w:hAnsi="Arial Narrow"/>
          <w:bCs/>
          <w:i/>
          <w:color w:val="000000"/>
          <w:kern w:val="2"/>
          <w:sz w:val="24"/>
          <w:szCs w:val="24"/>
          <w:lang w:val="en-IN"/>
        </w:rPr>
        <w:t xml:space="preserve"> plan</w:t>
      </w:r>
      <w:r>
        <w:rPr>
          <w:rFonts w:eastAsia="Calibri" w:cs="Times New Roman" w:ascii="Arial Narrow" w:hAnsi="Arial Narrow"/>
          <w:bCs/>
          <w:color w:val="000000"/>
          <w:kern w:val="2"/>
          <w:sz w:val="24"/>
          <w:szCs w:val="24"/>
          <w:lang w:val="en-IN"/>
        </w:rPr>
        <w:t>. Government of India.</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Ray, S. K., Biswas, A. B., &amp; Kumar, S. (2000). A study of dietary pattern, household food security and nutritional profile of under-five children of a community of West Bengal. </w:t>
      </w:r>
      <w:r>
        <w:rPr>
          <w:rFonts w:eastAsia="Calibri" w:cs="Times New Roman" w:ascii="Arial Narrow" w:hAnsi="Arial Narrow"/>
          <w:bCs/>
          <w:i/>
          <w:color w:val="000000"/>
          <w:kern w:val="2"/>
          <w:sz w:val="24"/>
          <w:szCs w:val="24"/>
          <w:lang w:val="en-IN"/>
        </w:rPr>
        <w:t>Journal of the Indian Medical Association, 98</w:t>
      </w:r>
      <w:r>
        <w:rPr>
          <w:rFonts w:eastAsia="Calibri" w:cs="Times New Roman" w:ascii="Arial Narrow" w:hAnsi="Arial Narrow"/>
          <w:bCs/>
          <w:color w:val="000000"/>
          <w:kern w:val="2"/>
          <w:sz w:val="24"/>
          <w:szCs w:val="24"/>
          <w:lang w:val="en-IN"/>
        </w:rPr>
        <w:t>(9), 517-523.</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Rumsey, J., &amp; Rapoport, J. (1983). Assessing behavioral and cognitive effects of diet in pediatric populations. </w:t>
      </w:r>
      <w:r>
        <w:rPr>
          <w:rFonts w:eastAsia="Calibri" w:cs="Times New Roman" w:ascii="Arial Narrow" w:hAnsi="Arial Narrow"/>
          <w:bCs/>
          <w:i/>
          <w:color w:val="000000"/>
          <w:kern w:val="2"/>
          <w:sz w:val="24"/>
          <w:szCs w:val="24"/>
          <w:lang w:val="en-IN"/>
        </w:rPr>
        <w:t>Nutrition and the Brain, 6,</w:t>
      </w:r>
      <w:r>
        <w:rPr>
          <w:rFonts w:eastAsia="Calibri" w:cs="Times New Roman" w:ascii="Arial Narrow" w:hAnsi="Arial Narrow"/>
          <w:bCs/>
          <w:color w:val="000000"/>
          <w:kern w:val="2"/>
          <w:sz w:val="24"/>
          <w:szCs w:val="24"/>
          <w:lang w:val="en-IN"/>
        </w:rPr>
        <w:t xml:space="preserve"> 101-161.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Sachdeva, S., Dewan, P., Shah, D., Malhotra, R. K., &amp; Gupta, P. (2016). Mid-upper arm circumference v. weight-for-height Z-score for predicting mortality in hospitalized children under 5 years of age. </w:t>
      </w:r>
      <w:r>
        <w:rPr>
          <w:rFonts w:eastAsia="Calibri" w:cs="Times New Roman" w:ascii="Arial Narrow" w:hAnsi="Arial Narrow"/>
          <w:bCs/>
          <w:i/>
          <w:color w:val="000000"/>
          <w:kern w:val="2"/>
          <w:sz w:val="24"/>
          <w:szCs w:val="24"/>
          <w:lang w:val="en-IN"/>
        </w:rPr>
        <w:t>Public Health Nutrition, 19</w:t>
      </w:r>
      <w:r>
        <w:rPr>
          <w:rFonts w:eastAsia="Calibri" w:cs="Times New Roman" w:ascii="Arial Narrow" w:hAnsi="Arial Narrow"/>
          <w:bCs/>
          <w:color w:val="000000"/>
          <w:kern w:val="2"/>
          <w:sz w:val="24"/>
          <w:szCs w:val="24"/>
          <w:lang w:val="en-IN"/>
        </w:rPr>
        <w:t>(14), 2513-2520. https://doi.org/10.1017/S1368980016000719</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Scrimshaw, N. S. (1997). Nutrition and health from womb to tomb. </w:t>
      </w:r>
      <w:r>
        <w:rPr>
          <w:rFonts w:eastAsia="Calibri" w:cs="Times New Roman" w:ascii="Arial Narrow" w:hAnsi="Arial Narrow"/>
          <w:bCs/>
          <w:i/>
          <w:color w:val="000000"/>
          <w:kern w:val="2"/>
          <w:sz w:val="24"/>
          <w:szCs w:val="24"/>
          <w:lang w:val="en-IN"/>
        </w:rPr>
        <w:t>Food and Nutrition Bulletin, 18</w:t>
      </w:r>
      <w:r>
        <w:rPr>
          <w:rFonts w:eastAsia="Calibri" w:cs="Times New Roman" w:ascii="Arial Narrow" w:hAnsi="Arial Narrow"/>
          <w:bCs/>
          <w:color w:val="000000"/>
          <w:kern w:val="2"/>
          <w:sz w:val="24"/>
          <w:szCs w:val="24"/>
          <w:lang w:val="en-IN"/>
        </w:rPr>
        <w:t>(1), 1-21. https://doi.org/10.1177/156482659701800101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Singh, S., &amp; Bisnoi, I. (2005). Trend of growth in mid-arm circumference and head circumference of pre-school female children of Faizabad district, Uttar Pradesh. </w:t>
      </w:r>
      <w:r>
        <w:rPr>
          <w:rFonts w:eastAsia="Calibri" w:cs="Times New Roman" w:ascii="Arial Narrow" w:hAnsi="Arial Narrow"/>
          <w:bCs/>
          <w:i/>
          <w:color w:val="000000"/>
          <w:kern w:val="2"/>
          <w:sz w:val="24"/>
          <w:szCs w:val="24"/>
          <w:lang w:val="en-IN"/>
        </w:rPr>
        <w:t>Indian Journal of Preventive &amp; Social Medicine, 36,</w:t>
      </w:r>
      <w:r>
        <w:rPr>
          <w:rFonts w:eastAsia="Calibri" w:cs="Times New Roman" w:ascii="Arial Narrow" w:hAnsi="Arial Narrow"/>
          <w:bCs/>
          <w:color w:val="000000"/>
          <w:kern w:val="2"/>
          <w:sz w:val="24"/>
          <w:szCs w:val="24"/>
          <w:lang w:val="en-IN"/>
        </w:rPr>
        <w:t xml:space="preserve"> 143-146.</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Tigga, P., Mondal, N., &amp; Sen, J. (2016). Head circumference as an indicator of undernutrition among tribal preschool children aged 2-5 years of North Bengal, India. </w:t>
      </w:r>
      <w:r>
        <w:rPr>
          <w:rFonts w:eastAsia="Calibri" w:cs="Times New Roman" w:ascii="Arial Narrow" w:hAnsi="Arial Narrow"/>
          <w:bCs/>
          <w:i/>
          <w:color w:val="000000"/>
          <w:kern w:val="2"/>
          <w:sz w:val="24"/>
          <w:szCs w:val="24"/>
          <w:lang w:val="en-IN"/>
        </w:rPr>
        <w:t>Human Biology Review, 5</w:t>
      </w:r>
      <w:r>
        <w:rPr>
          <w:rFonts w:eastAsia="Calibri" w:cs="Times New Roman" w:ascii="Arial Narrow" w:hAnsi="Arial Narrow"/>
          <w:bCs/>
          <w:color w:val="000000"/>
          <w:kern w:val="2"/>
          <w:sz w:val="24"/>
          <w:szCs w:val="24"/>
          <w:lang w:val="en-IN"/>
        </w:rPr>
        <w:t>(1), 17-33.</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Touitou, Y., Portaluppi, F., Smolensky, M. H., &amp; Rensing, L. (2004). Ethical principles and standards for the conduct of human and animal biological rhythm research. </w:t>
      </w:r>
      <w:r>
        <w:rPr>
          <w:rFonts w:eastAsia="Calibri" w:cs="Times New Roman" w:ascii="Arial Narrow" w:hAnsi="Arial Narrow"/>
          <w:bCs/>
          <w:i/>
          <w:color w:val="000000"/>
          <w:kern w:val="2"/>
          <w:sz w:val="24"/>
          <w:szCs w:val="24"/>
          <w:lang w:val="en-IN"/>
        </w:rPr>
        <w:t>Chronobiology International, 21</w:t>
      </w:r>
      <w:r>
        <w:rPr>
          <w:rFonts w:eastAsia="Calibri" w:cs="Times New Roman" w:ascii="Arial Narrow" w:hAnsi="Arial Narrow"/>
          <w:bCs/>
          <w:color w:val="000000"/>
          <w:kern w:val="2"/>
          <w:sz w:val="24"/>
          <w:szCs w:val="24"/>
          <w:lang w:val="en-IN"/>
        </w:rPr>
        <w:t>(1), 161-170. https://doi.org/10.1081/CBI-120030045</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UNICEF (2018). Malnutrition rates remain alarming: Stunting is declining too slowly while wasting still impacts the lives of far too many young children. Retrieved from http://data.unicef.org/topic/nutrition/malnutrition/#.</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UNICEF (2019). </w:t>
      </w:r>
      <w:r>
        <w:rPr>
          <w:rFonts w:eastAsia="Calibri" w:cs="Times New Roman" w:ascii="Arial Narrow" w:hAnsi="Arial Narrow"/>
          <w:bCs/>
          <w:i/>
          <w:color w:val="000000"/>
          <w:kern w:val="2"/>
          <w:sz w:val="24"/>
          <w:szCs w:val="24"/>
          <w:lang w:val="en-IN"/>
        </w:rPr>
        <w:t>UNICEF-The World Bank: Joint child malnutrition estimates – levels and trends – 2019 edition.</w:t>
      </w:r>
      <w:r>
        <w:rPr>
          <w:rFonts w:eastAsia="Calibri" w:cs="Times New Roman" w:ascii="Arial Narrow" w:hAnsi="Arial Narrow"/>
          <w:bCs/>
          <w:color w:val="000000"/>
          <w:kern w:val="2"/>
          <w:sz w:val="24"/>
          <w:szCs w:val="24"/>
          <w:lang w:val="en-IN"/>
        </w:rPr>
        <w:t xml:space="preserve"> UNICEF Data. URL: https://data.unicef.org/resources/jme/.</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WHO (1995). </w:t>
      </w:r>
      <w:r>
        <w:rPr>
          <w:rFonts w:eastAsia="Calibri" w:cs="Times New Roman" w:ascii="Arial Narrow" w:hAnsi="Arial Narrow"/>
          <w:bCs/>
          <w:i/>
          <w:color w:val="000000"/>
          <w:kern w:val="2"/>
          <w:sz w:val="24"/>
          <w:szCs w:val="24"/>
          <w:lang w:val="en-IN"/>
        </w:rPr>
        <w:t>Physical status: The use of and interpretation of anthropometry</w:t>
      </w:r>
      <w:r>
        <w:rPr>
          <w:rFonts w:eastAsia="Calibri" w:cs="Times New Roman" w:ascii="Arial Narrow" w:hAnsi="Arial Narrow"/>
          <w:bCs/>
          <w:color w:val="000000"/>
          <w:kern w:val="2"/>
          <w:sz w:val="24"/>
          <w:szCs w:val="24"/>
          <w:lang w:val="en-IN"/>
        </w:rPr>
        <w:t>. Report of a WHO Expert Committee. Technical Report Series no. 854. Geneva: World Health Organization.</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WHO (2006). </w:t>
      </w:r>
      <w:r>
        <w:rPr>
          <w:rFonts w:eastAsia="Calibri" w:cs="Times New Roman" w:ascii="Arial Narrow" w:hAnsi="Arial Narrow"/>
          <w:bCs/>
          <w:i/>
          <w:color w:val="000000"/>
          <w:kern w:val="2"/>
          <w:sz w:val="24"/>
          <w:szCs w:val="24"/>
          <w:lang w:val="en-IN"/>
        </w:rPr>
        <w:t>Child growth standards. Length/height for age, weight for age, weight for length, weight for height and body mass index for age. Methods and development</w:t>
      </w:r>
      <w:r>
        <w:rPr>
          <w:rFonts w:eastAsia="Calibri" w:cs="Times New Roman" w:ascii="Arial Narrow" w:hAnsi="Arial Narrow"/>
          <w:bCs/>
          <w:color w:val="000000"/>
          <w:kern w:val="2"/>
          <w:sz w:val="24"/>
          <w:szCs w:val="24"/>
          <w:lang w:val="en-IN"/>
        </w:rPr>
        <w:t>. Geneva: World Health Organization.</w:t>
      </w:r>
    </w:p>
    <w:p>
      <w:pPr>
        <w:pStyle w:val="Normal"/>
        <w:spacing w:before="0" w:after="80"/>
        <w:jc w:val="both"/>
        <w:rPr>
          <w:rFonts w:ascii="Calibri" w:hAnsi="Calibri" w:eastAsia="Calibri" w:cs="Times New Roman"/>
          <w:lang w:val="en-US"/>
        </w:rPr>
      </w:pPr>
      <w:r>
        <w:rPr>
          <w:rFonts w:eastAsia="Calibri" w:cs="Times New Roman"/>
          <w:lang w:val="en-US"/>
        </w:rPr>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t>het</w:t>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t>het</w:t>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r>
        <w:br w:type="page"/>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t>het</w:t>
      </w:r>
    </w:p>
    <w:sectPr>
      <w:footerReference w:type="even" r:id="rId4"/>
      <w:footerReference w:type="default" r:id="rId5"/>
      <w:footerReference w:type="first" r:id="rId6"/>
      <w:footnotePr>
        <w:numFmt w:val="decimal"/>
      </w:footnotePr>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Charis SIL">
    <w:charset w:val="01"/>
    <w:family w:val="roman"/>
    <w:pitch w:val="variable"/>
  </w:font>
  <w:font w:name="Times New Roman">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60"/>
        <w:ind w:hanging="170" w:left="170"/>
        <w:rPr>
          <w:rFonts w:ascii="Arial Narrow" w:hAnsi="Arial Narrow"/>
          <w:sz w:val="22"/>
          <w:szCs w:val="22"/>
          <w:lang w:val="en-IN"/>
        </w:rPr>
      </w:pPr>
      <w:r>
        <w:rPr>
          <w:rStyle w:val="FootnoteCharacters"/>
        </w:rPr>
        <w:footnoteRef/>
      </w:r>
      <w:r>
        <w:rPr>
          <w:rFonts w:ascii="Arial Narrow" w:hAnsi="Arial Narrow"/>
          <w:sz w:val="22"/>
          <w:szCs w:val="22"/>
        </w:rPr>
        <w:tab/>
        <w:t xml:space="preserve">  </w:t>
      </w:r>
      <w:r>
        <w:rPr>
          <w:rFonts w:ascii="Arial Narrow" w:hAnsi="Arial Narrow"/>
          <w:sz w:val="22"/>
          <w:szCs w:val="22"/>
          <w:lang w:val="en-IN"/>
        </w:rPr>
        <w:t>Anthropological Survey of India, Central Regional Centre, Nagpur-440006, Maharashtra, India.</w:t>
      </w:r>
    </w:p>
  </w:footnote>
  <w:footnote w:id="3">
    <w:p>
      <w:pPr>
        <w:pStyle w:val="FootnoteText"/>
        <w:spacing w:before="0" w:after="60"/>
        <w:ind w:hanging="170" w:left="170"/>
        <w:rPr>
          <w:rFonts w:ascii="Arial Narrow" w:hAnsi="Arial Narrow"/>
          <w:sz w:val="22"/>
          <w:szCs w:val="22"/>
        </w:rPr>
      </w:pPr>
      <w:r>
        <w:rPr>
          <w:rStyle w:val="FootnoteCharacters"/>
        </w:rPr>
        <w:footnoteRef/>
      </w:r>
      <w:r>
        <w:rPr>
          <w:rFonts w:ascii="Arial Narrow" w:hAnsi="Arial Narrow"/>
          <w:sz w:val="22"/>
          <w:szCs w:val="22"/>
        </w:rPr>
        <w:tab/>
        <w:t xml:space="preserve">  </w:t>
      </w:r>
      <w:r>
        <w:rPr>
          <w:rFonts w:ascii="Arial Narrow" w:hAnsi="Arial Narrow"/>
          <w:iCs/>
          <w:sz w:val="22"/>
          <w:szCs w:val="22"/>
          <w:lang w:val="en-IN"/>
        </w:rPr>
        <w:t>Department of Anthropology, Vidyasagar University, Midnapore-721102, West Bengal, India.</w:t>
      </w:r>
    </w:p>
  </w:footnote>
  <w:footnote w:id="4">
    <w:p>
      <w:pPr>
        <w:pStyle w:val="FootnoteText"/>
        <w:spacing w:before="0" w:after="60"/>
        <w:ind w:hanging="170" w:left="170"/>
        <w:rPr/>
      </w:pPr>
      <w:r>
        <w:rPr>
          <w:rStyle w:val="FootnoteCharacters"/>
        </w:rPr>
        <w:footnoteRef/>
      </w:r>
      <w:r>
        <w:rPr>
          <w:rStyle w:val="FootnoteCharacters"/>
          <w:rFonts w:ascii="Arial Narrow" w:hAnsi="Arial Narrow"/>
          <w:sz w:val="22"/>
          <w:szCs w:val="22"/>
        </w:rPr>
        <w:tab/>
        <w:t>*</w:t>
      </w:r>
      <w:r>
        <w:rPr>
          <w:rFonts w:ascii="Arial Narrow" w:hAnsi="Arial Narrow"/>
          <w:sz w:val="22"/>
          <w:szCs w:val="22"/>
        </w:rPr>
        <w:t xml:space="preserve">  </w:t>
      </w:r>
      <w:r>
        <w:rPr>
          <w:rFonts w:ascii="Arial Narrow" w:hAnsi="Arial Narrow"/>
          <w:bCs/>
          <w:sz w:val="22"/>
          <w:szCs w:val="22"/>
          <w:lang w:val="en-IN"/>
        </w:rPr>
        <w:t xml:space="preserve">Corresponding author: </w:t>
      </w:r>
      <w:r>
        <w:rPr>
          <w:rFonts w:ascii="Arial Narrow" w:hAnsi="Arial Narrow"/>
          <w:sz w:val="22"/>
          <w:szCs w:val="22"/>
          <w:lang w:val="en-IN"/>
        </w:rPr>
        <w:t>Anthropologist (Physical), Anthropological Survey of India, Central Regional Centre, Nagpur-440006, Maharashtra, India</w:t>
      </w:r>
      <w:r>
        <w:rPr>
          <w:rFonts w:ascii="Arial Narrow" w:hAnsi="Arial Narrow"/>
          <w:iCs/>
          <w:sz w:val="22"/>
          <w:szCs w:val="22"/>
          <w:lang w:val="en-IN"/>
        </w:rPr>
        <w:t>. Email:</w:t>
      </w:r>
      <w:r>
        <w:rPr>
          <w:rFonts w:ascii="Arial Narrow" w:hAnsi="Arial Narrow"/>
          <w:sz w:val="22"/>
          <w:szCs w:val="22"/>
          <w:lang w:val="en-IN"/>
        </w:rPr>
        <w:t xml:space="preserve"> </w:t>
      </w:r>
      <w:hyperlink r:id="rId1">
        <w:r>
          <w:rPr>
            <w:rStyle w:val="Hyperlink"/>
            <w:rFonts w:ascii="Arial Narrow" w:hAnsi="Arial Narrow"/>
            <w:sz w:val="22"/>
            <w:szCs w:val="22"/>
            <w:lang w:val="en-IN"/>
          </w:rPr>
          <w:t>biswajitmahapatra20@gmail.com</w:t>
        </w:r>
      </w:hyperlink>
    </w:p>
  </w:footnote>
</w:footnotes>
</file>

<file path=word/settings.xml><?xml version="1.0" encoding="utf-8"?>
<w:settings xmlns:w="http://schemas.openxmlformats.org/wordprocessingml/2006/main">
  <w:zoom w:percent="14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docVars>
    <w:docVar w:name="__Grammarly_42____i" w:val="H4sIAAAAAAAEAKtWckksSQxILCpxzi/NK1GyMqwFAAEhoTITAAAA"/>
    <w:docVar w:name="__Grammarly_42___1" w:val="H4sIAAAAAAAEAKtWcslP9kxRslIyNDa2NDc3MjMysTS2NDU2szBT0lEKTi0uzszPAykwrAUA/W5V0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07056"/>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ef73d2"/>
    <w:rPr>
      <w:b/>
      <w:bCs/>
    </w:rPr>
  </w:style>
  <w:style w:type="character" w:styleId="Emphasis">
    <w:name w:val="Emphasis"/>
    <w:basedOn w:val="DefaultParagraphFont"/>
    <w:uiPriority w:val="20"/>
    <w:qFormat/>
    <w:rsid w:val="00ef73d2"/>
    <w:rPr>
      <w:i/>
      <w:iCs/>
    </w:rPr>
  </w:style>
  <w:style w:type="character" w:styleId="BalloonTextChar" w:customStyle="1">
    <w:name w:val="Balloon Text Char"/>
    <w:basedOn w:val="DefaultParagraphFont"/>
    <w:link w:val="BalloonText"/>
    <w:uiPriority w:val="99"/>
    <w:semiHidden/>
    <w:qFormat/>
    <w:rsid w:val="00ef73d2"/>
    <w:rPr>
      <w:rFonts w:ascii="Tahoma" w:hAnsi="Tahoma" w:cs="Tahoma"/>
      <w:kern w:val="2"/>
      <w:sz w:val="16"/>
      <w:szCs w:val="16"/>
      <w:lang w:val="en-IN"/>
    </w:rPr>
  </w:style>
  <w:style w:type="character" w:styleId="fm-citation-ids-label" w:customStyle="1">
    <w:name w:val="fm-citation-ids-label"/>
    <w:basedOn w:val="DefaultParagraphFont"/>
    <w:qFormat/>
    <w:rsid w:val="00ef73d2"/>
    <w:rPr/>
  </w:style>
  <w:style w:type="character" w:styleId="Hyperlink">
    <w:name w:val="Hyperlink"/>
    <w:basedOn w:val="DefaultParagraphFont"/>
    <w:uiPriority w:val="99"/>
    <w:unhideWhenUsed/>
    <w:rsid w:val="00ef73d2"/>
    <w:rPr>
      <w:color w:val="0000FF"/>
      <w:u w:val="single"/>
    </w:rPr>
  </w:style>
  <w:style w:type="character" w:styleId="A18" w:customStyle="1">
    <w:name w:val="A18"/>
    <w:uiPriority w:val="99"/>
    <w:qFormat/>
    <w:rsid w:val="00ef73d2"/>
    <w:rPr>
      <w:rFonts w:cs="ITC Usherwood Std Book"/>
      <w:color w:val="000000"/>
      <w:sz w:val="10"/>
      <w:szCs w:val="10"/>
    </w:rPr>
  </w:style>
  <w:style w:type="character" w:styleId="element-citation" w:customStyle="1">
    <w:name w:val="element-citation"/>
    <w:basedOn w:val="DefaultParagraphFont"/>
    <w:qFormat/>
    <w:rsid w:val="00ef73d2"/>
    <w:rPr/>
  </w:style>
  <w:style w:type="character" w:styleId="id-label" w:customStyle="1">
    <w:name w:val="id-label"/>
    <w:basedOn w:val="DefaultParagraphFont"/>
    <w:qFormat/>
    <w:rsid w:val="00ef73d2"/>
    <w:rPr/>
  </w:style>
  <w:style w:type="character" w:styleId="HeaderChar" w:customStyle="1">
    <w:name w:val="Header Char"/>
    <w:basedOn w:val="DefaultParagraphFont"/>
    <w:link w:val="Header"/>
    <w:uiPriority w:val="99"/>
    <w:qFormat/>
    <w:rsid w:val="00ef73d2"/>
    <w:rPr>
      <w:kern w:val="2"/>
      <w:lang w:val="en-IN"/>
    </w:rPr>
  </w:style>
  <w:style w:type="character" w:styleId="FooterChar" w:customStyle="1">
    <w:name w:val="Footer Char"/>
    <w:basedOn w:val="DefaultParagraphFont"/>
    <w:link w:val="Footer"/>
    <w:uiPriority w:val="99"/>
    <w:qFormat/>
    <w:rsid w:val="00ef73d2"/>
    <w:rPr>
      <w:kern w:val="2"/>
      <w:lang w:val="en-IN"/>
    </w:rPr>
  </w:style>
  <w:style w:type="character" w:styleId="LineNumber">
    <w:name w:val="Line Number"/>
    <w:basedOn w:val="DefaultParagraphFont"/>
    <w:uiPriority w:val="99"/>
    <w:semiHidden/>
    <w:unhideWhenUsed/>
    <w:rsid w:val="00ef73d2"/>
    <w:rPr/>
  </w:style>
  <w:style w:type="character" w:styleId="annotationreference">
    <w:name w:val="annotation reference"/>
    <w:basedOn w:val="DefaultParagraphFont"/>
    <w:uiPriority w:val="99"/>
    <w:semiHidden/>
    <w:unhideWhenUsed/>
    <w:qFormat/>
    <w:rsid w:val="00ef73d2"/>
    <w:rPr>
      <w:sz w:val="16"/>
      <w:szCs w:val="16"/>
    </w:rPr>
  </w:style>
  <w:style w:type="character" w:styleId="CommentTextChar" w:customStyle="1">
    <w:name w:val="Comment Text Char"/>
    <w:basedOn w:val="DefaultParagraphFont"/>
    <w:link w:val="AnnotationText"/>
    <w:uiPriority w:val="99"/>
    <w:semiHidden/>
    <w:qFormat/>
    <w:rsid w:val="00ef73d2"/>
    <w:rPr>
      <w:kern w:val="2"/>
      <w:sz w:val="20"/>
      <w:szCs w:val="20"/>
      <w:lang w:val="en-IN"/>
    </w:rPr>
  </w:style>
  <w:style w:type="character" w:styleId="CommentSubjectChar" w:customStyle="1">
    <w:name w:val="Comment Subject Char"/>
    <w:basedOn w:val="CommentTextChar"/>
    <w:link w:val="annotationsubject"/>
    <w:uiPriority w:val="99"/>
    <w:semiHidden/>
    <w:qFormat/>
    <w:rsid w:val="00ef73d2"/>
    <w:rPr>
      <w:b/>
      <w:bCs/>
      <w:kern w:val="2"/>
      <w:sz w:val="20"/>
      <w:szCs w:val="20"/>
      <w:lang w:val="en-IN"/>
    </w:rPr>
  </w:style>
  <w:style w:type="character" w:styleId="UnresolvedMention1" w:customStyle="1">
    <w:name w:val="Unresolved Mention1"/>
    <w:basedOn w:val="DefaultParagraphFont"/>
    <w:uiPriority w:val="99"/>
    <w:semiHidden/>
    <w:unhideWhenUsed/>
    <w:qFormat/>
    <w:rsid w:val="003818a5"/>
    <w:rPr>
      <w:color w:val="605E5C"/>
      <w:shd w:fill="E1DFDD" w:val="clear"/>
    </w:rPr>
  </w:style>
  <w:style w:type="character" w:styleId="FootnoteTextChar" w:customStyle="1">
    <w:name w:val="Footnote Text Char"/>
    <w:basedOn w:val="DefaultParagraphFont"/>
    <w:link w:val="FootnoteText"/>
    <w:uiPriority w:val="99"/>
    <w:semiHidden/>
    <w:qFormat/>
    <w:rsid w:val="006c538c"/>
    <w:rPr>
      <w:sz w:val="20"/>
      <w:szCs w:val="20"/>
      <w:lang w:val="en-GB"/>
    </w:rPr>
  </w:style>
  <w:style w:type="character" w:styleId="FootnoteCharacters">
    <w:name w:val="Footnote Characters"/>
    <w:uiPriority w:val="99"/>
    <w:semiHidden/>
    <w:unhideWhenUsed/>
    <w:qFormat/>
    <w:rsid w:val="006c538c"/>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efault" w:customStyle="1">
    <w:name w:val="Default"/>
    <w:qFormat/>
    <w:rsid w:val="00ef73d2"/>
    <w:pPr>
      <w:widowControl/>
      <w:suppressAutoHyphens w:val="true"/>
      <w:bidi w:val="0"/>
      <w:spacing w:lineRule="auto" w:line="240" w:before="0" w:after="0"/>
      <w:jc w:val="left"/>
    </w:pPr>
    <w:rPr>
      <w:rFonts w:ascii="Charis SIL" w:hAnsi="Charis SIL" w:eastAsia="Calibri" w:cs="Charis SIL"/>
      <w:color w:val="000000"/>
      <w:kern w:val="0"/>
      <w:sz w:val="24"/>
      <w:szCs w:val="24"/>
      <w:lang w:val="en-IN" w:eastAsia="en-US" w:bidi="ar-SA"/>
    </w:rPr>
  </w:style>
  <w:style w:type="paragraph" w:styleId="root-block-node" w:customStyle="1">
    <w:name w:val="root-block-node"/>
    <w:basedOn w:val="Normal"/>
    <w:qFormat/>
    <w:rsid w:val="00ef73d2"/>
    <w:pPr>
      <w:spacing w:lineRule="auto" w:line="240" w:beforeAutospacing="1" w:afterAutospacing="1"/>
    </w:pPr>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qFormat/>
    <w:rsid w:val="00ef73d2"/>
    <w:pPr>
      <w:spacing w:lineRule="auto" w:line="240" w:before="0" w:after="0"/>
    </w:pPr>
    <w:rPr>
      <w:rFonts w:ascii="Tahoma" w:hAnsi="Tahoma" w:cs="Tahoma"/>
      <w:kern w:val="2"/>
      <w:sz w:val="16"/>
      <w:szCs w:val="16"/>
      <w:lang w:val="en-IN"/>
    </w:rPr>
  </w:style>
  <w:style w:type="paragraph" w:styleId="NormalWeb">
    <w:name w:val="Normal (Web)"/>
    <w:basedOn w:val="Normal"/>
    <w:uiPriority w:val="99"/>
    <w:unhideWhenUsed/>
    <w:qFormat/>
    <w:rsid w:val="00ef73d2"/>
    <w:pPr>
      <w:spacing w:lineRule="auto" w:line="240" w:beforeAutospacing="1" w:afterAutospacing="1"/>
    </w:pPr>
    <w:rPr>
      <w:rFonts w:ascii="Times New Roman" w:hAnsi="Times New Roman" w:eastAsia="Times New Roman" w:cs="Times New Roman"/>
      <w:sz w:val="24"/>
      <w:szCs w:val="24"/>
      <w:lang w:val="en-IN"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Footer">
    <w:name w:val="Footer"/>
    <w:basedOn w:val="Normal"/>
    <w:link w:val="Foot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Bibliography">
    <w:name w:val="Bibliography"/>
    <w:basedOn w:val="Normal"/>
    <w:next w:val="Normal"/>
    <w:uiPriority w:val="37"/>
    <w:unhideWhenUsed/>
    <w:qFormat/>
    <w:rsid w:val="00ef73d2"/>
    <w:pPr>
      <w:spacing w:lineRule="auto" w:line="480" w:before="0" w:after="0"/>
      <w:ind w:hanging="720" w:left="720"/>
    </w:pPr>
    <w:rPr>
      <w:kern w:val="2"/>
      <w:lang w:val="en-IN"/>
    </w:rPr>
  </w:style>
  <w:style w:type="paragraph" w:styleId="NoSpacing1" w:customStyle="1">
    <w:name w:val="No Spacing1"/>
    <w:next w:val="NoSpacing"/>
    <w:uiPriority w:val="1"/>
    <w:qFormat/>
    <w:rsid w:val="00ef73d2"/>
    <w:pPr>
      <w:widowControl/>
      <w:suppressAutoHyphens w:val="true"/>
      <w:bidi w:val="0"/>
      <w:spacing w:lineRule="auto" w:line="240" w:before="0" w:after="0"/>
      <w:jc w:val="left"/>
    </w:pPr>
    <w:rPr>
      <w:rFonts w:ascii="Calibri" w:hAnsi="Calibri" w:eastAsia="Times New Roman" w:cs="" w:asciiTheme="minorHAnsi" w:cstheme="minorBidi" w:hAnsiTheme="minorHAnsi"/>
      <w:color w:val="auto"/>
      <w:kern w:val="0"/>
      <w:sz w:val="22"/>
      <w:szCs w:val="22"/>
      <w:lang w:val="en-IN" w:eastAsia="en-IN" w:bidi="ar-SA"/>
    </w:rPr>
  </w:style>
  <w:style w:type="paragraph" w:styleId="ListParagraph">
    <w:name w:val="List Paragraph"/>
    <w:basedOn w:val="Normal"/>
    <w:uiPriority w:val="34"/>
    <w:qFormat/>
    <w:rsid w:val="00ef73d2"/>
    <w:pPr>
      <w:spacing w:before="0" w:after="160"/>
      <w:ind w:left="720"/>
      <w:contextualSpacing/>
    </w:pPr>
    <w:rPr>
      <w:kern w:val="2"/>
      <w:lang w:val="en-IN"/>
    </w:rPr>
  </w:style>
  <w:style w:type="paragraph" w:styleId="AnnotationText">
    <w:name w:val="Annotation Text"/>
    <w:basedOn w:val="Normal"/>
    <w:link w:val="CommentTextChar"/>
    <w:uiPriority w:val="99"/>
    <w:semiHidden/>
    <w:unhideWhenUsed/>
    <w:rsid w:val="00ef73d2"/>
    <w:pPr>
      <w:spacing w:lineRule="auto" w:line="240"/>
    </w:pPr>
    <w:rPr>
      <w:kern w:val="2"/>
      <w:sz w:val="20"/>
      <w:szCs w:val="20"/>
      <w:lang w:val="en-IN"/>
    </w:rPr>
  </w:style>
  <w:style w:type="paragraph" w:styleId="annotationsubject">
    <w:name w:val="annotation subject"/>
    <w:basedOn w:val="AnnotationText"/>
    <w:next w:val="AnnotationText"/>
    <w:link w:val="CommentSubjectChar"/>
    <w:uiPriority w:val="99"/>
    <w:semiHidden/>
    <w:unhideWhenUsed/>
    <w:qFormat/>
    <w:rsid w:val="00ef73d2"/>
    <w:pPr/>
    <w:rPr>
      <w:b/>
      <w:bCs/>
    </w:rPr>
  </w:style>
  <w:style w:type="paragraph" w:styleId="NoSpacing">
    <w:name w:val="No Spacing"/>
    <w:uiPriority w:val="1"/>
    <w:qFormat/>
    <w:rsid w:val="00ef73d2"/>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Revision">
    <w:name w:val="Revision"/>
    <w:uiPriority w:val="99"/>
    <w:semiHidden/>
    <w:qFormat/>
    <w:rsid w:val="00f01d1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FootnoteText">
    <w:name w:val="Footnote Text"/>
    <w:basedOn w:val="Normal"/>
    <w:link w:val="FootnoteTextChar"/>
    <w:uiPriority w:val="99"/>
    <w:semiHidden/>
    <w:unhideWhenUsed/>
    <w:rsid w:val="006c538c"/>
    <w:pPr>
      <w:spacing w:lineRule="auto" w:line="240" w:before="0" w:after="0"/>
    </w:pPr>
    <w:rPr>
      <w:sz w:val="20"/>
      <w:szCs w:val="20"/>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ef73d2"/>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ef73d2"/>
    <w:pPr>
      <w:spacing w:after="0" w:line="240" w:lineRule="auto"/>
    </w:pPr>
    <w:rPr>
      <w:lang w:val="en-IN" w:eastAsia="en-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ef73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mailto:biswajitmahapatra20@gmail.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BBA74-643A-46EE-91D7-B88C28B3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21</Pages>
  <Words>3852</Words>
  <Characters>22164</Characters>
  <CharactersWithSpaces>25704</CharactersWithSpaces>
  <Paragraphs>454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2025-08-30T05:32:00Z</dcterms:created>
  <dc:creator>Dr.Meisenberg</dc:creator>
  <dc:description/>
  <dc:language>en-AU</dc:language>
  <cp:lastModifiedBy/>
  <cp:lastPrinted>2025-11-03T06:10:59Z</cp:lastPrinted>
  <dcterms:modified xsi:type="dcterms:W3CDTF">2025-11-03T09:21:45Z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