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sz w:val="4"/>
          <w:szCs w:val="4"/>
        </w:rPr>
      </w:pPr>
      <w:r>
        <w:rPr>
          <w:rFonts w:eastAsia="Times New Roman" w:cs="Times New Roman" w:ascii="Arial Narrow" w:hAnsi="Arial Narrow"/>
          <w:b/>
          <w:bCs/>
          <w:sz w:val="4"/>
          <w:szCs w:val="4"/>
          <w:lang w:val="en-US" w:eastAsia="en-IN"/>
        </w:rPr>
        <w:t xml:space="preserve">Growth and Nutritional Status of Tribal Preschool Children: An Assessment Based on Body Circumferences </w:t>
      </w:r>
    </w:p>
    <w:p>
      <w:pPr>
        <w:pStyle w:val="Normal"/>
        <w:spacing w:before="0" w:after="0"/>
        <w:jc w:val="center"/>
        <w:rPr>
          <w:rFonts w:ascii="Arial Narrow" w:hAnsi="Arial Narrow" w:eastAsia="Times New Roman" w:cs="Times New Roman"/>
          <w:b/>
          <w:bCs/>
          <w:sz w:val="4"/>
          <w:szCs w:val="4"/>
          <w:lang w:val="en-US" w:eastAsia="en-IN"/>
        </w:rPr>
      </w:pPr>
      <w:r>
        <w:rPr>
          <w:rFonts w:eastAsia="Times New Roman" w:cs="Times New Roman" w:ascii="Arial Narrow" w:hAnsi="Arial Narrow"/>
          <w:b/>
          <w:bCs/>
          <w:sz w:val="4"/>
          <w:szCs w:val="4"/>
          <w:lang w:val="en-US" w:eastAsia="en-IN"/>
        </w:rPr>
      </w:r>
    </w:p>
    <w:p>
      <w:pPr>
        <w:pStyle w:val="Normal"/>
        <w:spacing w:before="0" w:after="0"/>
        <w:jc w:val="center"/>
        <w:rPr>
          <w:sz w:val="4"/>
          <w:szCs w:val="4"/>
        </w:rPr>
      </w:pPr>
      <w:r>
        <w:rPr>
          <w:rFonts w:eastAsia="Calibri" w:cs="Times New Roman" w:ascii="Arial Narrow" w:hAnsi="Arial Narrow"/>
          <w:iCs/>
          <w:sz w:val="4"/>
          <w:szCs w:val="4"/>
          <w:lang w:val="en-IN"/>
        </w:rPr>
        <w:t xml:space="preserve">Biswajit </w:t>
      </w:r>
      <w:r>
        <w:rPr>
          <w:rFonts w:eastAsia="Times New Roman" w:cs="Times New Roman" w:ascii="Arial Narrow" w:hAnsi="Arial Narrow"/>
          <w:iCs/>
          <w:sz w:val="4"/>
          <w:szCs w:val="4"/>
          <w:lang w:val="en-IN"/>
        </w:rPr>
        <w:t>Mahapatra</w:t>
      </w:r>
      <w:r>
        <w:rPr>
          <w:rStyle w:val="FootnoteReference"/>
          <w:rFonts w:eastAsia="Times New Roman" w:cs="Times New Roman" w:ascii="Arial Narrow" w:hAnsi="Arial Narrow"/>
          <w:iCs/>
          <w:sz w:val="4"/>
          <w:szCs w:val="4"/>
          <w:lang w:val="en-IN"/>
        </w:rPr>
        <w:footnoteReference w:id="2"/>
      </w:r>
      <w:r>
        <w:rPr>
          <w:rFonts w:eastAsia="Times New Roman" w:cs="Times New Roman" w:ascii="Arial Narrow" w:hAnsi="Arial Narrow"/>
          <w:iCs/>
          <w:sz w:val="4"/>
          <w:szCs w:val="4"/>
          <w:vertAlign w:val="superscript"/>
          <w:lang w:val="en-IN"/>
        </w:rPr>
        <w:t xml:space="preserve">* </w:t>
      </w:r>
      <w:r>
        <w:rPr>
          <w:rFonts w:eastAsia="Times New Roman" w:cs="Times New Roman" w:ascii="Arial Narrow" w:hAnsi="Arial Narrow"/>
          <w:iCs/>
          <w:sz w:val="4"/>
          <w:szCs w:val="4"/>
          <w:lang w:val="en-IN"/>
        </w:rPr>
        <w:t xml:space="preserve">                     Kaushik Bose</w:t>
      </w:r>
      <w:r>
        <w:rPr>
          <w:rStyle w:val="FootnoteReference"/>
          <w:rFonts w:eastAsia="Times New Roman" w:cs="Times New Roman" w:ascii="Arial Narrow" w:hAnsi="Arial Narrow"/>
          <w:iCs/>
          <w:sz w:val="4"/>
          <w:szCs w:val="4"/>
          <w:lang w:val="en-IN"/>
        </w:rPr>
        <w:footnoteReference w:id="3"/>
      </w:r>
    </w:p>
    <w:p>
      <w:pPr>
        <w:pStyle w:val="Normal"/>
        <w:spacing w:before="0" w:after="0"/>
        <w:jc w:val="both"/>
        <w:rPr>
          <w:sz w:val="4"/>
          <w:szCs w:val="4"/>
        </w:rPr>
      </w:pPr>
      <w:r>
        <w:rPr>
          <w:rStyle w:val="FootnoteReference"/>
          <w:sz w:val="4"/>
          <w:szCs w:val="4"/>
        </w:rPr>
        <w:footnoteReference w:id="4"/>
      </w:r>
    </w:p>
    <w:p>
      <w:pPr>
        <w:pStyle w:val="Normal"/>
        <w:spacing w:before="0" w:after="0"/>
        <w:rPr>
          <w:sz w:val="4"/>
          <w:szCs w:val="4"/>
        </w:rPr>
      </w:pPr>
      <w:r>
        <w:rPr>
          <w:rFonts w:eastAsia="Times New Roman" w:cs="Times New Roman" w:ascii="Arial Narrow" w:hAnsi="Arial Narrow"/>
          <w:b/>
          <w:bCs/>
          <w:sz w:val="4"/>
          <w:szCs w:val="4"/>
          <w:lang w:val="en-US" w:eastAsia="en-IN"/>
        </w:rPr>
        <w:t>______________________________________________________________________</w:t>
      </w:r>
    </w:p>
    <w:p>
      <w:pPr>
        <w:pStyle w:val="Normal"/>
        <w:spacing w:before="0" w:after="0"/>
        <w:jc w:val="center"/>
        <w:rPr>
          <w:rFonts w:ascii="Arial Narrow" w:hAnsi="Arial Narrow" w:eastAsia="Calibri" w:cs="Times New Roman"/>
          <w:b/>
          <w:bCs/>
          <w:kern w:val="2"/>
          <w:sz w:val="4"/>
          <w:szCs w:val="4"/>
          <w:lang w:val="en-US"/>
        </w:rPr>
      </w:pPr>
      <w:r>
        <w:rPr>
          <w:rFonts w:eastAsia="Calibri" w:cs="Times New Roman" w:ascii="Arial Narrow" w:hAnsi="Arial Narrow"/>
          <w:b/>
          <w:bCs/>
          <w:kern w:val="2"/>
          <w:sz w:val="4"/>
          <w:szCs w:val="4"/>
          <w:lang w:val="en-US"/>
        </w:rPr>
      </w:r>
    </w:p>
    <w:p>
      <w:pPr>
        <w:pStyle w:val="Normal"/>
        <w:jc w:val="center"/>
        <w:rPr>
          <w:sz w:val="4"/>
          <w:szCs w:val="4"/>
        </w:rPr>
      </w:pPr>
      <w:r>
        <w:rPr>
          <w:rFonts w:eastAsia="Calibri" w:cs="Times New Roman" w:ascii="Arial Narrow" w:hAnsi="Arial Narrow"/>
          <w:b/>
          <w:bCs/>
          <w:kern w:val="2"/>
          <w:sz w:val="4"/>
          <w:szCs w:val="4"/>
          <w:lang w:val="en-US"/>
        </w:rPr>
        <w:t>Abstract</w:t>
      </w:r>
    </w:p>
    <w:p>
      <w:pPr>
        <w:pStyle w:val="Normal"/>
        <w:jc w:val="both"/>
        <w:rPr>
          <w:sz w:val="4"/>
          <w:szCs w:val="4"/>
        </w:rPr>
      </w:pPr>
      <w:r>
        <w:rPr>
          <w:rFonts w:eastAsia="Times New Roman" w:cs="Times New Roman" w:ascii="Arial Narrow" w:hAnsi="Arial Narrow"/>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rPr>
        <w:t>.</w:t>
      </w:r>
    </w:p>
    <w:p>
      <w:pPr>
        <w:pStyle w:val="Normal"/>
        <w:shd w:val="clear" w:color="auto" w:fill="FFFFFF"/>
        <w:spacing w:before="180" w:after="0"/>
        <w:rPr>
          <w:sz w:val="4"/>
          <w:szCs w:val="4"/>
        </w:rPr>
      </w:pPr>
      <w:r>
        <w:rPr>
          <w:rFonts w:eastAsia="Calibri" w:cs="Times New Roman" w:ascii="Arial Narrow" w:hAnsi="Arial Narrow"/>
          <w:b/>
          <w:kern w:val="2"/>
          <w:sz w:val="4"/>
          <w:szCs w:val="4"/>
          <w:lang w:val="en-IN"/>
        </w:rPr>
        <w:t>Keywords:</w:t>
      </w:r>
      <w:r>
        <w:rPr>
          <w:rFonts w:eastAsia="Calibri" w:cs="Times New Roman" w:ascii="Arial Narrow" w:hAnsi="Arial Narrow"/>
          <w:kern w:val="2"/>
          <w:sz w:val="4"/>
          <w:szCs w:val="4"/>
          <w:lang w:val="en-IN"/>
        </w:rPr>
        <w:t xml:space="preserve">  Tribal nutrition, Preschool children, Growth, Nutrition, Body circumferences, Anthropometry</w:t>
      </w:r>
    </w:p>
    <w:p>
      <w:pPr>
        <w:pStyle w:val="Normal"/>
        <w:jc w:val="both"/>
        <w:rPr>
          <w:sz w:val="4"/>
          <w:szCs w:val="4"/>
        </w:rPr>
      </w:pP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r>
        <w:rPr>
          <w:rFonts w:eastAsia="Times New Roman" w:cs="Times New Roman" w:ascii="Arial Narrow" w:hAnsi="Arial Narrow"/>
          <w:kern w:val="2"/>
          <w:sz w:val="4"/>
          <w:szCs w:val="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4"/>
          <w:szCs w:val="4"/>
          <w:lang w:val="en-IN"/>
        </w:rPr>
        <w:t>Undernutrition was assessed using WHO standard reference values of age and sex specific HC and MUAC z scores (&lt;</w:t>
      </w:r>
      <w:r>
        <w:rPr>
          <w:rFonts w:eastAsia="Calibri" w:cs="Times New Roman" w:ascii="Arial Narrow" w:hAnsi="Arial Narrow"/>
          <w:kern w:val="2"/>
          <w:sz w:val="4"/>
          <w:szCs w:val="4"/>
          <w:vertAlign w:val="subscript"/>
          <w:lang w:val="en-IN"/>
        </w:rPr>
        <w:t xml:space="preserve"> </w:t>
      </w:r>
      <w:r>
        <w:rPr>
          <w:rFonts w:eastAsia="Calibri" w:cs="Times New Roman" w:ascii="Arial Narrow" w:hAnsi="Arial Narrow"/>
          <w:kern w:val="2"/>
          <w:sz w:val="4"/>
          <w:szCs w:val="4"/>
          <w:lang w:val="en-IN"/>
        </w:rPr>
        <w:t xml:space="preserve">-2SD). The prevalence of undernutrition assessed by MUAC and head circumferences </w:t>
      </w:r>
      <w:r>
        <w:rPr>
          <w:rFonts w:eastAsia="Calibri" w:cs="Times New Roman" w:ascii="Arial Narrow" w:hAnsi="Arial Narrow"/>
          <w:bCs/>
          <w:iCs/>
          <w:kern w:val="2"/>
          <w:sz w:val="4"/>
          <w:szCs w:val="4"/>
          <w:lang w:val="en-IN"/>
        </w:rPr>
        <w:t>was</w:t>
      </w:r>
      <w:r>
        <w:rPr>
          <w:rFonts w:eastAsia="Calibri" w:cs="Times New Roman" w:ascii="Arial Narrow" w:hAnsi="Arial Narrow"/>
          <w:kern w:val="2"/>
          <w:sz w:val="4"/>
          <w:szCs w:val="4"/>
          <w:lang w:val="en-IN"/>
        </w:rPr>
        <w:t xml:space="preserve"> 35.3% and 60.7%, respectively. The overall undernutrition prevalence is 70.9%, consisting of 45.8% with one type of undernutrition (MUAC or HC) and 25.1% with undernutrition on both measures. </w:t>
      </w:r>
      <w:r>
        <w:rPr>
          <w:rFonts w:eastAsia="Calibri" w:cs="Times New Roman" w:ascii="Arial Narrow" w:hAnsi="Arial Narrow"/>
          <w:kern w:val="2"/>
          <w:sz w:val="4"/>
          <w:szCs w:val="4"/>
          <w:lang w:val="en-US"/>
        </w:rPr>
        <w:t xml:space="preserve">Body circumferences showed a higher mean value in healthy children compared to children with nutritional deficiencies, in both boys and girls. </w:t>
      </w:r>
      <w:r>
        <w:rPr>
          <w:rFonts w:eastAsia="Calibri" w:cs="Times New Roman" w:ascii="Arial Narrow" w:hAnsi="Arial Narrow"/>
          <w:kern w:val="2"/>
          <w:sz w:val="4"/>
          <w:szCs w:val="4"/>
          <w:lang w:val="en-IN"/>
        </w:rPr>
        <w:t xml:space="preserve">Boys had significantly higher mean body circumferences than girls. </w:t>
      </w:r>
      <w:r>
        <w:rPr>
          <w:rFonts w:eastAsia="Calibri" w:cs="Times New Roman" w:ascii="Arial Narrow" w:hAnsi="Arial Narrow"/>
          <w:kern w:val="2"/>
          <w:sz w:val="4"/>
          <w:szCs w:val="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4"/>
          <w:szCs w:val="4"/>
          <w:lang w:val="en-IN"/>
        </w:rPr>
        <w:t>.</w:t>
      </w:r>
    </w:p>
    <w:p>
      <w:pPr>
        <w:pStyle w:val="Normal"/>
        <w:jc w:val="both"/>
        <w:rPr>
          <w:sz w:val="4"/>
          <w:szCs w:val="4"/>
        </w:rPr>
      </w:pPr>
      <w:r>
        <w:rPr>
          <w:rFonts w:eastAsia="Calibri" w:cs="Times New Roman" w:ascii="Arial Narrow" w:hAnsi="Arial Narrow"/>
          <w:b/>
          <w:bCs/>
          <w:kern w:val="2"/>
          <w:sz w:val="4"/>
          <w:szCs w:val="4"/>
          <w:lang w:val="en-US"/>
        </w:rPr>
        <w:t>______________________________________________________________________</w:t>
      </w:r>
    </w:p>
    <w:p>
      <w:pPr>
        <w:pStyle w:val="Normal"/>
        <w:jc w:val="both"/>
        <w:rPr>
          <w:rFonts w:ascii="Arial Narrow" w:hAnsi="Arial Narrow" w:eastAsia="Calibri" w:cs="Times New Roman"/>
          <w:b/>
          <w:bCs/>
          <w:kern w:val="2"/>
          <w:sz w:val="4"/>
          <w:szCs w:val="4"/>
          <w:lang w:val="en-US"/>
        </w:rPr>
      </w:pPr>
      <w:r>
        <w:rPr>
          <w:rFonts w:eastAsia="Calibri" w:cs="Times New Roman" w:ascii="Arial Narrow" w:hAnsi="Arial Narrow"/>
          <w:b/>
          <w:bCs/>
          <w:kern w:val="2"/>
          <w:sz w:val="4"/>
          <w:szCs w:val="4"/>
          <w:lang w:val="en-US"/>
        </w:rPr>
      </w:r>
    </w:p>
    <w:p>
      <w:pPr>
        <w:pStyle w:val="Normal"/>
        <w:spacing w:before="0" w:after="60"/>
        <w:jc w:val="both"/>
        <w:rPr>
          <w:sz w:val="4"/>
          <w:szCs w:val="4"/>
        </w:rPr>
      </w:pPr>
      <w:r>
        <w:rPr>
          <w:rFonts w:eastAsia="Calibri" w:cs="Times New Roman" w:ascii="Arial Narrow" w:hAnsi="Arial Narrow"/>
          <w:b/>
          <w:bCs/>
          <w:kern w:val="2"/>
          <w:sz w:val="4"/>
          <w:szCs w:val="4"/>
          <w:lang w:val="en-US"/>
        </w:rPr>
        <w:t>1.  Introduction</w:t>
      </w:r>
    </w:p>
    <w:p>
      <w:pPr>
        <w:pStyle w:val="Normal"/>
        <w:spacing w:before="0" w:after="0"/>
        <w:jc w:val="both"/>
        <w:rPr>
          <w:sz w:val="4"/>
          <w:szCs w:val="4"/>
        </w:rPr>
      </w:pPr>
      <w:r>
        <w:rPr>
          <w:rFonts w:eastAsia="Times New Roman" w:cs="Times New Roman" w:ascii="Arial Narrow" w:hAnsi="Arial Narrow"/>
          <w:sz w:val="4"/>
          <w:szCs w:val="4"/>
          <w:lang w:val="en-IN" w:eastAsia="en-IN"/>
        </w:rPr>
        <w:t xml:space="preserve">In India, child undernutrition is a major health problem, particularly in tribal communities. Globally, malnutrition causes over 3.1 million child deaths annually, with one in every three under-five children being malnourished </w:t>
      </w:r>
      <w:r>
        <w:fldChar w:fldCharType="begin"/>
      </w:r>
      <w:r>
        <w:rPr>
          <w:sz w:val="4"/>
          <w:szCs w:val="4"/>
          <w:rFonts w:eastAsia="Times New Roman" w:cs="Times New Roman" w:ascii="Arial Narrow" w:hAnsi="Arial Narrow"/>
          <w:lang w:val="en-IN" w:eastAsia="en-IN"/>
        </w:rPr>
        <w:instrText xml:space="preserve">ADDIN ZOTERO_ITEM CSL_CITATION {"citationID":"Xn7kKRdr","properties":{"formattedCitation":"(Black et al., 2013; Research Institute (Ifpri), 2016)","plainCitation":"(Black et al., 2013; Research Institute (Ifpri), 2016)","noteIndex":0},"citationItems":[{"id":147,"uris":["http://zotero.org/users/local/hXR51pOC/items/X27QDYYG"],"itemData":{"id":147,"type":"article-journal","container-title":"The Lancet","DOI":"10.1016/S0140-6736(13)60937-X","ISSN":"01406736","issue":"9890","journalAbbreviation":"The Lancet","language":"en","page":"427-451","source":"DOI.org (Crossref)","title":"Maternal and child undernutrition and overweight in low-income and middle-income countries","URL":"https://linkinghub.elsevier.com/retrieve/pii/S014067361360937X","volume":"382","author":[{"family":"Black","given":"Robert E"},{"family":"Victora","given":"Cesar G"},{"family":"Walker","given":"Susan P"},{"family":"Bhutta","given":"Zulfiqar A"},{"family":"Christian","given":"Parul"},{"family":"De Onis","given":"Mercedes"},{"family":"Ezzati","given":"Majid"},{"family":"Grantham-McGregor","given":"Sally"},{"family":"Katz","given":"Joanne"},{"family":"Martorell","given":"Reynaldo"},{"family":"Uauy","given":"Ricardo"}],"accessed":{"date-parts":[["2023",11,29]]},"issued":{"date-parts":[["2013",8]]}}},{"id":279,"uris":["http://zotero.org/users/local/hXR51pOC/items/L6MEVS2W"],"itemData":{"id":279,"type":"report","event-place":"Washington, DC","language":"en","note":"edition: 0\nDOI: 10.2499/9780896295841","publisher":"International Food Policy Research Institute","publisher-place":"Washington, DC","source":"DOI.org (Crossref)","title":"Global Nutrition Report 2016 From Promise to Impact Ending Malnutrition by 2030","URL":"https://ebrary.ifpri.org/digital/collection/p15738coll2/id/130354","author":[{"family":"Research Institute (Ifpri)","given":"International Food Policy"}],"accessed":{"date-parts":[["2024",5,7]]},"issued":{"date-parts":[["2016"]]}}}],"schema":"https://github.com/citation-style-language/schema/raw/master/csl-citation.json"}</w:instrTex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separate"/>
      </w:r>
      <w:r>
        <w:rPr>
          <w:rFonts w:eastAsia="Times New Roman" w:cs="Times New Roman" w:ascii="Arial Narrow" w:hAnsi="Arial Narrow"/>
          <w:sz w:val="4"/>
          <w:szCs w:val="4"/>
          <w:lang w:val="en-IN" w:eastAsia="en-IN"/>
        </w:rPr>
      </w:r>
      <w:r>
        <w:rPr>
          <w:rFonts w:eastAsia="Calibri" w:cs="Times New Roman" w:ascii="Arial Narrow" w:hAnsi="Arial Narrow"/>
          <w:kern w:val="2"/>
          <w:sz w:val="4"/>
          <w:szCs w:val="4"/>
          <w:lang w:val="en-IN"/>
        </w:rPr>
        <w:t>(Black et al., 2013; IFPRI, 2016)</w: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end"/>
      </w:r>
      <w:r>
        <w:rPr>
          <w:rFonts w:eastAsia="Times New Roman" w:cs="Times New Roman" w:ascii="Arial Narrow" w:hAnsi="Arial Narrow"/>
          <w:sz w:val="4"/>
          <w:szCs w:val="4"/>
          <w:lang w:val="en-IN" w:eastAsia="en-IN"/>
        </w:rPr>
        <w:t xml:space="preserve">. This malnutrition </w:t>
      </w:r>
      <w:r>
        <w:rPr>
          <w:rFonts w:eastAsia="Times New Roman" w:cs="Times New Roman" w:ascii="Arial Narrow" w:hAnsi="Arial Narrow"/>
          <w:color w:val="000000"/>
          <w:sz w:val="4"/>
          <w:szCs w:val="4"/>
          <w:lang w:val="en-IN" w:eastAsia="en-IN"/>
        </w:rPr>
        <w:t>(under- and overnutrition)</w:t>
      </w:r>
      <w:r>
        <w:rPr>
          <w:rFonts w:eastAsia="Times New Roman" w:cs="Times New Roman" w:ascii="Arial Narrow" w:hAnsi="Arial Narrow"/>
          <w:sz w:val="4"/>
          <w:szCs w:val="4"/>
          <w:lang w:val="en-IN" w:eastAsia="en-IN"/>
        </w:rPr>
        <w:t xml:space="preserve"> affects growth potential and future morbidity and mortality risks </w:t>
      </w:r>
      <w:r>
        <w:fldChar w:fldCharType="begin"/>
      </w:r>
      <w:r>
        <w:rPr>
          <w:sz w:val="4"/>
          <w:szCs w:val="4"/>
          <w:rFonts w:eastAsia="Times New Roman" w:cs="Times New Roman" w:ascii="Arial Narrow" w:hAnsi="Arial Narrow"/>
          <w:lang w:val="en-IN" w:eastAsia="en-IN"/>
        </w:rPr>
        <w:instrText xml:space="preserve">ADDIN ZOTERO_ITEM CSL_CITATION {"citationID":"TYwg2Ihc","properties":{"formattedCitation":"(Alderman et al., 2003)","plainCitation":"(Alderman et al., 2003)","noteIndex":0},"citationItems":[{"id":264,"uris":["http://zotero.org/users/local/hXR51pOC/items/7539267U"],"itemData":{"id":264,"type":"article-journal","container-title":"Social Science &amp; Medicine","DOI":"10.1016/S0277-9536(02)00183-1","ISSN":"02779536","issue":"10","journalAbbreviation":"Social Science &amp; Medicine","language":"en","license":"https://www.elsevier.com/tdm/userlicense/1.0/","page":"2019-2031","source":"DOI.org (Crossref)","title":"With the help of one's neighbors: externalities in the production of nutrition in Peru","title-short":"With the help of one's neighbors","URL":"https://linkinghub.elsevier.com/retrieve/pii/S0277953602001831","volume":"56","author":[{"family":"Alderman","given":"Harold"},{"family":"Hentschel","given":"Jesko"},{"family":"Sabates","given":"Ricardo"}],"accessed":{"date-parts":[["2024",5,7]]},"issued":{"date-parts":[["2003",5]]}}}],"schema":"https://github.com/citation-style-language/schema/raw/master/csl-citation.json"}</w:instrTex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separate"/>
      </w:r>
      <w:r>
        <w:rPr>
          <w:rFonts w:eastAsia="Times New Roman" w:cs="Times New Roman" w:ascii="Arial Narrow" w:hAnsi="Arial Narrow"/>
          <w:sz w:val="4"/>
          <w:szCs w:val="4"/>
          <w:lang w:val="en-IN" w:eastAsia="en-IN"/>
        </w:rPr>
      </w:r>
      <w:r>
        <w:rPr>
          <w:rFonts w:eastAsia="Calibri" w:cs="Times New Roman" w:ascii="Arial Narrow" w:hAnsi="Arial Narrow"/>
          <w:kern w:val="2"/>
          <w:sz w:val="4"/>
          <w:szCs w:val="4"/>
          <w:lang w:val="en-IN"/>
        </w:rPr>
        <w:t>(Alderman et al., 2003)</w: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end"/>
      </w:r>
      <w:r>
        <w:rPr>
          <w:rFonts w:eastAsia="Times New Roman" w:cs="Times New Roman" w:ascii="Arial Narrow" w:hAnsi="Arial Narrow"/>
          <w:sz w:val="4"/>
          <w:szCs w:val="4"/>
          <w:lang w:val="en-IN" w:eastAsia="en-IN"/>
        </w:rPr>
        <w:t xml:space="preserve">. Undernutrition in India is a significant public health issue, which increases childhood mortality and morbidity </w:t>
      </w:r>
      <w:r>
        <w:fldChar w:fldCharType="begin"/>
      </w:r>
      <w:r>
        <w:rPr>
          <w:sz w:val="4"/>
          <w:szCs w:val="4"/>
          <w:rFonts w:eastAsia="Times New Roman" w:cs="Times New Roman" w:ascii="Arial Narrow" w:hAnsi="Arial Narrow"/>
          <w:lang w:val="en-IN" w:eastAsia="en-IN"/>
        </w:rPr>
        <w:instrText xml:space="preserve">ADDIN ZOTERO_ITEM CSL_CITATION {"citationID":"0bBLMt21","properties":{"formattedCitation":"(2019)","plainCitation":"(2019)","dontUpdate":true,"noteIndex":0},"citationItems":[{"id":149,"uris":["http://zotero.org/users/local/hXR51pOC/items/QIJXDI2J"],"itemData":{"id":149,"type":"report","title":"UNICEF-The World Bank: Joint Child Malnutrition Estimates – Levels and Trends – 2019 Edition. UNICEF Data. URL: https://data.unicef.org/resources/jme/","author":[{"family":"","given":"UNICEF"}],"issued":{"date-parts":[["2019"]]}}}],"schema":"https://github.com/citation-style-language/schema/raw/master/csl-citation.json"}</w:instrTex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separate"/>
      </w:r>
      <w:r>
        <w:rPr>
          <w:rFonts w:eastAsia="Times New Roman" w:cs="Times New Roman" w:ascii="Arial Narrow" w:hAnsi="Arial Narrow"/>
          <w:sz w:val="4"/>
          <w:szCs w:val="4"/>
          <w:lang w:val="en-IN" w:eastAsia="en-IN"/>
        </w:rPr>
      </w:r>
      <w:r>
        <w:rPr>
          <w:rFonts w:eastAsia="Calibri" w:cs="Times New Roman" w:ascii="Arial Narrow" w:hAnsi="Arial Narrow"/>
          <w:kern w:val="2"/>
          <w:sz w:val="4"/>
          <w:szCs w:val="4"/>
          <w:lang w:val="en-IN"/>
        </w:rPr>
        <w:t>(UNICEF, 2019)</w: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end"/>
      </w:r>
      <w:r>
        <w:rPr>
          <w:rFonts w:eastAsia="Times New Roman" w:cs="Times New Roman" w:ascii="Arial Narrow" w:hAnsi="Arial Narrow"/>
          <w:sz w:val="4"/>
          <w:szCs w:val="4"/>
          <w:lang w:val="en-IN" w:eastAsia="en-IN"/>
        </w:rPr>
        <w:t xml:space="preserve">. </w:t>
      </w:r>
      <w:r>
        <w:rPr>
          <w:rFonts w:eastAsia="Times New Roman" w:cs="Times New Roman" w:ascii="Arial Narrow" w:hAnsi="Arial Narrow"/>
          <w:sz w:val="4"/>
          <w:szCs w:val="4"/>
          <w:lang w:val="en-US" w:eastAsia="en-IN"/>
        </w:rPr>
        <w:t xml:space="preserve">Under-five (0-5 years age) mortality rates are 34 per 1000 live births in India and 25 per 1000 in West Bengal </w:t>
      </w:r>
      <w:r>
        <w:fldChar w:fldCharType="begin"/>
      </w:r>
      <w:r>
        <w:rPr>
          <w:sz w:val="4"/>
          <w:szCs w:val="4"/>
          <w:rFonts w:eastAsia="Times New Roman" w:cs="Times New Roman" w:ascii="Arial Narrow" w:hAnsi="Arial Narrow"/>
          <w:lang w:val="en-IN" w:eastAsia="en-IN"/>
        </w:rPr>
        <w:instrText xml:space="preserve">ADDIN ZOTERO_ITEM CSL_CITATION {"citationID":"PqnrQW8t","properties":{"formattedCitation":"(2019)","plainCitation":"(2019)","dontUpdate":true,"noteIndex":0},"citationItems":[{"id":149,"uris":["http://zotero.org/users/local/hXR51pOC/items/QIJXDI2J"],"itemData":{"id":149,"type":"report","title":"UNICEF-The World Bank: Joint Child Malnutrition Estimates – Levels and Trends – 2019 Edition. UNICEF Data. URL: https://data.unicef.org/resources/jme/","author":[{"family":"","given":"UNICEF"}],"issued":{"date-parts":[["2019"]]}}}],"schema":"https://github.com/citation-style-language/schema/raw/master/csl-citation.json"}</w:instrTex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separate"/>
      </w:r>
      <w:r>
        <w:rPr>
          <w:rFonts w:eastAsia="Times New Roman" w:cs="Times New Roman" w:ascii="Arial Narrow" w:hAnsi="Arial Narrow"/>
          <w:sz w:val="4"/>
          <w:szCs w:val="4"/>
          <w:lang w:val="en-IN" w:eastAsia="en-IN"/>
        </w:rPr>
      </w:r>
      <w:r>
        <w:rPr>
          <w:rFonts w:eastAsia="Calibri" w:cs="Times New Roman" w:ascii="Arial Narrow" w:hAnsi="Arial Narrow"/>
          <w:kern w:val="2"/>
          <w:sz w:val="4"/>
          <w:szCs w:val="4"/>
          <w:lang w:val="en-IN"/>
        </w:rPr>
        <w:t>(UNICEF, 2019)</w: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end"/>
      </w:r>
      <w:r>
        <w:rPr>
          <w:rFonts w:eastAsia="Times New Roman" w:cs="Times New Roman" w:ascii="Arial Narrow" w:hAnsi="Arial Narrow"/>
          <w:sz w:val="4"/>
          <w:szCs w:val="4"/>
          <w:lang w:val="en-IN" w:eastAsia="en-IN"/>
        </w:rPr>
        <w:t xml:space="preserve">. </w:t>
      </w:r>
      <w:r>
        <w:rPr>
          <w:rFonts w:eastAsia="Times New Roman" w:cs="Times New Roman" w:ascii="Arial Narrow" w:hAnsi="Arial Narrow"/>
          <w:sz w:val="4"/>
          <w:szCs w:val="4"/>
          <w:lang w:val="en-US" w:eastAsia="en-IN"/>
        </w:rPr>
        <w:t xml:space="preserve">Undernutrition is a significant cause of child mortality in developing countries like India, with nearly half of preschool-aged deaths in low- and middle-income countries attributed to this issue </w:t>
      </w:r>
      <w:r>
        <w:fldChar w:fldCharType="begin"/>
      </w:r>
      <w:r>
        <w:rPr>
          <w:sz w:val="4"/>
          <w:szCs w:val="4"/>
          <w:rFonts w:eastAsia="Times New Roman" w:cs="Times New Roman" w:ascii="Arial Narrow" w:hAnsi="Arial Narrow"/>
          <w:lang w:val="en-IN" w:eastAsia="en-IN"/>
        </w:rPr>
        <w:instrText xml:space="preserve">ADDIN ZOTERO_ITEM CSL_CITATION {"citationID":"iIKqKJS9","properties":{"formattedCitation":"(Black et al., 2013)","plainCitation":"(Black et al., 2013)","noteIndex":0},"citationItems":[{"id":147,"uris":["http://zotero.org/users/local/hXR51pOC/items/X27QDYYG"],"itemData":{"id":147,"type":"article-journal","container-title":"The Lancet","DOI":"10.1016/S0140-6736(13)60937-X","ISSN":"01406736","issue":"9890","journalAbbreviation":"The Lancet","language":"en","page":"427-451","source":"DOI.org (Crossref)","title":"Maternal and child undernutrition and overweight in low-income and middle-income countries","URL":"https://linkinghub.elsevier.com/retrieve/pii/S014067361360937X","volume":"382","author":[{"family":"Black","given":"Robert E"},{"family":"Victora","given":"Cesar G"},{"family":"Walker","given":"Susan P"},{"family":"Bhutta","given":"Zulfiqar A"},{"family":"Christian","given":"Parul"},{"family":"De Onis","given":"Mercedes"},{"family":"Ezzati","given":"Majid"},{"family":"Grantham-McGregor","given":"Sally"},{"family":"Katz","given":"Joanne"},{"family":"Martorell","given":"Reynaldo"},{"family":"Uauy","given":"Ricardo"}],"accessed":{"date-parts":[["2023",11,29]]},"issued":{"date-parts":[["2013",8]]}}}],"schema":"https://github.com/citation-style-language/schema/raw/master/csl-citation.json"}</w:instrTex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separate"/>
      </w:r>
      <w:r>
        <w:rPr>
          <w:rFonts w:eastAsia="Times New Roman" w:cs="Times New Roman" w:ascii="Arial Narrow" w:hAnsi="Arial Narrow"/>
          <w:sz w:val="4"/>
          <w:szCs w:val="4"/>
          <w:lang w:val="en-IN" w:eastAsia="en-IN"/>
        </w:rPr>
      </w:r>
      <w:r>
        <w:rPr>
          <w:rFonts w:eastAsia="Calibri" w:cs="Times New Roman" w:ascii="Arial Narrow" w:hAnsi="Arial Narrow"/>
          <w:kern w:val="2"/>
          <w:sz w:val="4"/>
          <w:szCs w:val="4"/>
          <w:lang w:val="en-IN"/>
        </w:rPr>
        <w:t>(Black et al., 2013)</w: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end"/>
      </w:r>
      <w:r>
        <w:rPr>
          <w:rFonts w:eastAsia="Times New Roman" w:cs="Times New Roman" w:ascii="Arial Narrow" w:hAnsi="Arial Narrow"/>
          <w:sz w:val="4"/>
          <w:szCs w:val="4"/>
          <w:lang w:val="en-IN" w:eastAsia="en-IN"/>
        </w:rPr>
        <w:t xml:space="preserve">. In West Bengal, previous research indicates that approximately 50% of children experience various forms of undernutrition </w:t>
      </w:r>
      <w:r>
        <w:fldChar w:fldCharType="begin"/>
      </w:r>
      <w:r>
        <w:rPr>
          <w:sz w:val="4"/>
          <w:szCs w:val="4"/>
          <w:rFonts w:eastAsia="Times New Roman" w:cs="Times New Roman" w:ascii="Arial Narrow" w:hAnsi="Arial Narrow"/>
          <w:lang w:val="en-IN" w:eastAsia="en-IN"/>
        </w:rPr>
        <w:instrText xml:space="preserve">ADDIN ZOTERO_ITEM CSL_CITATION {"citationID":"FiAVTtxv","properties":{"formattedCitation":"(Bose et al., 2008)","plainCitation":"(Bose et al., 2008)","noteIndex":0},"citationItems":[{"id":155,"uris":["http://zotero.org/users/local/hXR51pOC/items/T9B5HUST"],"itemData":{"id":155,"type":"article-journal","abstract":"A cross-sectional study on 1206 children (788 boys, 618 girls) aged 1-12 years, belonging to low socioeconomic status, of Barasat and Madhyamgram, West Bengal, India, was undertaken to investigate age and sex variations in height and weight. It also evaluated the levels of underweight and stunting among them. Anthropometric measurements included weight and height. Weight-for-age (WA) and height-for-age (HA) &lt;-2 z-scores were used to evaluate underweight (UW) and stunting (ST), respectively, following the National Center for Health Statistics (NCHS) Guidelines. Results showed that boys aged 4 and 11 years were significantly heavier than girls of corresponding ages. Boys aged 7 years were significantly taller than girls of the same age. Significant (p &lt; 0.001) age differences existed in mean weight and height in boys (weight: F = 336.762; height: F = 565.160) as well as girls (weight: F = 275.320; height = 498.715). Results also revealed that the mean z-scores of WA (WAZ) and HA (HAZ) were less than (negative values) those of NCHS for both sexes at all ages. The overall (age combined) rate of UW was 60.4% and 51.3%; while that of ST was 51.7% and 48.4%, in boys and girls, respectively. Based on World Health Organization classification of severity of malnutrition, the prevalence of UW and ST were very high (&gt; or = 30%) in both sexes. In conclusion, this study demonstrated that the prevalence of UW and ST were very high among the subjects. Since the nutritional status of the subjects is not satisfactory, there is need for immediate supplementary nutrition.","container-title":"Collegium Antropologicum","ISSN":"0350-6134","issue":"1","journalAbbreviation":"Coll Antropol","language":"eng","note":"PMID: 18494191","page":"73-77","source":"PubMed","title":"Extreme levels of underweight and stunting among pre-adolescent children of low socioeconomic class from Madhyamgram and Barasat, West Bengal, India","volume":"32","author":[{"family":"Bose","given":"Kaushik"},{"family":"Bisai","given":"Samiran"},{"family":"Chakraborty","given":"Jayanta"},{"family":"Datta","given":"Nandini"},{"family":"Banerjee","given":"Parsati"}],"issued":{"date-parts":[["2008",3]]}}}],"schema":"https://github.com/citation-style-language/schema/raw/master/csl-citation.json"}</w:instrTex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separate"/>
      </w:r>
      <w:r>
        <w:rPr>
          <w:rFonts w:eastAsia="Times New Roman" w:cs="Times New Roman" w:ascii="Arial Narrow" w:hAnsi="Arial Narrow"/>
          <w:sz w:val="4"/>
          <w:szCs w:val="4"/>
          <w:lang w:val="en-IN" w:eastAsia="en-IN"/>
        </w:rPr>
      </w:r>
      <w:r>
        <w:rPr>
          <w:rFonts w:eastAsia="Calibri" w:cs="Times New Roman" w:ascii="Arial Narrow" w:hAnsi="Arial Narrow"/>
          <w:kern w:val="2"/>
          <w:sz w:val="4"/>
          <w:szCs w:val="4"/>
          <w:lang w:val="en-IN"/>
        </w:rPr>
        <w:t>(Bose et al., 2008)</w: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end"/>
      </w:r>
      <w:r>
        <w:rPr>
          <w:rFonts w:eastAsia="Times New Roman" w:cs="Times New Roman" w:ascii="Arial Narrow" w:hAnsi="Arial Narrow"/>
          <w:sz w:val="4"/>
          <w:szCs w:val="4"/>
          <w:lang w:val="en-IN" w:eastAsia="en-IN"/>
        </w:rPr>
        <w:t>.</w:t>
      </w:r>
    </w:p>
    <w:p>
      <w:pPr>
        <w:pStyle w:val="Normal"/>
        <w:spacing w:before="0" w:after="0"/>
        <w:jc w:val="both"/>
        <w:rPr>
          <w:rFonts w:ascii="Arial Narrow" w:hAnsi="Arial Narrow" w:eastAsia="Times New Roman" w:cs="Times New Roman"/>
          <w:sz w:val="4"/>
          <w:szCs w:val="4"/>
          <w:lang w:val="en-IN" w:eastAsia="en-IN"/>
        </w:rPr>
      </w:pPr>
      <w:r>
        <w:rPr>
          <w:rFonts w:eastAsia="Times New Roman" w:cs="Times New Roman" w:ascii="Arial Narrow" w:hAnsi="Arial Narrow"/>
          <w:sz w:val="4"/>
          <w:szCs w:val="4"/>
          <w:lang w:val="en-IN" w:eastAsia="en-IN"/>
        </w:rPr>
      </w:r>
    </w:p>
    <w:p>
      <w:pPr>
        <w:pStyle w:val="Normal"/>
        <w:spacing w:before="0" w:after="0"/>
        <w:ind w:firstLine="567"/>
        <w:jc w:val="both"/>
        <w:rPr>
          <w:sz w:val="4"/>
          <w:szCs w:val="4"/>
        </w:rPr>
      </w:pPr>
      <w:r>
        <w:rPr>
          <w:rFonts w:eastAsia="Times New Roman" w:cs="Times New Roman" w:ascii="Arial Narrow" w:hAnsi="Arial Narrow"/>
          <w:sz w:val="4"/>
          <w:szCs w:val="4"/>
          <w:lang w:val="en-IN" w:eastAsia="en-IN"/>
        </w:rPr>
        <w:t xml:space="preserve">In India, head circumference (HC) and mid upper arm circumference (MUAC) are utilized in survey and screening programs to diagnose protein-energy malnutrition </w:t>
      </w:r>
      <w:r>
        <w:fldChar w:fldCharType="begin"/>
      </w:r>
      <w:r>
        <w:rPr>
          <w:sz w:val="4"/>
          <w:szCs w:val="4"/>
          <w:rFonts w:eastAsia="Times New Roman" w:cs="Times New Roman" w:ascii="Arial Narrow" w:hAnsi="Arial Narrow"/>
          <w:lang w:val="en-IN" w:eastAsia="en-IN"/>
        </w:rPr>
        <w:instrText xml:space="preserve">ADDIN ZOTERO_ITEM CSL_CITATION {"citationID":"JFUYuOvf","properties":{"formattedCitation":"(Singh &amp; Bisnoi, 2005)","plainCitation":"(Singh &amp; Bisnoi, 2005)","noteIndex":0},"citationItems":[{"id":281,"uris":["http://zotero.org/users/local/hXR51pOC/items/D2LBIUPW"],"itemData":{"id":281,"type":"article-journal","container-title":"Indian Journal of Preventive &amp; Social Medicine","journalAbbreviation":"Indian J Prev Soc Med","page":"143-6","title":"Trend of growth in mid-arm circumference and head circumference of pre school female children of Faizabad District, Uttar Pradesh","volume":"36","author":[{"family":"Singh","given":"S"},{"family":"Bisnoi","given":"I"}],"issued":{"date-parts":[["2005"]]}}}],"schema":"https://github.com/citation-style-language/schema/raw/master/csl-citation.json"}</w:instrTex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separate"/>
      </w:r>
      <w:r>
        <w:rPr>
          <w:rFonts w:eastAsia="Times New Roman" w:cs="Times New Roman" w:ascii="Arial Narrow" w:hAnsi="Arial Narrow"/>
          <w:sz w:val="4"/>
          <w:szCs w:val="4"/>
          <w:lang w:val="en-IN" w:eastAsia="en-IN"/>
        </w:rPr>
      </w:r>
      <w:r>
        <w:rPr>
          <w:rFonts w:eastAsia="Calibri" w:cs="Times New Roman" w:ascii="Arial Narrow" w:hAnsi="Arial Narrow"/>
          <w:kern w:val="2"/>
          <w:sz w:val="4"/>
          <w:szCs w:val="4"/>
          <w:lang w:val="en-IN"/>
        </w:rPr>
        <w:t>(Singh &amp; Bisnoi, 2005)</w: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end"/>
      </w:r>
      <w:r>
        <w:rPr>
          <w:rFonts w:eastAsia="Times New Roman" w:cs="Times New Roman" w:ascii="Arial Narrow" w:hAnsi="Arial Narrow"/>
          <w:sz w:val="4"/>
          <w:szCs w:val="4"/>
          <w:lang w:val="en-IN" w:eastAsia="en-IN"/>
        </w:rPr>
        <w:t xml:space="preserve">.  HC is a physical indicator of past nutritional status and brain or cognitive development among children </w:t>
      </w:r>
      <w:r>
        <w:fldChar w:fldCharType="begin"/>
      </w:r>
      <w:r>
        <w:rPr>
          <w:sz w:val="4"/>
          <w:szCs w:val="4"/>
          <w:rFonts w:eastAsia="Times New Roman" w:cs="Times New Roman" w:ascii="Arial Narrow" w:hAnsi="Arial Narrow"/>
          <w:lang w:val="en-IN" w:eastAsia="en-IN"/>
        </w:rPr>
        <w:instrText xml:space="preserve">ADDIN ZOTERO_ITEM CSL_CITATION {"citationID":"jxa96bob","properties":{"formattedCitation":"(Rumsey &amp; Rapoport, 1983)","plainCitation":"(Rumsey &amp; Rapoport, 1983)","noteIndex":0},"citationItems":[{"id":282,"uris":["http://zotero.org/users/local/hXR51pOC/items/AYR9YMDA"],"itemData":{"id":282,"type":"article-journal","container-title":"Nutrition and the Brain","page":"101-161","title":"Assessing behavioral and cognitive effects of diet in pediatric populations. Nutrition and the Brain, 6.","volume":"6","author":[{"family":"Rumsey","given":"JM"},{"family":"Rapoport","given":"JL"}],"issued":{"date-parts":[["1983"]]}}}],"schema":"https://github.com/citation-style-language/schema/raw/master/csl-citation.json"}</w:instrTex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separate"/>
      </w:r>
      <w:r>
        <w:rPr>
          <w:rFonts w:eastAsia="Times New Roman" w:cs="Times New Roman" w:ascii="Arial Narrow" w:hAnsi="Arial Narrow"/>
          <w:sz w:val="4"/>
          <w:szCs w:val="4"/>
          <w:lang w:val="en-IN" w:eastAsia="en-IN"/>
        </w:rPr>
      </w:r>
      <w:r>
        <w:rPr>
          <w:rFonts w:eastAsia="Calibri" w:cs="Times New Roman" w:ascii="Arial Narrow" w:hAnsi="Arial Narrow"/>
          <w:kern w:val="2"/>
          <w:sz w:val="4"/>
          <w:szCs w:val="4"/>
          <w:lang w:val="en-IN"/>
        </w:rPr>
        <w:t>(Rumsey &amp; Rapoport, 1983)</w: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end"/>
      </w:r>
      <w:r>
        <w:rPr>
          <w:rFonts w:eastAsia="Times New Roman" w:cs="Times New Roman" w:ascii="Arial Narrow" w:hAnsi="Arial Narrow"/>
          <w:sz w:val="4"/>
          <w:szCs w:val="4"/>
          <w:lang w:val="en-IN" w:eastAsia="en-IN"/>
        </w:rPr>
        <w:t xml:space="preserve">. Neck circumference is a marker of malnutrition that assesses both undernutrition and obesity in children. </w:t>
      </w:r>
      <w:r>
        <w:rPr>
          <w:rFonts w:eastAsia="Times New Roman" w:cs="Times New Roman" w:ascii="Arial Narrow" w:hAnsi="Arial Narrow"/>
          <w:color w:val="000000"/>
          <w:sz w:val="4"/>
          <w:szCs w:val="4"/>
          <w:lang w:val="en-IN" w:eastAsia="en-IN"/>
        </w:rPr>
        <w:t xml:space="preserve">Other circumferences like chest, thigh, and medial calf are useful indicators of nutritional status, but are rarely used due to lack of a standardized cut-off value. </w:t>
      </w:r>
      <w:r>
        <w:rPr>
          <w:rFonts w:eastAsia="Times New Roman" w:cs="Times New Roman" w:ascii="Arial Narrow" w:hAnsi="Arial Narrow"/>
          <w:sz w:val="4"/>
          <w:szCs w:val="4"/>
          <w:lang w:val="en-IN" w:eastAsia="en-IN"/>
        </w:rPr>
        <w:t>For these reasons, the present study attempts to provide an age- and sex-wise optimal cut-off value for assessing undernutrition among preschool children.</w:t>
      </w:r>
    </w:p>
    <w:p>
      <w:pPr>
        <w:pStyle w:val="Normal"/>
        <w:spacing w:before="0" w:after="0"/>
        <w:jc w:val="both"/>
        <w:rPr>
          <w:rFonts w:ascii="Arial Narrow" w:hAnsi="Arial Narrow" w:eastAsia="Times New Roman" w:cs="Times New Roman"/>
          <w:sz w:val="4"/>
          <w:szCs w:val="4"/>
          <w:lang w:val="en-IN" w:eastAsia="en-IN"/>
        </w:rPr>
      </w:pPr>
      <w:r>
        <w:rPr>
          <w:rFonts w:eastAsia="Times New Roman" w:cs="Times New Roman" w:ascii="Arial Narrow" w:hAnsi="Arial Narrow"/>
          <w:sz w:val="4"/>
          <w:szCs w:val="4"/>
          <w:lang w:val="en-IN" w:eastAsia="en-IN"/>
        </w:rPr>
      </w:r>
    </w:p>
    <w:p>
      <w:pPr>
        <w:pStyle w:val="Normal"/>
        <w:spacing w:before="0" w:after="60"/>
        <w:rPr>
          <w:sz w:val="4"/>
          <w:szCs w:val="4"/>
        </w:rPr>
      </w:pPr>
      <w:r>
        <w:rPr>
          <w:rFonts w:eastAsia="Times New Roman" w:cs="Times New Roman" w:ascii="Arial Narrow" w:hAnsi="Arial Narrow"/>
          <w:b/>
          <w:bCs/>
          <w:sz w:val="4"/>
          <w:szCs w:val="4"/>
          <w:lang w:val="en-IN" w:eastAsia="en-IN"/>
        </w:rPr>
        <w:t>2. Methods</w:t>
      </w:r>
    </w:p>
    <w:p>
      <w:pPr>
        <w:pStyle w:val="Normal"/>
        <w:spacing w:before="0" w:after="60"/>
        <w:rPr>
          <w:sz w:val="4"/>
          <w:szCs w:val="4"/>
        </w:rPr>
      </w:pPr>
      <w:r>
        <w:rPr>
          <w:rFonts w:eastAsia="Times New Roman" w:cs="Times New Roman" w:ascii="Arial Narrow" w:hAnsi="Arial Narrow"/>
          <w:i/>
          <w:iCs/>
          <w:sz w:val="4"/>
          <w:szCs w:val="4"/>
          <w:lang w:val="en-IN" w:eastAsia="en-IN"/>
        </w:rPr>
        <w:t>2.1.  Study design and participants</w:t>
      </w:r>
    </w:p>
    <w:p>
      <w:pPr>
        <w:pStyle w:val="Normal"/>
        <w:spacing w:before="0" w:after="0"/>
        <w:jc w:val="both"/>
        <w:rPr>
          <w:sz w:val="4"/>
          <w:szCs w:val="4"/>
        </w:rPr>
      </w:pPr>
      <w:r>
        <w:rPr>
          <w:rFonts w:eastAsia="Calibri" w:cs="Times New Roman" w:ascii="Arial Narrow" w:hAnsi="Arial Narrow"/>
          <w:kern w:val="2"/>
          <w:sz w:val="4"/>
          <w:szCs w:val="4"/>
          <w:lang w:val="en-US"/>
        </w:rPr>
        <w:t xml:space="preserve">The present study was conducted on tribal preschool children aged 12–71 months. Three blocks were studied; these are Nayagram block, the most populated tribal block in the Jhargram district, and its nearest two blocks (Dantan I and Keshiary) of Paschim Medinipur district. </w:t>
      </w:r>
      <w:r>
        <w:rPr>
          <w:rFonts w:eastAsia="Calibri" w:cs="Times New Roman" w:ascii="Arial Narrow" w:hAnsi="Arial Narrow"/>
          <w:kern w:val="2"/>
          <w:sz w:val="4"/>
          <w:szCs w:val="4"/>
          <w:lang w:val="en-IN"/>
        </w:rPr>
        <w:t xml:space="preserve">This study focused on the most populous Santal and Bhumij tribes, which belong to the Austro-Asiatic (Munda) speaking tribes of West Bengal. </w:t>
      </w:r>
      <w:r>
        <w:rPr>
          <w:rFonts w:cs="Times New Roman" w:ascii="Arial Narrow" w:hAnsi="Arial Narrow"/>
          <w:sz w:val="4"/>
          <w:szCs w:val="4"/>
          <w:lang w:val="en-US"/>
        </w:rPr>
        <w:t>The present study</w:t>
      </w:r>
      <w:r>
        <w:rPr>
          <w:rFonts w:eastAsia="Times New Roman" w:cs="Times New Roman" w:ascii="Arial Narrow" w:hAnsi="Arial Narrow"/>
          <w:sz w:val="4"/>
          <w:szCs w:val="4"/>
          <w:lang w:val="en-IN" w:eastAsia="en-IN"/>
        </w:rPr>
        <w:t xml:space="preserve"> included children from agriculture-related households, </w:t>
      </w:r>
      <w:r>
        <w:rPr>
          <w:rFonts w:cs="Times New Roman" w:ascii="Arial Narrow" w:hAnsi="Arial Narrow"/>
          <w:sz w:val="4"/>
          <w:szCs w:val="4"/>
          <w:lang w:val="en-US"/>
        </w:rPr>
        <w:t>excluding physically challenged children, those who failed inclusion criteria, and parents unwilling to participate.</w:t>
      </w:r>
    </w:p>
    <w:p>
      <w:pPr>
        <w:pStyle w:val="Normal"/>
        <w:spacing w:before="0" w:after="0"/>
        <w:ind w:firstLine="567"/>
        <w:jc w:val="both"/>
        <w:rPr>
          <w:sz w:val="4"/>
          <w:szCs w:val="4"/>
        </w:rPr>
      </w:pPr>
      <w:r>
        <w:rPr>
          <w:rFonts w:eastAsia="Calibri" w:cs="Times New Roman" w:ascii="Arial Narrow" w:hAnsi="Arial Narrow"/>
          <w:kern w:val="2"/>
          <w:sz w:val="4"/>
          <w:szCs w:val="4"/>
          <w:lang w:val="en-US"/>
        </w:rPr>
        <w:t>The present study included 13 villages (</w:t>
      </w:r>
      <w:r>
        <w:rPr>
          <w:rFonts w:eastAsia="Calibri" w:cs="Times New Roman" w:ascii="Arial Narrow" w:hAnsi="Arial Narrow"/>
          <w:kern w:val="2"/>
          <w:sz w:val="4"/>
          <w:szCs w:val="4"/>
        </w:rPr>
        <w:t>Amda, Bhadra, Bhumijsai, Dudhe budhe, Dakshindiha, Joykrishnapur, Julko, Junbalda, Kamarchowki, Kanpur, Salbani, Sarisa, Talbandh</w:t>
      </w:r>
      <w:r>
        <w:rPr>
          <w:rFonts w:eastAsia="Calibri" w:cs="Times New Roman" w:ascii="Arial Narrow" w:hAnsi="Arial Narrow"/>
          <w:kern w:val="2"/>
          <w:sz w:val="4"/>
          <w:szCs w:val="4"/>
          <w:lang w:val="en-US"/>
        </w:rPr>
        <w:t>) from the Keshiary block, 8 villages (</w:t>
      </w:r>
      <w:r>
        <w:rPr>
          <w:rFonts w:eastAsia="Calibri" w:cs="Times New Roman" w:ascii="Arial Narrow" w:hAnsi="Arial Narrow"/>
          <w:kern w:val="2"/>
          <w:sz w:val="4"/>
          <w:szCs w:val="4"/>
        </w:rPr>
        <w:t>Antri, Bahalia, Beldiha, Borah, Dhuriya, Manikara, Markandapur, Uchudiha</w:t>
      </w:r>
      <w:r>
        <w:rPr>
          <w:rFonts w:eastAsia="Calibri" w:cs="Times New Roman" w:ascii="Arial Narrow" w:hAnsi="Arial Narrow"/>
          <w:kern w:val="2"/>
          <w:sz w:val="4"/>
          <w:szCs w:val="4"/>
          <w:lang w:val="en-US"/>
        </w:rPr>
        <w:t>) from the Dantan-l block, and 15 villages (</w:t>
      </w:r>
      <w:r>
        <w:rPr>
          <w:rFonts w:eastAsia="Calibri" w:cs="Times New Roman" w:ascii="Arial Narrow" w:hAnsi="Arial Narrow"/>
          <w:kern w:val="2"/>
          <w:sz w:val="4"/>
          <w:szCs w:val="4"/>
        </w:rPr>
        <w:t>Barpat, Begunadahi, Bhaliaghati, Gulfa, Hasimpur, Jadukatha, Jagannathpur, Jarka, Kadokatha, Khanamuri, Marapada, Pungiri, Singdhui, Talakuldihi, Tufuria</w:t>
      </w:r>
      <w:r>
        <w:rPr>
          <w:rFonts w:eastAsia="Calibri" w:cs="Times New Roman" w:ascii="Arial Narrow" w:hAnsi="Arial Narrow"/>
          <w:kern w:val="2"/>
          <w:sz w:val="4"/>
          <w:szCs w:val="4"/>
          <w:lang w:val="en-US"/>
        </w:rPr>
        <w:t xml:space="preserve">) from the Nayagram block. </w:t>
      </w:r>
      <w:r>
        <w:rPr>
          <w:rFonts w:eastAsia="Calibri" w:cs="Times New Roman" w:ascii="Arial Narrow" w:hAnsi="Arial Narrow"/>
          <w:kern w:val="2"/>
          <w:sz w:val="4"/>
          <w:szCs w:val="4"/>
          <w:lang w:val="en-IN"/>
        </w:rPr>
        <w:t xml:space="preserve">We conducted the research from April 2018 to March 2019. The 2011 Census reported a population of 17,598 in Nayagram block, with 41.01% of preschool children belonging to tribal peoples. The Keshiary block had 16,984 children under five, with 34.25% of scheduled tribes. The Dantan I block had 20,209 children aged 0-5, with 16.38% belonging to tribal peoples. In the three blocks combined, the total number of tribal children was 16,169 </w:t>
      </w:r>
      <w:r>
        <w:fldChar w:fldCharType="begin"/>
      </w:r>
      <w:r>
        <w:rPr>
          <w:sz w:val="4"/>
          <w:kern w:val="2"/>
          <w:szCs w:val="4"/>
          <w:rFonts w:eastAsia="Calibri" w:cs="Times New Roman" w:ascii="Arial Narrow" w:hAnsi="Arial Narrow"/>
          <w:lang w:val="en-IN"/>
        </w:rPr>
        <w:instrText xml:space="preserve">ADDIN ZOTERO_ITEM CSL_CITATION {"citationID":"4GHyVf3E","properties":{"formattedCitation":"(Office of the Registrar General &amp; Census Commissioner, India. Ministry of Home Affairs, Government of India, 2011)","plainCitation":"(Office of the Registrar General &amp; Census Commissioner, India. Ministry of Home Affairs, Government of India, 2011)","dontUpdate":true,"noteIndex":0},"citationItems":[{"id":7,"uris":["http://zotero.org/users/local/hXR51pOC/items/RQ62JJ3A"],"itemData":{"id":7,"type":"report","publisher":"Office of the Registrar General &amp; Census Commissioner, India. Ministry of Home Affairs, Government of India","title":"Census of India","URL":"https://censusindia.gov.in/census.website/","issued":{"date-parts":[["2011"]]}}}],"schema":"https://github.com/citation-style-language/schema/raw/master/csl-citation.json"}</w:instrText>
      </w:r>
      <w:r>
        <w:rPr>
          <w:rFonts w:eastAsia="Calibri" w:cs="Times New Roman" w:ascii="Arial Narrow" w:hAnsi="Arial Narrow"/>
          <w:kern w:val="2"/>
          <w:sz w:val="4"/>
          <w:szCs w:val="4"/>
          <w:lang w:val="en-IN"/>
        </w:rPr>
      </w:r>
      <w:r>
        <w:rPr>
          <w:sz w:val="4"/>
          <w:kern w:val="2"/>
          <w:szCs w:val="4"/>
          <w:rFonts w:eastAsia="Calibri" w:cs="Times New Roman" w:ascii="Arial Narrow" w:hAnsi="Arial Narrow"/>
          <w:lang w:val="en-IN"/>
        </w:rPr>
        <w:fldChar w:fldCharType="separate"/>
      </w:r>
      <w:r>
        <w:rPr>
          <w:rFonts w:eastAsia="Calibri" w:cs="Times New Roman" w:ascii="Arial Narrow" w:hAnsi="Arial Narrow"/>
          <w:kern w:val="2"/>
          <w:sz w:val="4"/>
          <w:szCs w:val="4"/>
          <w:lang w:val="en-IN"/>
        </w:rPr>
        <w:t>(Census, 2011)</w:t>
      </w:r>
      <w:r>
        <w:rPr>
          <w:rFonts w:eastAsia="Calibri" w:cs="Times New Roman" w:ascii="Arial Narrow" w:hAnsi="Arial Narrow"/>
          <w:kern w:val="2"/>
          <w:sz w:val="4"/>
          <w:szCs w:val="4"/>
          <w:lang w:val="en-IN"/>
        </w:rPr>
      </w:r>
      <w:r>
        <w:rPr>
          <w:sz w:val="4"/>
          <w:kern w:val="2"/>
          <w:szCs w:val="4"/>
          <w:rFonts w:eastAsia="Calibri" w:cs="Times New Roman" w:ascii="Arial Narrow" w:hAnsi="Arial Narrow"/>
          <w:lang w:val="en-IN"/>
        </w:rPr>
        <w:fldChar w:fldCharType="end"/>
      </w:r>
      <w:r>
        <w:rPr>
          <w:rFonts w:eastAsia="Calibri" w:cs="Times New Roman" w:ascii="Arial Narrow" w:hAnsi="Arial Narrow"/>
          <w:kern w:val="2"/>
          <w:sz w:val="4"/>
          <w:szCs w:val="4"/>
          <w:lang w:val="en-IN"/>
        </w:rPr>
        <w:t xml:space="preserve">. </w:t>
      </w:r>
      <w:r>
        <w:rPr>
          <w:rFonts w:eastAsia="Times New Roman" w:cs="Times New Roman" w:ascii="Arial Narrow" w:hAnsi="Arial Narrow"/>
          <w:sz w:val="4"/>
          <w:szCs w:val="4"/>
          <w:lang w:val="en-IN" w:eastAsia="en-IN"/>
        </w:rPr>
        <w:t>The study used stratified random sampling to select 848 under-five children from Santal and Bhumij ethnic groups, with 95% confidence level, 50% population proportion, and a 3.3% margin of error.</w:t>
      </w:r>
    </w:p>
    <w:p>
      <w:pPr>
        <w:pStyle w:val="Normal"/>
        <w:spacing w:before="0" w:after="0"/>
        <w:ind w:firstLine="567"/>
        <w:jc w:val="both"/>
        <w:rPr>
          <w:rFonts w:ascii="Arial Narrow" w:hAnsi="Arial Narrow" w:eastAsia="Calibri" w:cs="Times New Roman"/>
          <w:kern w:val="2"/>
          <w:sz w:val="4"/>
          <w:szCs w:val="4"/>
          <w:lang w:val="en-US"/>
        </w:rPr>
      </w:pPr>
      <w:r>
        <w:rPr>
          <w:rFonts w:eastAsia="Calibri" w:cs="Times New Roman" w:ascii="Arial Narrow" w:hAnsi="Arial Narrow"/>
          <w:kern w:val="2"/>
          <w:sz w:val="4"/>
          <w:szCs w:val="4"/>
          <w:lang w:val="en-US"/>
        </w:rPr>
      </w:r>
    </w:p>
    <w:p>
      <w:pPr>
        <w:pStyle w:val="Normal"/>
        <w:spacing w:before="0" w:after="60"/>
        <w:jc w:val="both"/>
        <w:rPr>
          <w:sz w:val="4"/>
          <w:szCs w:val="4"/>
        </w:rPr>
      </w:pPr>
      <w:r>
        <w:rPr>
          <w:rFonts w:eastAsia="Calibri" w:cs="Times New Roman" w:ascii="Arial Narrow" w:hAnsi="Arial Narrow"/>
          <w:i/>
          <w:iCs/>
          <w:kern w:val="2"/>
          <w:sz w:val="4"/>
          <w:szCs w:val="4"/>
          <w:lang w:val="en-US"/>
        </w:rPr>
        <w:t>2.2.  Anthropometric data</w:t>
      </w:r>
    </w:p>
    <w:p>
      <w:pPr>
        <w:pStyle w:val="Normal"/>
        <w:spacing w:before="0" w:after="0"/>
        <w:jc w:val="both"/>
        <w:rPr>
          <w:sz w:val="4"/>
          <w:szCs w:val="4"/>
        </w:rPr>
      </w:pPr>
      <w:r>
        <w:rPr>
          <w:rFonts w:eastAsia="Times New Roman" w:cs="Times New Roman" w:ascii="Arial Narrow" w:hAnsi="Arial Narrow"/>
          <w:sz w:val="4"/>
          <w:szCs w:val="4"/>
          <w:lang w:val="en-IN" w:eastAsia="en-IN"/>
        </w:rPr>
        <w:t xml:space="preserve">The anthropometric measurements were conducted in accordance with standard procedures </w:t>
      </w:r>
      <w:r>
        <w:fldChar w:fldCharType="begin"/>
      </w:r>
      <w:r>
        <w:rPr>
          <w:sz w:val="4"/>
          <w:szCs w:val="4"/>
          <w:rFonts w:eastAsia="Times New Roman" w:cs="Times New Roman" w:ascii="Arial Narrow" w:hAnsi="Arial Narrow"/>
          <w:lang w:val="en-IN" w:eastAsia="en-IN"/>
        </w:rPr>
        <w:instrText xml:space="preserve">ADDIN ZOTERO_ITEM CSL_CITATION {"citationID":"KqaFG5ah","properties":{"formattedCitation":"(Lohman et al., 1988)","plainCitation":"(Lohman et al., 1988)","noteIndex":0},"citationItems":[{"id":49,"uris":["http://zotero.org/users/local/hXR51pOC/items/AZWMUYC4"],"itemData":{"id":49,"type":"article-journal","title":"Anthropometric Standardization Refer­ence Manual. Chicago: Human Kinetics Books.","author":[{"family":"Lohman","given":"TG"},{"family":"Roche","given":"AF"},{"family":"Martorell","given":"R"}],"issued":{"date-parts":[["1988"]]}}}],"schema":"https://github.com/citation-style-language/schema/raw/master/csl-citation.json"}</w:instrTex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separate"/>
      </w:r>
      <w:r>
        <w:rPr>
          <w:rFonts w:eastAsia="Times New Roman" w:cs="Times New Roman" w:ascii="Arial Narrow" w:hAnsi="Arial Narrow"/>
          <w:sz w:val="4"/>
          <w:szCs w:val="4"/>
          <w:lang w:val="en-IN" w:eastAsia="en-IN"/>
        </w:rPr>
      </w:r>
      <w:r>
        <w:rPr>
          <w:rFonts w:eastAsia="Calibri" w:cs="Times New Roman" w:ascii="Arial Narrow" w:hAnsi="Arial Narrow"/>
          <w:kern w:val="2"/>
          <w:sz w:val="4"/>
          <w:szCs w:val="4"/>
          <w:lang w:val="en-IN"/>
        </w:rPr>
        <w:t>(Lohman et al., 1988)</w: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end"/>
      </w:r>
      <w:r>
        <w:rPr>
          <w:rFonts w:eastAsia="Times New Roman" w:cs="Times New Roman" w:ascii="Arial Narrow" w:hAnsi="Arial Narrow"/>
          <w:sz w:val="4"/>
          <w:szCs w:val="4"/>
          <w:lang w:val="en-IN" w:eastAsia="en-IN"/>
        </w:rPr>
        <w:t xml:space="preserve">. The departmental ethics committees provided the ethical clearance, and the study adhered to the Declaration of Helsinki’s ethical guidelines </w:t>
      </w:r>
      <w:r>
        <w:fldChar w:fldCharType="begin"/>
      </w:r>
      <w:r>
        <w:rPr>
          <w:sz w:val="4"/>
          <w:szCs w:val="4"/>
          <w:rFonts w:eastAsia="Times New Roman" w:cs="Times New Roman" w:ascii="Arial Narrow" w:hAnsi="Arial Narrow"/>
          <w:lang w:val="en-IN" w:eastAsia="en-IN"/>
        </w:rPr>
        <w:instrText xml:space="preserve">ADDIN ZOTERO_ITEM CSL_CITATION {"citationID":"2hknyPVa","properties":{"formattedCitation":"(Touitou, Portaluppi, Smolensky, &amp; Rensing#, 2004)","plainCitation":"(Touitou, Portaluppi, Smolensky, &amp; Rensing#, 2004)","dontUpdate":true,"noteIndex":0},"citationItems":[{"id":186,"uris":["http://zotero.org/users/local/hXR51pOC/items/BEDLD34Y"],"itemData":{"id":186,"type":"article-journal","container-title":"Chronobiology International","DOI":"10.1081/CBI-120030045","ISSN":"0742-0528, 1525-6073","issue":"1","journalAbbreviation":"Chronobiology International","language":"en","page":"161-170","source":"DOI.org (Crossref)","title":"Ethical Principles and Standards for the Conduct of Human and Animal Biological Rhythm Research","URL":"http://www.tandfonline.com/doi/full/10.1081/CBI-120030045","volume":"21","author":[{"family":"Touitou","given":"Yvan"},{"family":"Portaluppi","given":"Francesco"},{"family":"Smolensky","given":"Michael H."},{"family":"Rensing#","given":"Ludger"}],"accessed":{"date-parts":[["2023",11,29]]},"issued":{"date-parts":[["2004",1]]}}}],"schema":"https://github.com/citation-style-language/schema/raw/master/csl-citation.json"}</w:instrTex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separate"/>
      </w:r>
      <w:r>
        <w:rPr>
          <w:rFonts w:eastAsia="Times New Roman" w:cs="Times New Roman" w:ascii="Arial Narrow" w:hAnsi="Arial Narrow"/>
          <w:sz w:val="4"/>
          <w:szCs w:val="4"/>
          <w:lang w:val="en-IN" w:eastAsia="en-IN"/>
        </w:rPr>
      </w:r>
      <w:r>
        <w:rPr>
          <w:rFonts w:eastAsia="Calibri" w:cs="Times New Roman" w:ascii="Arial Narrow" w:hAnsi="Arial Narrow"/>
          <w:kern w:val="2"/>
          <w:sz w:val="4"/>
          <w:szCs w:val="4"/>
          <w:lang w:val="en-IN"/>
        </w:rPr>
        <w:t>(Touitou et al., 2004)</w: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end"/>
      </w:r>
      <w:r>
        <w:rPr>
          <w:rFonts w:eastAsia="Times New Roman" w:cs="Times New Roman" w:ascii="Arial Narrow" w:hAnsi="Arial Narrow"/>
          <w:sz w:val="4"/>
          <w:szCs w:val="4"/>
          <w:lang w:val="en-IN" w:eastAsia="en-IN"/>
        </w:rPr>
        <w:t>. Three kinds of anthropometric measurements were taken from each participant: height, weight, and several body circumferences. Weight was measured using digital weighing scales. The standing height was measured using an anthropometric rod, and the recumbent length was measured using an infantometer. Circumferences were measured using a measuring tape. The study participants provided six types of body circumferences (</w:t>
      </w:r>
      <w:r>
        <w:rPr>
          <w:rFonts w:cs="Times New Roman" w:ascii="Arial Narrow" w:hAnsi="Arial Narrow"/>
          <w:color w:val="1B1B1B"/>
          <w:sz w:val="4"/>
          <w:szCs w:val="4"/>
          <w:shd w:fill="FFFFFF" w:val="clear"/>
          <w:lang w:val="en-IN"/>
        </w:rPr>
        <w:t>head circumference, neck circumference, mid upper arm circumference, chest circumference, thigh circumference, medial calf circumference</w:t>
      </w:r>
      <w:r>
        <w:rPr>
          <w:rFonts w:eastAsia="Times New Roman" w:cs="Times New Roman" w:ascii="Arial Narrow" w:hAnsi="Arial Narrow"/>
          <w:sz w:val="4"/>
          <w:szCs w:val="4"/>
          <w:lang w:val="en-IN" w:eastAsia="en-IN"/>
        </w:rPr>
        <w:t>) and six types of circumferences to height ratios (</w:t>
      </w:r>
      <w:r>
        <w:rPr>
          <w:rFonts w:eastAsia="Calibri" w:cs="Times New Roman" w:ascii="Arial Narrow" w:hAnsi="Arial Narrow"/>
          <w:kern w:val="2"/>
          <w:sz w:val="4"/>
          <w:szCs w:val="4"/>
          <w:lang w:val="en-IN"/>
        </w:rPr>
        <w:t>head to height ratio, neck to height ratio; mid upper arm circumference to height ratio; chest to height ratio; thigh to height ratio; medial calf to height ratio</w:t>
      </w:r>
      <w:r>
        <w:rPr>
          <w:rFonts w:eastAsia="Times New Roman" w:cs="Times New Roman" w:ascii="Arial Narrow" w:hAnsi="Arial Narrow"/>
          <w:sz w:val="4"/>
          <w:szCs w:val="4"/>
          <w:lang w:val="en-IN" w:eastAsia="en-IN"/>
        </w:rPr>
        <w:t>).</w:t>
      </w:r>
    </w:p>
    <w:p>
      <w:pPr>
        <w:pStyle w:val="Normal"/>
        <w:spacing w:before="0" w:after="0"/>
        <w:jc w:val="both"/>
        <w:rPr>
          <w:rFonts w:ascii="Arial Narrow" w:hAnsi="Arial Narrow" w:eastAsia="Times New Roman" w:cs="Times New Roman"/>
          <w:sz w:val="4"/>
          <w:szCs w:val="4"/>
          <w:lang w:val="en-IN" w:eastAsia="en-IN"/>
        </w:rPr>
      </w:pPr>
      <w:r>
        <w:rPr>
          <w:rFonts w:eastAsia="Times New Roman" w:cs="Times New Roman" w:ascii="Arial Narrow" w:hAnsi="Arial Narrow"/>
          <w:sz w:val="4"/>
          <w:szCs w:val="4"/>
          <w:lang w:val="en-IN" w:eastAsia="en-IN"/>
        </w:rPr>
      </w:r>
    </w:p>
    <w:p>
      <w:pPr>
        <w:pStyle w:val="Normal"/>
        <w:spacing w:before="0" w:after="60"/>
        <w:jc w:val="both"/>
        <w:rPr>
          <w:sz w:val="4"/>
          <w:szCs w:val="4"/>
        </w:rPr>
      </w:pPr>
      <w:r>
        <w:rPr>
          <w:rFonts w:eastAsia="Calibri" w:cs="Times New Roman" w:ascii="Arial Narrow" w:hAnsi="Arial Narrow"/>
          <w:i/>
          <w:iCs/>
          <w:kern w:val="2"/>
          <w:sz w:val="4"/>
          <w:szCs w:val="4"/>
          <w:lang w:val="en-IN"/>
        </w:rPr>
        <w:t>2.3.  Assessments of undernutrition</w:t>
      </w:r>
    </w:p>
    <w:p>
      <w:pPr>
        <w:pStyle w:val="Normal"/>
        <w:jc w:val="both"/>
        <w:rPr>
          <w:sz w:val="4"/>
          <w:szCs w:val="4"/>
        </w:rPr>
      </w:pPr>
      <w:r>
        <w:rPr>
          <w:rFonts w:eastAsia="Times New Roman" w:cs="Times New Roman" w:ascii="Arial Narrow" w:hAnsi="Arial Narrow"/>
          <w:sz w:val="4"/>
          <w:szCs w:val="4"/>
          <w:lang w:val="en-IN" w:eastAsia="en-IN"/>
        </w:rPr>
        <w:t xml:space="preserve">The current study utilized the WHO 2006 guidelines to evaluate undernutrition using low HC for age (HCAZ) and low MUAC for age (MUACZ) z score </w:t>
      </w:r>
      <w:r>
        <w:fldChar w:fldCharType="begin"/>
      </w:r>
      <w:r>
        <w:rPr>
          <w:sz w:val="4"/>
          <w:szCs w:val="4"/>
          <w:rFonts w:eastAsia="Times New Roman" w:cs="Times New Roman" w:ascii="Arial Narrow" w:hAnsi="Arial Narrow"/>
          <w:lang w:val="en-IN" w:eastAsia="en-IN"/>
        </w:rPr>
        <w:instrText xml:space="preserve">ADDIN ZOTERO_ITEM CSL_CITATION {"citationID":"Vuqg0d0l","properties":{"formattedCitation":"(2006)","plainCitation":"(2006)","dontUpdate":true,"noteIndex":0},"citationItems":[{"id":161,"uris":["http://zotero.org/users/local/hXR51pOC/items/FQFTNFVK"],"itemData":{"id":161,"type":"report","title":"Child Growth Standards. Length/Height for age, Weight for Age, Weight for Length, Weight for Height and Body Mass Index for Age. Methods and Development. World Health Organization, Geneva.","author":[{"family":"","given":"WHO"}],"issued":{"date-parts":[["2006"]]}}}],"schema":"https://github.com/citation-style-language/schema/raw/master/csl-citation.json"}</w:instrTex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separate"/>
      </w:r>
      <w:r>
        <w:rPr>
          <w:rFonts w:eastAsia="Times New Roman" w:cs="Times New Roman" w:ascii="Arial Narrow" w:hAnsi="Arial Narrow"/>
          <w:sz w:val="4"/>
          <w:szCs w:val="4"/>
          <w:lang w:val="en-IN" w:eastAsia="en-IN"/>
        </w:rPr>
      </w:r>
      <w:r>
        <w:rPr>
          <w:rFonts w:eastAsia="Calibri" w:cs="Times New Roman" w:ascii="Arial Narrow" w:hAnsi="Arial Narrow"/>
          <w:kern w:val="2"/>
          <w:sz w:val="4"/>
          <w:szCs w:val="4"/>
          <w:lang w:val="en-IN"/>
        </w:rPr>
        <w:t>(WHO, 2006)</w: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end"/>
      </w:r>
      <w:r>
        <w:rPr>
          <w:rFonts w:eastAsia="Times New Roman" w:cs="Times New Roman" w:ascii="Arial Narrow" w:hAnsi="Arial Narrow"/>
          <w:sz w:val="4"/>
          <w:szCs w:val="4"/>
          <w:lang w:val="en-IN" w:eastAsia="en-IN"/>
        </w:rPr>
        <w:t xml:space="preserve">. The WHO (2006) guidelines were used to calculate the Z-scores for two indices, with undernutrition defined as a value more than two standard deviations below the median (i.e., Z-score &lt; -2 SD) </w:t>
      </w:r>
      <w:r>
        <w:fldChar w:fldCharType="begin"/>
      </w:r>
      <w:r>
        <w:rPr>
          <w:sz w:val="4"/>
          <w:szCs w:val="4"/>
          <w:rFonts w:eastAsia="Times New Roman" w:cs="Times New Roman" w:ascii="Arial Narrow" w:hAnsi="Arial Narrow"/>
          <w:lang w:val="en-IN" w:eastAsia="en-IN"/>
        </w:rPr>
        <w:instrText xml:space="preserve">ADDIN ZOTERO_ITEM CSL_CITATION {"citationID":"ORb2dsiA","properties":{"formattedCitation":"(World Health Organization, 1995)","plainCitation":"(World Health Organization, 1995)","noteIndex":0},"citationItems":[{"id":56,"uris":["http://zotero.org/users/local/hXR51pOC/items/P9YSRVZK"],"itemData":{"id":56,"type":"chapter","title":"Physical status: The use of and interpretation of anthropometry. Report of a WHO Expert Committee. Technical Report Series no. 854. Geneva: World Health Organization.","author":[{"family":"World Health Organization","given":""}],"issued":{"date-parts":[["1995"]]}}}],"schema":"https://github.com/citation-style-language/schema/raw/master/csl-citation.json"}</w:instrTex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separate"/>
      </w:r>
      <w:r>
        <w:rPr>
          <w:rFonts w:eastAsia="Times New Roman" w:cs="Times New Roman" w:ascii="Arial Narrow" w:hAnsi="Arial Narrow"/>
          <w:sz w:val="4"/>
          <w:szCs w:val="4"/>
          <w:lang w:val="en-IN" w:eastAsia="en-IN"/>
        </w:rPr>
      </w:r>
      <w:r>
        <w:rPr>
          <w:rFonts w:eastAsia="Calibri" w:cs="Times New Roman" w:ascii="Arial Narrow" w:hAnsi="Arial Narrow"/>
          <w:kern w:val="2"/>
          <w:sz w:val="4"/>
          <w:szCs w:val="4"/>
          <w:lang w:val="en-IN"/>
        </w:rPr>
        <w:t>(WHO, 1995)</w: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end"/>
      </w:r>
      <w:r>
        <w:rPr>
          <w:rFonts w:eastAsia="Times New Roman" w:cs="Times New Roman" w:ascii="Arial Narrow" w:hAnsi="Arial Narrow"/>
          <w:sz w:val="4"/>
          <w:szCs w:val="4"/>
          <w:lang w:val="en-IN" w:eastAsia="en-IN"/>
        </w:rPr>
        <w:t xml:space="preserve">. The Z score was determined using the standard equation: </w:t>
      </w:r>
      <w:r>
        <w:rPr>
          <w:rFonts w:eastAsia="Calibri" w:cs="Times New Roman" w:ascii="Arial Narrow" w:hAnsi="Arial Narrow"/>
          <w:kern w:val="2"/>
          <w:sz w:val="4"/>
          <w:szCs w:val="4"/>
          <w:lang w:val="en-IN"/>
        </w:rPr>
        <w:t>Z score</w:t>
      </w:r>
      <w:r>
        <w:rPr>
          <w:rFonts w:eastAsia="Calibri" w:cs="Times New Roman" w:ascii="Arial Narrow" w:hAnsi="Arial Narrow"/>
          <w:kern w:val="2"/>
          <w:sz w:val="4"/>
          <w:szCs w:val="4"/>
          <w:lang w:val="en-US"/>
        </w:rPr>
        <w:t xml:space="preserve">= </w:t>
      </w:r>
      <w:r>
        <w:rPr>
          <w:rFonts w:eastAsia="Times New Roman" w:cs="Times New Roman" w:ascii="Arial Narrow" w:hAnsi="Arial Narrow"/>
          <w:kern w:val="2"/>
          <w:sz w:val="4"/>
          <w:szCs w:val="4"/>
          <w:lang w:val="en-IN"/>
        </w:rPr>
        <w:t xml:space="preserve"> </w:t>
      </w:r>
    </w:p>
    <w:p>
      <w:pPr>
        <w:pStyle w:val="Normal"/>
        <w:spacing w:before="0" w:after="0"/>
        <w:jc w:val="both"/>
        <w:rPr>
          <w:rFonts w:ascii="Arial Narrow" w:hAnsi="Arial Narrow" w:eastAsia="Calibri" w:cs="Times New Roman"/>
          <w:kern w:val="2"/>
          <w:sz w:val="4"/>
          <w:szCs w:val="4"/>
          <w:lang w:val="en-IN"/>
        </w:rPr>
      </w:pPr>
      <w:r>
        <w:rPr>
          <w:rFonts w:eastAsia="Calibri" w:cs="Times New Roman" w:ascii="Arial Narrow" w:hAnsi="Arial Narrow"/>
          <w:kern w:val="2"/>
          <w:sz w:val="4"/>
          <w:szCs w:val="4"/>
          <w:lang w:val="en-IN"/>
        </w:rPr>
      </w:r>
    </w:p>
    <w:p>
      <w:pPr>
        <w:pStyle w:val="Normal"/>
        <w:spacing w:before="0" w:after="60"/>
        <w:rPr>
          <w:sz w:val="4"/>
          <w:szCs w:val="4"/>
        </w:rPr>
      </w:pPr>
      <w:r>
        <w:rPr>
          <w:rFonts w:eastAsia="Calibri" w:cs="Times New Roman" w:ascii="Arial Narrow" w:hAnsi="Arial Narrow"/>
          <w:b/>
          <w:bCs/>
          <w:kern w:val="2"/>
          <w:sz w:val="4"/>
          <w:szCs w:val="4"/>
          <w:lang w:val="en-US"/>
        </w:rPr>
        <w:t>3.  Results</w:t>
      </w:r>
    </w:p>
    <w:p>
      <w:pPr>
        <w:pStyle w:val="Normal"/>
        <w:spacing w:before="0" w:after="0"/>
        <w:jc w:val="both"/>
        <w:rPr>
          <w:sz w:val="4"/>
          <w:szCs w:val="4"/>
        </w:rPr>
      </w:pPr>
      <w:r>
        <w:rPr>
          <w:rFonts w:eastAsia="Times New Roman" w:cs="Times New Roman" w:ascii="Arial Narrow" w:hAnsi="Arial Narrow"/>
          <w:color w:val="00B050"/>
          <w:sz w:val="4"/>
          <w:szCs w:val="4"/>
          <w:lang w:val="en-IN" w:eastAsia="en-IN"/>
        </w:rPr>
        <w:t>Tables 1 and 2</w:t>
      </w:r>
      <w:r>
        <w:rPr>
          <w:rFonts w:eastAsia="Times New Roman" w:cs="Times New Roman" w:ascii="Arial Narrow" w:hAnsi="Arial Narrow"/>
          <w:sz w:val="4"/>
          <w:szCs w:val="4"/>
          <w:lang w:val="en-IN" w:eastAsia="en-IN"/>
        </w:rPr>
        <w:t xml:space="preserve"> present the mean age- and sex-wise body circumferences and the differences in the circumference-to-height ratio. All body circumferences increased with increasing child age, and significant differences were observed (</w:t>
      </w:r>
      <w:r>
        <w:rPr>
          <w:rFonts w:eastAsia="Times New Roman" w:cs="Times New Roman" w:ascii="Arial Narrow" w:hAnsi="Arial Narrow"/>
          <w:i/>
          <w:sz w:val="4"/>
          <w:szCs w:val="4"/>
          <w:lang w:val="en-IN" w:eastAsia="en-IN"/>
        </w:rPr>
        <w:t>p</w:t>
      </w:r>
      <w:r>
        <w:rPr>
          <w:rFonts w:eastAsia="Times New Roman" w:cs="Times New Roman" w:ascii="Arial Narrow" w:hAnsi="Arial Narrow"/>
          <w:sz w:val="4"/>
          <w:szCs w:val="4"/>
          <w:vertAlign w:val="subscript"/>
          <w:lang w:val="en-IN" w:eastAsia="en-IN"/>
        </w:rPr>
        <w:t xml:space="preserve"> </w:t>
      </w:r>
      <w:r>
        <w:rPr>
          <w:rFonts w:eastAsia="Times New Roman" w:cs="Times New Roman" w:ascii="Arial Narrow" w:hAnsi="Arial Narrow"/>
          <w:sz w:val="4"/>
          <w:szCs w:val="4"/>
          <w:lang w:val="en-IN" w:eastAsia="en-IN"/>
        </w:rPr>
        <w:t>&lt;</w:t>
      </w:r>
      <w:r>
        <w:rPr>
          <w:rFonts w:eastAsia="Times New Roman" w:cs="Times New Roman" w:ascii="Arial Narrow" w:hAnsi="Arial Narrow"/>
          <w:sz w:val="4"/>
          <w:szCs w:val="4"/>
          <w:vertAlign w:val="subscript"/>
          <w:lang w:val="en-IN" w:eastAsia="en-IN"/>
        </w:rPr>
        <w:t xml:space="preserve"> </w:t>
      </w:r>
      <w:r>
        <w:rPr>
          <w:rFonts w:eastAsia="Times New Roman" w:cs="Times New Roman" w:ascii="Arial Narrow" w:hAnsi="Arial Narrow"/>
          <w:sz w:val="4"/>
          <w:szCs w:val="4"/>
          <w:lang w:val="en-IN" w:eastAsia="en-IN"/>
        </w:rPr>
        <w:t>.001). However, mean values of circumference to height ratio decreased with increasing child age. In the case of body circumferences, boys show higher mean values than girls except for thigh circumference. Sex differences were statistically significant except for medial calf circumference. In circumference to height ratios, the chest, thigh, and medial calf show statistically significant sex differences.</w:t>
      </w:r>
    </w:p>
    <w:p>
      <w:pPr>
        <w:pStyle w:val="Normal"/>
        <w:spacing w:before="0" w:after="0"/>
        <w:jc w:val="both"/>
        <w:rPr>
          <w:rFonts w:ascii="Arial Narrow" w:hAnsi="Arial Narrow" w:eastAsia="Calibri" w:cs="Times New Roman"/>
          <w:kern w:val="2"/>
          <w:sz w:val="4"/>
          <w:szCs w:val="4"/>
          <w:shd w:fill="FFFFFF" w:val="clear"/>
          <w:lang w:val="en-IN"/>
        </w:rPr>
      </w:pPr>
      <w:r>
        <w:rPr>
          <w:rFonts w:eastAsia="Calibri" w:cs="Times New Roman" w:ascii="Arial Narrow" w:hAnsi="Arial Narrow"/>
          <w:kern w:val="2"/>
          <w:sz w:val="4"/>
          <w:szCs w:val="4"/>
          <w:shd w:fill="FFFFFF" w:val="clear"/>
          <w:lang w:val="en-IN"/>
        </w:rPr>
      </w:r>
    </w:p>
    <w:p>
      <w:pPr>
        <w:pStyle w:val="Normal"/>
        <w:spacing w:before="0" w:after="0"/>
        <w:jc w:val="both"/>
        <w:rPr>
          <w:rFonts w:ascii="Arial Narrow" w:hAnsi="Arial Narrow" w:eastAsia="Calibri" w:cs="Times New Roman"/>
          <w:kern w:val="2"/>
          <w:sz w:val="4"/>
          <w:szCs w:val="4"/>
          <w:shd w:fill="FFFFFF" w:val="clear"/>
          <w:lang w:val="en-IN"/>
        </w:rPr>
      </w:pPr>
      <w:r>
        <w:rPr>
          <w:rFonts w:eastAsia="Calibri" w:cs="Times New Roman" w:ascii="Arial Narrow" w:hAnsi="Arial Narrow"/>
          <w:kern w:val="2"/>
          <w:sz w:val="4"/>
          <w:szCs w:val="4"/>
          <w:shd w:fill="FFFFFF" w:val="clear"/>
          <w:lang w:val="en-IN"/>
        </w:rPr>
      </w:r>
    </w:p>
    <w:p>
      <w:pPr>
        <w:pStyle w:val="Normal"/>
        <w:spacing w:before="0" w:after="120"/>
        <w:jc w:val="both"/>
        <w:rPr>
          <w:sz w:val="4"/>
          <w:szCs w:val="4"/>
        </w:rPr>
      </w:pPr>
      <w:r>
        <w:rPr>
          <w:rFonts w:eastAsia="Calibri" w:cs="Times New Roman" w:ascii="Arial Narrow" w:hAnsi="Arial Narrow"/>
          <w:b/>
          <w:kern w:val="2"/>
          <w:sz w:val="4"/>
          <w:szCs w:val="4"/>
          <w:shd w:fill="FFFFFF" w:val="clear"/>
          <w:lang w:val="en-IN"/>
        </w:rPr>
        <w:t>Table 1.</w:t>
      </w:r>
      <w:r>
        <w:rPr>
          <w:rFonts w:eastAsia="Calibri" w:cs="Times New Roman" w:ascii="Arial Narrow" w:hAnsi="Arial Narrow"/>
          <w:kern w:val="2"/>
          <w:sz w:val="4"/>
          <w:szCs w:val="4"/>
          <w:shd w:fill="FFFFFF" w:val="clear"/>
          <w:lang w:val="en-IN"/>
        </w:rPr>
        <w:t xml:space="preserve">  Age wise mean body circumferences and circumferences to height ratios </w:t>
      </w:r>
      <w:r>
        <w:rPr>
          <w:rFonts w:cs="Times New Roman" w:ascii="Arial Narrow" w:hAnsi="Arial Narrow"/>
          <w:sz w:val="4"/>
          <w:szCs w:val="4"/>
          <w:shd w:fill="FFFFFF" w:val="clear"/>
          <w:lang w:val="en-IN"/>
        </w:rPr>
        <w:t>(</w:t>
      </w:r>
      <w:r>
        <w:rPr>
          <w:rFonts w:cs="Times New Roman" w:ascii="Arial Narrow" w:hAnsi="Arial Narrow"/>
          <w:color w:val="1B1B1B"/>
          <w:sz w:val="4"/>
          <w:szCs w:val="4"/>
          <w:shd w:fill="FFFFFF" w:val="clear"/>
          <w:lang w:val="en-IN"/>
        </w:rPr>
        <w:t>mean ± SD)</w:t>
      </w:r>
      <w:r>
        <w:rPr>
          <w:rFonts w:eastAsia="Calibri" w:cs="Times New Roman" w:ascii="Arial Narrow" w:hAnsi="Arial Narrow"/>
          <w:kern w:val="2"/>
          <w:sz w:val="4"/>
          <w:szCs w:val="4"/>
          <w:shd w:fill="FFFFFF" w:val="clear"/>
          <w:lang w:val="en-IN"/>
        </w:rPr>
        <w:t xml:space="preserve"> among the participants.</w:t>
      </w:r>
    </w:p>
    <w:p>
      <w:pPr>
        <w:pStyle w:val="Normal"/>
        <w:spacing w:before="0" w:after="0"/>
        <w:jc w:val="both"/>
        <w:rPr>
          <w:rFonts w:ascii="Arial Narrow" w:hAnsi="Arial Narrow" w:eastAsia="Times New Roman" w:cs="Times New Roman"/>
          <w:bCs/>
          <w:iCs/>
          <w:sz w:val="4"/>
          <w:szCs w:val="4"/>
          <w:lang w:val="en-IN" w:eastAsia="en-IN"/>
        </w:rPr>
      </w:pPr>
      <w:r>
        <w:rPr>
          <w:rFonts w:eastAsia="Times New Roman" w:cs="Times New Roman" w:ascii="Arial Narrow" w:hAnsi="Arial Narrow"/>
          <w:bCs/>
          <w:iCs/>
          <w:sz w:val="4"/>
          <w:szCs w:val="4"/>
          <w:lang w:val="en-IN" w:eastAsia="en-IN"/>
        </w:rPr>
      </w:r>
    </w:p>
    <w:p>
      <w:pPr>
        <w:pStyle w:val="Normal"/>
        <w:spacing w:before="0" w:after="0"/>
        <w:jc w:val="both"/>
        <w:rPr>
          <w:rFonts w:ascii="Arial Narrow" w:hAnsi="Arial Narrow" w:eastAsia="Times New Roman" w:cs="Times New Roman"/>
          <w:bCs/>
          <w:iCs/>
          <w:sz w:val="4"/>
          <w:szCs w:val="4"/>
          <w:lang w:val="en-IN" w:eastAsia="en-IN"/>
        </w:rPr>
      </w:pPr>
      <w:r>
        <w:rPr>
          <w:rFonts w:eastAsia="Times New Roman" w:cs="Times New Roman" w:ascii="Arial Narrow" w:hAnsi="Arial Narrow"/>
          <w:bCs/>
          <w:iCs/>
          <w:sz w:val="4"/>
          <w:szCs w:val="4"/>
          <w:lang w:val="en-IN" w:eastAsia="en-IN"/>
        </w:rPr>
      </w:r>
    </w:p>
    <w:p>
      <w:pPr>
        <w:pStyle w:val="Normal"/>
        <w:jc w:val="center"/>
        <w:rPr>
          <w:sz w:val="4"/>
          <w:szCs w:val="4"/>
        </w:rPr>
      </w:pPr>
      <w:r>
        <w:rPr>
          <w:sz w:val="4"/>
          <w:szCs w:val="4"/>
        </w:rPr>
      </w:r>
    </w:p>
    <w:p>
      <w:pPr>
        <w:pStyle w:val="Normal"/>
        <w:spacing w:before="0" w:after="0"/>
        <w:rPr>
          <w:sz w:val="4"/>
          <w:szCs w:val="4"/>
        </w:rPr>
      </w:pPr>
      <w:r>
        <w:rPr>
          <w:rFonts w:eastAsia="Calibri" w:cs="Times New Roman" w:ascii="Arial Narrow" w:hAnsi="Arial Narrow"/>
          <w:b/>
          <w:kern w:val="2"/>
          <w:sz w:val="4"/>
          <w:szCs w:val="4"/>
          <w:lang w:val="en-IN"/>
        </w:rPr>
        <w:t>Figure 1.</w:t>
      </w:r>
      <w:r>
        <w:rPr>
          <w:rFonts w:eastAsia="Calibri" w:cs="Times New Roman" w:ascii="Arial Narrow" w:hAnsi="Arial Narrow"/>
          <w:kern w:val="2"/>
          <w:sz w:val="4"/>
          <w:szCs w:val="4"/>
          <w:lang w:val="en-IN"/>
        </w:rPr>
        <w:t xml:space="preserve">  Mid upper arm circumference and head circumference-based growth and </w:t>
      </w:r>
      <w:r>
        <w:rPr>
          <w:rFonts w:eastAsia="Times New Roman" w:cs="Times New Roman" w:ascii="Arial Narrow" w:hAnsi="Arial Narrow"/>
          <w:sz w:val="4"/>
          <w:szCs w:val="4"/>
          <w:lang w:val="en-IN" w:eastAsia="en-IN"/>
        </w:rPr>
        <w:t xml:space="preserve">nutritional </w:t>
      </w:r>
      <w:r>
        <w:rPr>
          <w:rFonts w:eastAsia="Calibri" w:cs="Times New Roman" w:ascii="Arial Narrow" w:hAnsi="Arial Narrow"/>
          <w:kern w:val="2"/>
          <w:sz w:val="4"/>
          <w:szCs w:val="4"/>
          <w:lang w:val="en-IN"/>
        </w:rPr>
        <w:t>status among the studied tribal preschool children</w:t>
      </w:r>
    </w:p>
    <w:p>
      <w:pPr>
        <w:pStyle w:val="Normal"/>
        <w:spacing w:before="0" w:after="0"/>
        <w:rPr>
          <w:rFonts w:ascii="Arial Narrow" w:hAnsi="Arial Narrow" w:eastAsia="Calibri" w:cs="Times New Roman"/>
          <w:kern w:val="2"/>
          <w:sz w:val="4"/>
          <w:szCs w:val="4"/>
          <w:lang w:val="en-IN"/>
        </w:rPr>
      </w:pPr>
      <w:r>
        <w:rPr>
          <w:rFonts w:eastAsia="Calibri" w:cs="Times New Roman" w:ascii="Arial Narrow" w:hAnsi="Arial Narrow"/>
          <w:kern w:val="2"/>
          <w:sz w:val="4"/>
          <w:szCs w:val="4"/>
          <w:lang w:val="en-IN"/>
        </w:rPr>
      </w:r>
    </w:p>
    <w:p>
      <w:pPr>
        <w:pStyle w:val="Normal"/>
        <w:spacing w:before="0" w:after="0"/>
        <w:rPr>
          <w:rFonts w:ascii="Arial Narrow" w:hAnsi="Arial Narrow" w:eastAsia="Calibri" w:cs="Times New Roman"/>
          <w:kern w:val="2"/>
          <w:sz w:val="4"/>
          <w:szCs w:val="4"/>
          <w:lang w:val="en-IN"/>
        </w:rPr>
      </w:pPr>
      <w:r>
        <w:rPr>
          <w:rFonts w:eastAsia="Calibri" w:cs="Times New Roman" w:ascii="Arial Narrow" w:hAnsi="Arial Narrow"/>
          <w:kern w:val="2"/>
          <w:sz w:val="4"/>
          <w:szCs w:val="4"/>
          <w:lang w:val="en-IN"/>
        </w:rPr>
      </w:r>
    </w:p>
    <w:p>
      <w:pPr>
        <w:pStyle w:val="Normal"/>
        <w:spacing w:before="0" w:after="0"/>
        <w:ind w:firstLine="567"/>
        <w:jc w:val="both"/>
        <w:rPr>
          <w:sz w:val="4"/>
          <w:szCs w:val="4"/>
        </w:rPr>
      </w:pPr>
      <w:r>
        <w:rPr>
          <w:rFonts w:eastAsia="Times New Roman" w:cs="Times New Roman" w:ascii="Arial Narrow" w:hAnsi="Arial Narrow"/>
          <w:sz w:val="4"/>
          <w:szCs w:val="4"/>
          <w:lang w:val="en-IN" w:eastAsia="en-IN"/>
        </w:rPr>
        <w:t>The body circumferences and circumferences to height ratio differences observed between healthy and undernourished children are shown in Table 4. Normal or healthy children of both sexes show</w:t>
      </w:r>
      <w:r>
        <w:rPr>
          <w:rFonts w:eastAsia="Times New Roman" w:cs="Times New Roman" w:ascii="Arial Narrow" w:hAnsi="Arial Narrow"/>
          <w:bCs/>
          <w:iCs/>
          <w:sz w:val="4"/>
          <w:szCs w:val="4"/>
          <w:lang w:val="en-IN" w:eastAsia="en-IN"/>
        </w:rPr>
        <w:t xml:space="preserve">ed </w:t>
      </w:r>
      <w:r>
        <w:rPr>
          <w:rFonts w:eastAsia="Times New Roman" w:cs="Times New Roman" w:ascii="Arial Narrow" w:hAnsi="Arial Narrow"/>
          <w:sz w:val="4"/>
          <w:szCs w:val="4"/>
          <w:lang w:val="en-IN" w:eastAsia="en-IN"/>
        </w:rPr>
        <w:t>higher mean values in height and weight and significant differences (except girls’ height) observed. Six types of circumferences show</w:t>
      </w:r>
      <w:r>
        <w:rPr>
          <w:rFonts w:eastAsia="Times New Roman" w:cs="Times New Roman" w:ascii="Arial Narrow" w:hAnsi="Arial Narrow"/>
          <w:bCs/>
          <w:sz w:val="4"/>
          <w:szCs w:val="4"/>
          <w:lang w:val="en-IN" w:eastAsia="en-IN"/>
        </w:rPr>
        <w:t>ed</w:t>
      </w:r>
      <w:r>
        <w:rPr>
          <w:rFonts w:eastAsia="Times New Roman" w:cs="Times New Roman" w:ascii="Arial Narrow" w:hAnsi="Arial Narrow"/>
          <w:sz w:val="4"/>
          <w:szCs w:val="4"/>
          <w:lang w:val="en-IN" w:eastAsia="en-IN"/>
        </w:rPr>
        <w:t xml:space="preserve"> a higher mean value in healthy children compared to nutritional deficiencies children, with significant differences observed in both boys and girls (p= &lt;0.001). In both boys and girls, all circumference to height ratio shows statistically significant differences from normal to </w:t>
      </w:r>
      <w:r>
        <w:rPr>
          <w:rFonts w:eastAsia="Calibri" w:cs="Times New Roman" w:ascii="Arial Narrow" w:hAnsi="Arial Narrow"/>
          <w:kern w:val="2"/>
          <w:sz w:val="4"/>
          <w:szCs w:val="4"/>
        </w:rPr>
        <w:t>undernourished</w:t>
      </w:r>
      <w:r>
        <w:rPr>
          <w:rFonts w:eastAsia="Times New Roman" w:cs="Times New Roman" w:ascii="Arial Narrow" w:hAnsi="Arial Narrow"/>
          <w:sz w:val="4"/>
          <w:szCs w:val="4"/>
          <w:lang w:val="en-IN" w:eastAsia="en-IN"/>
        </w:rPr>
        <w:t xml:space="preserve"> children (except head circumference to height ratio in boys).</w:t>
      </w:r>
    </w:p>
    <w:p>
      <w:pPr>
        <w:pStyle w:val="Normal"/>
        <w:spacing w:before="0" w:after="0"/>
        <w:jc w:val="both"/>
        <w:rPr>
          <w:rFonts w:ascii="Arial Narrow" w:hAnsi="Arial Narrow" w:eastAsia="Times New Roman" w:cs="Times New Roman"/>
          <w:sz w:val="4"/>
          <w:szCs w:val="4"/>
          <w:lang w:val="en-IN" w:eastAsia="en-IN"/>
        </w:rPr>
      </w:pPr>
      <w:r>
        <w:rPr>
          <w:rFonts w:eastAsia="Times New Roman" w:cs="Times New Roman" w:ascii="Arial Narrow" w:hAnsi="Arial Narrow"/>
          <w:sz w:val="4"/>
          <w:szCs w:val="4"/>
          <w:lang w:val="en-IN" w:eastAsia="en-IN"/>
        </w:rPr>
      </w:r>
    </w:p>
    <w:p>
      <w:pPr>
        <w:pStyle w:val="Normal"/>
        <w:spacing w:before="0" w:after="0"/>
        <w:jc w:val="both"/>
        <w:rPr>
          <w:rFonts w:ascii="Arial Narrow" w:hAnsi="Arial Narrow" w:eastAsia="Times New Roman" w:cs="Times New Roman"/>
          <w:sz w:val="4"/>
          <w:szCs w:val="4"/>
          <w:lang w:val="en-IN" w:eastAsia="en-IN"/>
        </w:rPr>
      </w:pPr>
      <w:r>
        <w:rPr>
          <w:rFonts w:eastAsia="Times New Roman" w:cs="Times New Roman" w:ascii="Arial Narrow" w:hAnsi="Arial Narrow"/>
          <w:sz w:val="4"/>
          <w:szCs w:val="4"/>
          <w:lang w:val="en-IN" w:eastAsia="en-IN"/>
        </w:rPr>
      </w:r>
    </w:p>
    <w:p>
      <w:pPr>
        <w:pStyle w:val="Normal"/>
        <w:spacing w:before="0" w:after="120"/>
        <w:jc w:val="both"/>
        <w:rPr>
          <w:sz w:val="4"/>
          <w:szCs w:val="4"/>
        </w:rPr>
      </w:pPr>
      <w:r>
        <w:rPr>
          <w:rFonts w:eastAsia="Calibri" w:cs="Times New Roman" w:ascii="Arial Narrow" w:hAnsi="Arial Narrow"/>
          <w:b/>
          <w:color w:val="1B1B1B"/>
          <w:kern w:val="2"/>
          <w:sz w:val="4"/>
          <w:szCs w:val="4"/>
          <w:shd w:fill="FFFFFF" w:val="clear"/>
          <w:lang w:val="en-IN"/>
        </w:rPr>
        <w:t>Table 4.</w:t>
      </w:r>
      <w:r>
        <w:rPr>
          <w:rFonts w:eastAsia="Calibri" w:cs="Times New Roman" w:ascii="Arial Narrow" w:hAnsi="Arial Narrow"/>
          <w:color w:val="1B1B1B"/>
          <w:kern w:val="2"/>
          <w:sz w:val="4"/>
          <w:szCs w:val="4"/>
          <w:shd w:fill="FFFFFF" w:val="clear"/>
          <w:lang w:val="en-IN"/>
        </w:rPr>
        <w:t xml:space="preserve"> </w:t>
      </w:r>
      <w:r>
        <w:rPr>
          <w:rFonts w:eastAsia="Calibri" w:cs="Times New Roman" w:ascii="Arial Narrow" w:hAnsi="Arial Narrow"/>
          <w:b/>
          <w:bCs/>
          <w:color w:val="1B1B1B"/>
          <w:kern w:val="2"/>
          <w:sz w:val="4"/>
          <w:szCs w:val="4"/>
          <w:shd w:fill="FFFFFF" w:val="clear"/>
          <w:lang w:val="en-IN"/>
        </w:rPr>
        <w:t xml:space="preserve"> </w:t>
      </w:r>
      <w:r>
        <w:rPr>
          <w:rFonts w:eastAsia="Calibri" w:cs="Times New Roman" w:ascii="Arial Narrow" w:hAnsi="Arial Narrow"/>
          <w:kern w:val="2"/>
          <w:sz w:val="4"/>
          <w:szCs w:val="4"/>
          <w:lang w:val="en-IN"/>
        </w:rPr>
        <w:t>Nutritional status and sex-wise circumference differences among the studied preschool children</w:t>
      </w:r>
    </w:p>
    <w:p>
      <w:pPr>
        <w:pStyle w:val="Normal"/>
        <w:spacing w:before="0" w:after="0"/>
        <w:jc w:val="both"/>
        <w:rPr>
          <w:rFonts w:ascii="Arial Narrow" w:hAnsi="Arial Narrow" w:eastAsia="Calibri" w:cs="Times New Roman"/>
          <w:kern w:val="2"/>
          <w:sz w:val="4"/>
          <w:szCs w:val="4"/>
          <w:lang w:val="en-IN"/>
        </w:rPr>
      </w:pPr>
      <w:r>
        <w:rPr>
          <w:rFonts w:eastAsia="Calibri" w:cs="Times New Roman" w:ascii="Arial Narrow" w:hAnsi="Arial Narrow"/>
          <w:kern w:val="2"/>
          <w:sz w:val="4"/>
          <w:szCs w:val="4"/>
          <w:lang w:val="en-IN"/>
        </w:rPr>
      </w:r>
    </w:p>
    <w:p>
      <w:pPr>
        <w:pStyle w:val="Normal"/>
        <w:rPr>
          <w:sz w:val="4"/>
          <w:szCs w:val="4"/>
        </w:rPr>
      </w:pPr>
      <w:r>
        <w:rPr>
          <w:sz w:val="4"/>
          <w:szCs w:val="4"/>
        </w:rPr>
      </w:r>
    </w:p>
    <w:p>
      <w:pPr>
        <w:pStyle w:val="Normal"/>
        <w:spacing w:before="0" w:after="0"/>
        <w:rPr>
          <w:sz w:val="4"/>
          <w:szCs w:val="4"/>
        </w:rPr>
      </w:pPr>
      <w:r>
        <w:rPr>
          <w:rFonts w:eastAsia="Calibri" w:cs="Times New Roman" w:ascii="Arial Narrow" w:hAnsi="Arial Narrow"/>
          <w:b/>
          <w:kern w:val="2"/>
          <w:sz w:val="4"/>
          <w:szCs w:val="4"/>
          <w:lang w:val="en-IN"/>
        </w:rPr>
        <w:t>Figure 2.</w:t>
      </w:r>
      <w:r>
        <w:rPr>
          <w:rFonts w:eastAsia="Calibri" w:cs="Times New Roman" w:ascii="Arial Narrow" w:hAnsi="Arial Narrow"/>
          <w:kern w:val="2"/>
          <w:sz w:val="4"/>
          <w:szCs w:val="4"/>
          <w:lang w:val="en-IN"/>
        </w:rPr>
        <w:t xml:space="preserve">  Age and sex wise ROC curve by using twelve types of parameters for predicting growth faltering and </w:t>
      </w:r>
      <w:r>
        <w:rPr>
          <w:rFonts w:eastAsia="Times New Roman" w:cs="Times New Roman" w:ascii="Arial Narrow" w:hAnsi="Arial Narrow"/>
          <w:sz w:val="4"/>
          <w:szCs w:val="4"/>
          <w:lang w:val="en-IN" w:eastAsia="en-IN"/>
        </w:rPr>
        <w:t>nutritional deficiencies</w:t>
      </w:r>
    </w:p>
    <w:p>
      <w:pPr>
        <w:pStyle w:val="Normal"/>
        <w:spacing w:before="0" w:after="0"/>
        <w:rPr>
          <w:rFonts w:ascii="Arial Narrow" w:hAnsi="Arial Narrow" w:eastAsia="Times New Roman" w:cs="Times New Roman"/>
          <w:sz w:val="4"/>
          <w:szCs w:val="4"/>
          <w:lang w:val="en-IN" w:eastAsia="en-IN"/>
        </w:rPr>
      </w:pPr>
      <w:r>
        <w:rPr>
          <w:rFonts w:eastAsia="Times New Roman" w:cs="Times New Roman" w:ascii="Arial Narrow" w:hAnsi="Arial Narrow"/>
          <w:sz w:val="4"/>
          <w:szCs w:val="4"/>
          <w:lang w:val="en-IN" w:eastAsia="en-IN"/>
        </w:rPr>
      </w:r>
    </w:p>
    <w:p>
      <w:pPr>
        <w:pStyle w:val="Normal"/>
        <w:spacing w:before="0" w:after="0"/>
        <w:rPr>
          <w:rFonts w:ascii="Arial Narrow" w:hAnsi="Arial Narrow" w:eastAsia="Times New Roman" w:cs="Times New Roman"/>
          <w:sz w:val="4"/>
          <w:szCs w:val="4"/>
          <w:lang w:val="en-IN" w:eastAsia="en-IN"/>
        </w:rPr>
      </w:pPr>
      <w:r>
        <w:rPr>
          <w:rFonts w:eastAsia="Times New Roman" w:cs="Times New Roman" w:ascii="Arial Narrow" w:hAnsi="Arial Narrow"/>
          <w:sz w:val="4"/>
          <w:szCs w:val="4"/>
          <w:lang w:val="en-IN" w:eastAsia="en-IN"/>
        </w:rPr>
      </w:r>
    </w:p>
    <w:p>
      <w:pPr>
        <w:pStyle w:val="Normal"/>
        <w:spacing w:before="0" w:after="60"/>
        <w:rPr>
          <w:sz w:val="4"/>
          <w:szCs w:val="4"/>
        </w:rPr>
      </w:pPr>
      <w:r>
        <w:rPr>
          <w:rFonts w:eastAsia="Calibri" w:cs="Times New Roman" w:ascii="Arial Narrow" w:hAnsi="Arial Narrow"/>
          <w:b/>
          <w:bCs/>
          <w:kern w:val="2"/>
          <w:sz w:val="4"/>
          <w:szCs w:val="4"/>
          <w:lang w:val="en-US"/>
        </w:rPr>
        <w:t>4. Discussion</w:t>
      </w:r>
    </w:p>
    <w:p>
      <w:pPr>
        <w:pStyle w:val="Normal"/>
        <w:jc w:val="both"/>
        <w:rPr>
          <w:sz w:val="4"/>
          <w:szCs w:val="4"/>
        </w:rPr>
      </w:pPr>
      <w:r>
        <w:rPr>
          <w:rFonts w:cs="Times New Roman" w:ascii="Arial Narrow" w:hAnsi="Arial Narrow"/>
          <w:sz w:val="4"/>
          <w:szCs w:val="4"/>
          <w:lang w:val="en-US"/>
        </w:rPr>
        <w:t xml:space="preserve">Undernutrition is a significant global issue, causing 3.1 million child deaths annually, 45% of them in children under five years of age </w:t>
      </w:r>
      <w:r>
        <w:rPr>
          <w:rFonts w:eastAsia="Times New Roman" w:cs="Times New Roman" w:ascii="Arial Narrow" w:hAnsi="Arial Narrow"/>
          <w:sz w:val="4"/>
          <w:szCs w:val="4"/>
          <w:lang w:eastAsia="en-IN"/>
        </w:rPr>
        <w:t xml:space="preserve">(UNICEF, 2018). </w:t>
      </w:r>
      <w:r>
        <w:rPr>
          <w:rFonts w:eastAsia="Times New Roman" w:cs="Times New Roman" w:ascii="Arial Narrow" w:hAnsi="Arial Narrow"/>
          <w:sz w:val="4"/>
          <w:szCs w:val="4"/>
          <w:lang w:val="en-IN" w:eastAsia="en-IN"/>
        </w:rPr>
        <w:t xml:space="preserve">A previous study reported that chronic undernutrition in children causes slower cognitive development, major health problems later in life, and reduced life expectancy </w:t>
      </w:r>
      <w:r>
        <w:fldChar w:fldCharType="begin"/>
      </w:r>
      <w:r>
        <w:rPr>
          <w:sz w:val="4"/>
          <w:szCs w:val="4"/>
          <w:rFonts w:eastAsia="Times New Roman" w:cs="Times New Roman" w:ascii="Arial Narrow" w:hAnsi="Arial Narrow"/>
          <w:lang w:val="en-IN" w:eastAsia="en-IN"/>
        </w:rPr>
        <w:instrText xml:space="preserve">ADDIN ZOTERO_ITEM CSL_CITATION {"citationID":"p2A1TgFb","properties":{"formattedCitation":"(Scrimshaw, 1997)","plainCitation":"(Scrimshaw, 1997)","noteIndex":0},"citationItems":[{"id":285,"uris":["http://zotero.org/users/local/hXR51pOC/items/IU9A4NXC"],"itemData":{"id":285,"type":"article-journal","abstract":"Fulfilment of the genetic potential of individuals is impaired by malnutrition and other environmental factors throughout life. The impact of nutritional factors in early childhood helps to explain why the known adult risk factors, demonstrable in populations, are poor predictors of cardiovascular disease in individuals. The combined findings of early and later risk factors strengthen the conclusion that the bulk of so-called degenerative diseases and many other functional impairments in adult life occur because of environmental factors, of which diet may be the most important. The apparent increased susceptibility to degenerative diseases of adults born small-for-date suggests that the increase in meat, fat, and calorie consumption with rising affluence is particularly hazardous for formerly poorly nourished populations. Articles confirming the nutritional origins of a wide range of diseases and disabilities at all ages increasingly predominate in the health-related scientific literature. Recognition that so much disease can be prevented or delayed by improved diet and related lifestyles constitutes a new paradigm applicable to the populations of both developing and industrialized countries.","container-title":"Food and Nutrition Bulletin","DOI":"10.1177/156482659701800101","ISSN":"0379-5721, 1564-8265","issue":"1","journalAbbreviation":"Food Nutr Bull","language":"en","license":"http://journals.sagepub.com/page/policies/text-and-data-mining-license","page":"1-21","source":"DOI.org (Crossref)","title":"Nutrition and Health from Womb to Tomb","URL":"http://journals.sagepub.com/doi/10.1177/156482659701800101","volume":"18","author":[{"family":"Scrimshaw","given":"Nevin S."}],"accessed":{"date-parts":[["2024",5,8]]},"issued":{"date-parts":[["1997",1]]}}}],"schema":"https://github.com/citation-style-language/schema/raw/master/csl-citation.json"}</w:instrTex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separate"/>
      </w:r>
      <w:r>
        <w:rPr>
          <w:rFonts w:eastAsia="Times New Roman" w:cs="Times New Roman" w:ascii="Arial Narrow" w:hAnsi="Arial Narrow"/>
          <w:sz w:val="4"/>
          <w:szCs w:val="4"/>
          <w:lang w:val="en-IN" w:eastAsia="en-IN"/>
        </w:rPr>
      </w:r>
      <w:r>
        <w:rPr>
          <w:rFonts w:eastAsia="Calibri" w:cs="Times New Roman" w:ascii="Arial Narrow" w:hAnsi="Arial Narrow"/>
          <w:kern w:val="2"/>
          <w:sz w:val="4"/>
          <w:szCs w:val="4"/>
          <w:lang w:val="en-IN"/>
        </w:rPr>
        <w:t>(Scrimshaw, 1997)</w: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end"/>
      </w:r>
      <w:r>
        <w:rPr>
          <w:rFonts w:eastAsia="Times New Roman" w:cs="Times New Roman" w:ascii="Arial Narrow" w:hAnsi="Arial Narrow"/>
          <w:sz w:val="4"/>
          <w:szCs w:val="4"/>
          <w:lang w:val="en-IN" w:eastAsia="en-IN"/>
        </w:rPr>
        <w:t xml:space="preserve">. The current study found that boys have higher age-adjusted mean body circumferences than girls, with the exception of thigh circumferences. Differences between the sexes were statistically significant, except for medial calf circumferences. Similarly, a previous study in Midnapore town reported that boys had higher mean HC values than girls </w:t>
      </w:r>
      <w:r>
        <w:fldChar w:fldCharType="begin"/>
      </w:r>
      <w:r>
        <w:rPr>
          <w:sz w:val="4"/>
          <w:szCs w:val="4"/>
          <w:rFonts w:eastAsia="Times New Roman" w:cs="Times New Roman" w:ascii="Arial Narrow" w:hAnsi="Arial Narrow"/>
          <w:lang w:val="en-IN" w:eastAsia="en-IN"/>
        </w:rPr>
        <w:instrText xml:space="preserve">ADDIN ZOTERO_ITEM CSL_CITATION {"citationID":"MNypD15F","properties":{"formattedCitation":"(Maiti et al., 2012)","plainCitation":"(Maiti et al., 2012)","noteIndex":0},"citationItems":[{"id":266,"uris":["http://zotero.org/users/local/hXR51pOC/items/Y7YSKS27"],"itemData":{"id":266,"type":"article-journal","container-title":"International Journal of Preventive Medicine","ISSN":"2008-8213","issue":"10","journalAbbreviation":"Int J Prev Med","language":"eng","note":"PMID: 23112904\nPMCID: PMC3483005","page":"742-744","source":"PubMed","title":"Assessment of Head Circumference among Pre-school Children of Midnapore Town, West Bengal using WHO (2007) Recommended Cut-off Points","volume":"3","author":[{"family":"Maiti","given":"Soumyajit"},{"family":"Ali","given":"Kazi M."},{"family":"Ghosh","given":"Debidas"},{"family":"Paul","given":"Shyamapada"}],"issued":{"date-parts":[["2012",10]]}}}],"schema":"https://github.com/citation-style-language/schema/raw/master/csl-citation.json"}</w:instrTex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separate"/>
      </w:r>
      <w:r>
        <w:rPr>
          <w:rFonts w:eastAsia="Times New Roman" w:cs="Times New Roman" w:ascii="Arial Narrow" w:hAnsi="Arial Narrow"/>
          <w:sz w:val="4"/>
          <w:szCs w:val="4"/>
          <w:lang w:val="en-IN" w:eastAsia="en-IN"/>
        </w:rPr>
      </w:r>
      <w:r>
        <w:rPr>
          <w:rFonts w:eastAsia="Calibri" w:cs="Times New Roman" w:ascii="Arial Narrow" w:hAnsi="Arial Narrow"/>
          <w:kern w:val="2"/>
          <w:sz w:val="4"/>
          <w:szCs w:val="4"/>
          <w:lang w:val="en-IN"/>
        </w:rPr>
        <w:t>(Maiti et al., 2012)</w: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end"/>
      </w:r>
      <w:r>
        <w:rPr>
          <w:rFonts w:eastAsia="Times New Roman" w:cs="Times New Roman" w:ascii="Arial Narrow" w:hAnsi="Arial Narrow"/>
          <w:sz w:val="4"/>
          <w:szCs w:val="4"/>
          <w:lang w:val="en-IN" w:eastAsia="en-IN"/>
        </w:rPr>
        <w:t xml:space="preserve">. Many previous studies reported similar findings </w:t>
      </w:r>
      <w:r>
        <w:fldChar w:fldCharType="begin"/>
      </w:r>
      <w:r>
        <w:rPr>
          <w:sz w:val="4"/>
          <w:szCs w:val="4"/>
          <w:rFonts w:eastAsia="Times New Roman" w:cs="Times New Roman" w:ascii="Arial Narrow" w:hAnsi="Arial Narrow"/>
          <w:lang w:val="en-IN" w:eastAsia="en-IN"/>
        </w:rPr>
        <w:instrText xml:space="preserve">ADDIN ZOTERO_ITEM CSL_CITATION {"citationID":"PMRZ4SzM","properties":{"formattedCitation":"(Mandal GC &amp; Bose K, 2010; Mondal, 2019)","plainCitation":"(Mandal GC &amp; Bose K, 2010; Mondal, 2019)","noteIndex":0},"citationItems":[{"id":265,"uris":["http://zotero.org/users/local/hXR51pOC/items/IM3T2TTJ"],"itemData":{"id":265,"type":"article-journal","container-title":"International Journal of Current Research","journalAbbreviation":"Int J Cur Res","page":"7-11","title":"Undernutrition among the rural preschool children (ICDS) of Arambag, Hooghly district, West Bengal, India, using new head Circumference cut-off points","volume":"10","author":[{"literal":"Mandal GC"},{"literal":"Bose K"}],"issued":{"date-parts":[["2010"]]}}},{"id":263,"uris":["http://zotero.org/users/local/hXR51pOC/items/AS2UJ28J"],"itemData":{"id":263,"type":"article-journal","container-title":"JOURNAL OF LIFE SCIENCES","DOI":"10.31901/24566306.2019/11.1-2.238","ISSN":"09751270, 24566306","issue":"1-2","journalAbbreviation":"JLS","source":"DOI.org (Crossref)","title":"Assessment of Undernutrition Using Head Circumference-For-Age among Karbi Preschool Children (&lt;5 Years) Of Karbi Anglong, Assam (India)","URL":"http://krepublishers.com/02-Journals/JLS/JLS-11-0-000-19-Web/JLS-11-0-000-19-Contents/JLS-11-000-19-Contents.htm","volume":"11","author":[{"family":"Mondal","given":"Nitish"}],"accessed":{"date-parts":[["2024",5,7]]},"issued":{"date-parts":[["2019",2,15]]}}}],"schema":"https://github.com/citation-style-language/schema/raw/master/csl-citation.json"}</w:instrTex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separate"/>
      </w:r>
      <w:r>
        <w:rPr>
          <w:rFonts w:eastAsia="Times New Roman" w:cs="Times New Roman" w:ascii="Arial Narrow" w:hAnsi="Arial Narrow"/>
          <w:sz w:val="4"/>
          <w:szCs w:val="4"/>
          <w:lang w:val="en-IN" w:eastAsia="en-IN"/>
        </w:rPr>
      </w:r>
      <w:r>
        <w:rPr>
          <w:rFonts w:eastAsia="Calibri" w:cs="Times New Roman" w:ascii="Arial Narrow" w:hAnsi="Arial Narrow"/>
          <w:kern w:val="2"/>
          <w:sz w:val="4"/>
          <w:szCs w:val="4"/>
          <w:lang w:val="en-IN"/>
        </w:rPr>
        <w:t>(Mandal &amp; Bose, 2010; Mondal, 2019)</w: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end"/>
      </w:r>
      <w:r>
        <w:rPr>
          <w:rFonts w:eastAsia="Times New Roman" w:cs="Times New Roman" w:ascii="Arial Narrow" w:hAnsi="Arial Narrow"/>
          <w:sz w:val="4"/>
          <w:szCs w:val="4"/>
          <w:lang w:val="en-IN" w:eastAsia="en-IN"/>
        </w:rPr>
        <w:t>.</w:t>
      </w:r>
    </w:p>
    <w:p>
      <w:pPr>
        <w:pStyle w:val="Normal"/>
        <w:spacing w:before="0" w:after="0"/>
        <w:ind w:firstLine="567"/>
        <w:jc w:val="both"/>
        <w:rPr>
          <w:sz w:val="4"/>
          <w:szCs w:val="4"/>
        </w:rPr>
      </w:pPr>
      <w:r>
        <w:rPr>
          <w:rFonts w:eastAsia="Times New Roman" w:cs="Times New Roman" w:ascii="Arial Narrow" w:hAnsi="Arial Narrow"/>
          <w:sz w:val="4"/>
          <w:szCs w:val="4"/>
          <w:lang w:val="en-IN" w:eastAsia="en-IN"/>
        </w:rPr>
        <w:t xml:space="preserve">The present study observed that all body circumferences increased with increasing child age, but the circumference to height ratios decreased with increasing age. Earlier studies had observed that HC increases with age in both sexes </w:t>
      </w:r>
      <w:r>
        <w:fldChar w:fldCharType="begin"/>
      </w:r>
      <w:r>
        <w:rPr>
          <w:sz w:val="4"/>
          <w:szCs w:val="4"/>
          <w:rFonts w:eastAsia="Times New Roman" w:cs="Times New Roman" w:ascii="Arial Narrow" w:hAnsi="Arial Narrow"/>
          <w:lang w:val="en-IN" w:eastAsia="en-IN"/>
        </w:rPr>
        <w:instrText xml:space="preserve">ADDIN ZOTERO_ITEM CSL_CITATION {"citationID":"Lf4DKOpC","properties":{"formattedCitation":"(Maiti et al., 2012)","plainCitation":"(Maiti et al., 2012)","noteIndex":0},"citationItems":[{"id":266,"uris":["http://zotero.org/users/local/hXR51pOC/items/Y7YSKS27"],"itemData":{"id":266,"type":"article-journal","container-title":"International Journal of Preventive Medicine","ISSN":"2008-8213","issue":"10","journalAbbreviation":"Int J Prev Med","language":"eng","note":"PMID: 23112904\nPMCID: PMC3483005","page":"742-744","source":"PubMed","title":"Assessment of Head Circumference among Pre-school Children of Midnapore Town, West Bengal using WHO (2007) Recommended Cut-off Points","volume":"3","author":[{"family":"Maiti","given":"Soumyajit"},{"family":"Ali","given":"Kazi M."},{"family":"Ghosh","given":"Debidas"},{"family":"Paul","given":"Shyamapada"}],"issued":{"date-parts":[["2012",10]]}}}],"schema":"https://github.com/citation-style-language/schema/raw/master/csl-citation.json"}</w:instrTex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separate"/>
      </w:r>
      <w:r>
        <w:rPr>
          <w:rFonts w:eastAsia="Times New Roman" w:cs="Times New Roman" w:ascii="Arial Narrow" w:hAnsi="Arial Narrow"/>
          <w:sz w:val="4"/>
          <w:szCs w:val="4"/>
          <w:lang w:val="en-IN" w:eastAsia="en-IN"/>
        </w:rPr>
      </w:r>
      <w:r>
        <w:rPr>
          <w:rFonts w:eastAsia="Calibri" w:cs="Times New Roman" w:ascii="Arial Narrow" w:hAnsi="Arial Narrow"/>
          <w:kern w:val="2"/>
          <w:sz w:val="4"/>
          <w:szCs w:val="4"/>
          <w:lang w:val="en-IN"/>
        </w:rPr>
        <w:t xml:space="preserve">(Maiti et al., 2012; </w:t>
      </w:r>
      <w:r>
        <w:fldChar w:fldCharType="begin"/>
      </w:r>
      <w:r>
        <w:rPr>
          <w:sz w:val="4"/>
          <w:kern w:val="2"/>
          <w:szCs w:val="4"/>
          <w:rFonts w:eastAsia="Calibri" w:cs="Times New Roman" w:ascii="Arial Narrow" w:hAnsi="Arial Narrow"/>
          <w:lang w:val="en-IN"/>
        </w:rPr>
        <w:instrText xml:space="preserve">ADDIN ZOTERO_ITEM CSL_CITATION {"citationID":"jmBJuUQi","properties":{"formattedCitation":"(Mondal, 2019)","plainCitation":"(Mondal, 2019)","noteIndex":0},"citationItems":[{"id":263,"uris":["http://zotero.org/users/local/hXR51pOC/items/AS2UJ28J"],"itemData":{"id":263,"type":"article-journal","container-title":"JOURNAL OF LIFE SCIENCES","DOI":"10.31901/24566306.2019/11.1-2.238","ISSN":"09751270, 24566306","issue":"1-2","journalAbbreviation":"JLS","source":"DOI.org (Crossref)","title":"Assessment of Undernutrition Using Head Circumference-For-Age among Karbi Preschool Children (&lt;5 Years) Of Karbi Anglong, Assam (India)","URL":"http://krepublishers.com/02-Journals/JLS/JLS-11-0-000-19-Web/JLS-11-0-000-19-Contents/JLS-11-000-19-Contents.htm","volume":"11","author":[{"family":"Mondal","given":"Nitish"}],"accessed":{"date-parts":[["2024",5,7]]},"issued":{"date-parts":[["2019",2,15]]}}}],"schema":"https://github.com/citation-style-language/schema/raw/master/csl-citation.json"}</w:instrText>
      </w:r>
      <w:r>
        <w:rPr>
          <w:rFonts w:eastAsia="Calibri" w:cs="Times New Roman" w:ascii="Arial Narrow" w:hAnsi="Arial Narrow"/>
          <w:kern w:val="2"/>
          <w:sz w:val="4"/>
          <w:szCs w:val="4"/>
          <w:lang w:val="en-IN"/>
        </w:rPr>
      </w:r>
      <w:r>
        <w:rPr>
          <w:sz w:val="4"/>
          <w:kern w:val="2"/>
          <w:szCs w:val="4"/>
          <w:rFonts w:eastAsia="Calibri" w:cs="Times New Roman" w:ascii="Arial Narrow" w:hAnsi="Arial Narrow"/>
          <w:lang w:val="en-IN"/>
        </w:rPr>
        <w:fldChar w:fldCharType="separate"/>
      </w:r>
      <w:r>
        <w:rPr>
          <w:rFonts w:eastAsia="Calibri" w:cs="Times New Roman" w:ascii="Arial Narrow" w:hAnsi="Arial Narrow"/>
          <w:kern w:val="2"/>
          <w:sz w:val="4"/>
          <w:szCs w:val="4"/>
          <w:lang w:val="en-IN"/>
        </w:rPr>
        <w:t>Mondal, 2019)</w:t>
      </w:r>
      <w:r>
        <w:rPr>
          <w:rFonts w:eastAsia="Calibri" w:cs="Times New Roman" w:ascii="Arial Narrow" w:hAnsi="Arial Narrow"/>
          <w:kern w:val="2"/>
          <w:sz w:val="4"/>
          <w:szCs w:val="4"/>
          <w:lang w:val="en-IN"/>
        </w:rPr>
      </w:r>
      <w:r>
        <w:rPr>
          <w:sz w:val="4"/>
          <w:kern w:val="2"/>
          <w:szCs w:val="4"/>
          <w:rFonts w:eastAsia="Calibri" w:cs="Times New Roman" w:ascii="Arial Narrow" w:hAnsi="Arial Narrow"/>
          <w:lang w:val="en-IN"/>
        </w:rPr>
        <w:fldChar w:fldCharType="end"/>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end"/>
      </w:r>
      <w:r>
        <w:rPr>
          <w:rFonts w:eastAsia="Times New Roman" w:cs="Times New Roman" w:ascii="Arial Narrow" w:hAnsi="Arial Narrow"/>
          <w:sz w:val="4"/>
          <w:szCs w:val="4"/>
          <w:lang w:val="en-IN" w:eastAsia="en-IN"/>
        </w:rPr>
        <w:t xml:space="preserve">, and the MUAC value also increases with age </w:t>
      </w:r>
      <w:r>
        <w:fldChar w:fldCharType="begin"/>
      </w:r>
      <w:r>
        <w:rPr>
          <w:sz w:val="4"/>
          <w:szCs w:val="4"/>
          <w:rFonts w:eastAsia="Times New Roman" w:cs="Times New Roman" w:ascii="Arial Narrow" w:hAnsi="Arial Narrow"/>
          <w:lang w:val="en-IN" w:eastAsia="en-IN"/>
        </w:rPr>
        <w:instrText xml:space="preserve">ADDIN ZOTERO_ITEM CSL_CITATION {"citationID":"DI5MMcur","properties":{"formattedCitation":"(Biswas et al., 2010)","plainCitation":"(Biswas et al., 2010)","noteIndex":0},"citationItems":[{"id":273,"uris":["http://zotero.org/users/local/hXR51pOC/items/2F8U5LCJ"],"itemData":{"id":273,"type":"article-journal","abstract":"OBJECTIVE: To investigate age and sex variations in undernutrition using mid-upper arm circumference (MUAC) cut-off values among 2016 (930 boys and 1086 girls). 3-5 years old rural children of Bengalee ethnicity at 66 Integrated Child Development Services (ICDS) Centers of Nadia District, West Bengal, India.\nMETHODS: In a cross sectional study in west Bengal of India, MUAC was measured using standard technique. A total of 2028 children (935 boys and 1093 girls) from 66 ICDS centers were enrolled in this study. The response rate was approximately 95%.\nFINDINGS: Mean MUAC among boys was higher than girls at all ages except 5 years. Significant sex differences were not observed over ages. The age-combined rates of overall (moderate and severe) undernutrition among boys (38.49%) was higher than among girls (32.22%).The age-combined rates of moderate undernutrition were 36.34% and 31.03% among boys and girls, respectively. The rates of severe undernutrition were 2.15% and 1.20% among boys and girls, respectively. There were sex differences in both moderate and severe undernutrition. In general, there was an increasing trend in the rates of overall undernutrition from 3 to 5 years in both sexes.\nCONCLUSION: These children were experiencing severe nutritional stress.","container-title":"Iranian Journal of Pediatrics","ISSN":"2008-2142","issue":"1","journalAbbreviation":"Iran J Pediatr","language":"eng","note":"PMID: 23056684\nPMCID: PMC3446013","page":"63-68","source":"PubMed","title":"Mid-upper Arm Circumference Based Undernutrition among Bengalee Children of Chapra, West Bengal, India","volume":"20","author":[{"family":"Biswas","given":"Sadaruddin"},{"family":"Bose","given":"Kaushik"},{"family":"Mukhopadhyay","given":"Ashish"},{"family":"Bhadra","given":"Mithu"}],"issued":{"date-parts":[["2010",3]]}}}],"schema":"https://github.com/citation-style-language/schema/raw/master/csl-citation.json"}</w:instrTex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separate"/>
      </w:r>
      <w:r>
        <w:rPr>
          <w:rFonts w:eastAsia="Times New Roman" w:cs="Times New Roman" w:ascii="Arial Narrow" w:hAnsi="Arial Narrow"/>
          <w:sz w:val="4"/>
          <w:szCs w:val="4"/>
          <w:lang w:val="en-IN" w:eastAsia="en-IN"/>
        </w:rPr>
      </w:r>
      <w:r>
        <w:rPr>
          <w:rFonts w:eastAsia="Calibri" w:cs="Times New Roman" w:ascii="Arial Narrow" w:hAnsi="Arial Narrow"/>
          <w:kern w:val="2"/>
          <w:sz w:val="4"/>
          <w:szCs w:val="4"/>
          <w:lang w:val="en-IN"/>
        </w:rPr>
        <w:t>(Biswas et al., 2010)</w:t>
      </w:r>
      <w:r>
        <w:rPr>
          <w:rFonts w:eastAsia="Times New Roman" w:cs="Times New Roman" w:ascii="Arial Narrow" w:hAnsi="Arial Narrow"/>
          <w:sz w:val="4"/>
          <w:szCs w:val="4"/>
          <w:lang w:val="en-IN" w:eastAsia="en-IN"/>
        </w:rPr>
      </w:r>
      <w:r>
        <w:rPr>
          <w:sz w:val="4"/>
          <w:szCs w:val="4"/>
          <w:rFonts w:eastAsia="Times New Roman" w:cs="Times New Roman" w:ascii="Arial Narrow" w:hAnsi="Arial Narrow"/>
          <w:lang w:val="en-IN" w:eastAsia="en-IN"/>
        </w:rPr>
        <w:fldChar w:fldCharType="end"/>
      </w:r>
      <w:r>
        <w:rPr>
          <w:rFonts w:eastAsia="Times New Roman" w:cs="Times New Roman" w:ascii="Arial Narrow" w:hAnsi="Arial Narrow"/>
          <w:sz w:val="4"/>
          <w:szCs w:val="4"/>
          <w:lang w:val="en-IN" w:eastAsia="en-IN"/>
        </w:rPr>
        <w:t>.</w:t>
      </w:r>
    </w:p>
    <w:p>
      <w:pPr>
        <w:pStyle w:val="Normal"/>
        <w:spacing w:before="0" w:after="0"/>
        <w:ind w:firstLine="567"/>
        <w:jc w:val="both"/>
        <w:rPr>
          <w:rFonts w:ascii="Arial Narrow" w:hAnsi="Arial Narrow"/>
          <w:color w:val="000000"/>
          <w:sz w:val="4"/>
          <w:szCs w:val="4"/>
          <w:lang w:val="en-US"/>
        </w:rPr>
      </w:pPr>
      <w:r>
        <w:rPr>
          <w:rFonts w:ascii="Arial Narrow" w:hAnsi="Arial Narrow"/>
          <w:color w:val="000000"/>
          <w:sz w:val="4"/>
          <w:szCs w:val="4"/>
          <w:lang w:val="en-US"/>
        </w:rPr>
      </w:r>
    </w:p>
    <w:p>
      <w:pPr>
        <w:pStyle w:val="Normal"/>
        <w:spacing w:before="0" w:after="60"/>
        <w:rPr>
          <w:sz w:val="4"/>
          <w:szCs w:val="4"/>
        </w:rPr>
      </w:pPr>
      <w:r>
        <w:rPr>
          <w:rFonts w:eastAsia="Times New Roman" w:cs="Times New Roman" w:ascii="Arial Narrow" w:hAnsi="Arial Narrow"/>
          <w:b/>
          <w:bCs/>
          <w:sz w:val="4"/>
          <w:szCs w:val="4"/>
          <w:lang w:val="en-IN" w:eastAsia="en-IN"/>
        </w:rPr>
        <w:t>5. Limitations</w:t>
      </w:r>
    </w:p>
    <w:p>
      <w:pPr>
        <w:pStyle w:val="Normal"/>
        <w:spacing w:before="0" w:after="0"/>
        <w:jc w:val="both"/>
        <w:rPr>
          <w:sz w:val="4"/>
          <w:szCs w:val="4"/>
        </w:rPr>
      </w:pPr>
      <w:r>
        <w:rPr>
          <w:rFonts w:eastAsia="Times New Roman" w:cs="Times New Roman" w:ascii="Arial Narrow" w:hAnsi="Arial Narrow"/>
          <w:sz w:val="4"/>
          <w:szCs w:val="4"/>
          <w:lang w:val="en-IN" w:eastAsia="en-IN"/>
        </w:rPr>
        <w:t>The present study, had some limitations, due to its cross-sectional nature and its small sample size in a small geographical region. Therefore, the results cannot be generalized to the entire state or country. The study design was such that it could not reveal any correlation between socioeconomic factors, mortality, morbidity, and undernutrition based on various parameters.</w:t>
      </w:r>
    </w:p>
    <w:p>
      <w:pPr>
        <w:pStyle w:val="Normal"/>
        <w:spacing w:before="0" w:after="0"/>
        <w:jc w:val="both"/>
        <w:rPr>
          <w:rFonts w:ascii="Arial Narrow" w:hAnsi="Arial Narrow" w:eastAsia="Times New Roman" w:cs="Times New Roman"/>
          <w:sz w:val="4"/>
          <w:szCs w:val="4"/>
          <w:lang w:val="en-IN" w:eastAsia="en-IN"/>
        </w:rPr>
      </w:pPr>
      <w:r>
        <w:rPr>
          <w:rFonts w:eastAsia="Times New Roman" w:cs="Times New Roman" w:ascii="Arial Narrow" w:hAnsi="Arial Narrow"/>
          <w:sz w:val="4"/>
          <w:szCs w:val="4"/>
          <w:lang w:val="en-IN" w:eastAsia="en-IN"/>
        </w:rPr>
      </w:r>
    </w:p>
    <w:p>
      <w:pPr>
        <w:pStyle w:val="Normal"/>
        <w:spacing w:before="0" w:after="60"/>
        <w:rPr>
          <w:sz w:val="4"/>
          <w:szCs w:val="4"/>
        </w:rPr>
      </w:pPr>
      <w:r>
        <w:rPr>
          <w:rFonts w:eastAsia="Times New Roman" w:cs="Times New Roman" w:ascii="Arial Narrow" w:hAnsi="Arial Narrow"/>
          <w:b/>
          <w:bCs/>
          <w:sz w:val="4"/>
          <w:szCs w:val="4"/>
          <w:lang w:val="en-IN" w:eastAsia="en-IN"/>
        </w:rPr>
        <w:t>6. Recommendation</w:t>
      </w:r>
    </w:p>
    <w:p>
      <w:pPr>
        <w:pStyle w:val="Normal"/>
        <w:spacing w:before="0" w:after="0"/>
        <w:jc w:val="both"/>
        <w:rPr>
          <w:sz w:val="4"/>
          <w:szCs w:val="4"/>
        </w:rPr>
      </w:pPr>
      <w:r>
        <w:rPr>
          <w:rFonts w:eastAsia="Times New Roman" w:cs="Times New Roman" w:ascii="Arial Narrow" w:hAnsi="Arial Narrow"/>
          <w:sz w:val="4"/>
          <w:szCs w:val="4"/>
          <w:lang w:val="en-IN" w:eastAsia="en-IN"/>
        </w:rPr>
        <w:t xml:space="preserve">The present study found that undernutrition is a major issue among tribal children and a barrier to their growth and brain development. </w:t>
      </w:r>
      <w:r>
        <w:rPr>
          <w:rFonts w:cs="Times New Roman" w:ascii="Arial Narrow" w:hAnsi="Arial Narrow"/>
          <w:sz w:val="4"/>
          <w:szCs w:val="4"/>
          <w:lang w:val="en-US"/>
        </w:rPr>
        <w:t>In India, two main government schemes, the Integrated Child Development Services (ICDS) and POSHAN Abhiyaan, are currently operating to provide supplementary food for preschool children. So, there is an urgent need for strengthening existing nutrition schemes, a requirement for regular monitoring of growth indicators, a quality assessment of food distribution, and timely interventions to address gaps. Ensuring community participation, capacity building of Anganwadi workers, and introducing digital tools for real-time monitoring can improve accountability and efficiency.</w:t>
      </w:r>
      <w:r>
        <w:rPr>
          <w:rFonts w:eastAsia="Times New Roman" w:cs="Times New Roman" w:ascii="Arial Narrow" w:hAnsi="Arial Narrow"/>
          <w:sz w:val="4"/>
          <w:szCs w:val="4"/>
          <w:lang w:val="en-IN" w:eastAsia="en-IN"/>
        </w:rPr>
        <w:t xml:space="preserve"> Also needed are programs to raise parents’ awareness of their child’s growth and development, nutritional requirements and health. This study also provides cut-off values which can be used in future studies of tribal children. </w:t>
      </w:r>
    </w:p>
    <w:p>
      <w:pPr>
        <w:pStyle w:val="Normal"/>
        <w:spacing w:before="0" w:after="0"/>
        <w:jc w:val="both"/>
        <w:rPr>
          <w:rFonts w:ascii="Arial Narrow" w:hAnsi="Arial Narrow" w:eastAsia="Times New Roman" w:cs="Times New Roman"/>
          <w:b/>
          <w:bCs/>
          <w:sz w:val="4"/>
          <w:szCs w:val="4"/>
          <w:lang w:val="en-IN" w:eastAsia="en-IN"/>
        </w:rPr>
      </w:pPr>
      <w:r>
        <w:rPr>
          <w:rFonts w:eastAsia="Times New Roman" w:cs="Times New Roman" w:ascii="Arial Narrow" w:hAnsi="Arial Narrow"/>
          <w:b/>
          <w:bCs/>
          <w:sz w:val="4"/>
          <w:szCs w:val="4"/>
          <w:lang w:val="en-IN" w:eastAsia="en-IN"/>
        </w:rPr>
      </w:r>
    </w:p>
    <w:p>
      <w:pPr>
        <w:pStyle w:val="Normal"/>
        <w:tabs>
          <w:tab w:val="clear" w:pos="720"/>
          <w:tab w:val="left" w:pos="2745" w:leader="none"/>
        </w:tabs>
        <w:spacing w:before="0" w:after="60"/>
        <w:rPr>
          <w:sz w:val="4"/>
          <w:szCs w:val="4"/>
        </w:rPr>
      </w:pPr>
      <w:r>
        <w:rPr>
          <w:rFonts w:eastAsia="Calibri" w:cs="Times New Roman" w:ascii="Arial Narrow" w:hAnsi="Arial Narrow"/>
          <w:b/>
          <w:bCs/>
          <w:kern w:val="2"/>
          <w:sz w:val="4"/>
          <w:szCs w:val="4"/>
          <w:lang w:val="en-US"/>
        </w:rPr>
        <w:t>7. Conclusion</w:t>
        <w:tab/>
      </w:r>
    </w:p>
    <w:p>
      <w:pPr>
        <w:pStyle w:val="Normal"/>
        <w:spacing w:before="0" w:after="0"/>
        <w:jc w:val="both"/>
        <w:rPr>
          <w:sz w:val="4"/>
          <w:szCs w:val="4"/>
        </w:rPr>
      </w:pPr>
      <w:r>
        <w:rPr>
          <w:rFonts w:eastAsia="Calibri" w:cs="Times New Roman" w:ascii="Arial Narrow" w:hAnsi="Arial Narrow"/>
          <w:kern w:val="2"/>
          <w:sz w:val="4"/>
          <w:szCs w:val="4"/>
        </w:rPr>
        <w:t>The present study indicates that head circumference (HC)-based nutritional deficiencies are more prevalent than mid-upper arm circumference (MUAC)-based nutritional deficiencies among tribal preschool children. While low MUAC reflects a high prevalence of undernutrition, low HC indicates inadequate brain growth and development, thereby underscoring the multifaceted impact of malnutrition. The use of circumference-to-height ratios further provides critical insights into the proportional growth and development of children. By comparing twelve anthropometric parameters, MUAC emerged as the most reliable predictor of dual forms of child undernutrition across both sexes.</w:t>
      </w:r>
      <w:r>
        <w:rPr>
          <w:rFonts w:eastAsia="Calibri" w:cs="Times New Roman" w:ascii="Arial Narrow" w:hAnsi="Arial Narrow"/>
          <w:kern w:val="2"/>
          <w:sz w:val="4"/>
          <w:szCs w:val="4"/>
          <w:lang w:val="en-IN"/>
        </w:rPr>
        <w:t xml:space="preserve"> </w:t>
      </w:r>
      <w:r>
        <w:rPr>
          <w:rFonts w:eastAsia="Times New Roman" w:cs="Times New Roman" w:ascii="Arial Narrow" w:hAnsi="Arial Narrow"/>
          <w:sz w:val="4"/>
          <w:szCs w:val="4"/>
          <w:lang w:val="en-IN" w:eastAsia="en-IN"/>
        </w:rPr>
        <w:t xml:space="preserve">It will aid in the early detection of undernutrition among tribal preschool children. </w:t>
      </w:r>
    </w:p>
    <w:p>
      <w:pPr>
        <w:pStyle w:val="Normal"/>
        <w:spacing w:before="0" w:after="0"/>
        <w:jc w:val="both"/>
        <w:rPr>
          <w:rFonts w:ascii="Arial Narrow" w:hAnsi="Arial Narrow" w:eastAsia="Times New Roman" w:cs="Times New Roman"/>
          <w:sz w:val="4"/>
          <w:szCs w:val="4"/>
          <w:lang w:val="en-IN" w:eastAsia="en-IN"/>
        </w:rPr>
      </w:pPr>
      <w:r>
        <w:rPr>
          <w:rFonts w:eastAsia="Times New Roman" w:cs="Times New Roman" w:ascii="Arial Narrow" w:hAnsi="Arial Narrow"/>
          <w:sz w:val="4"/>
          <w:szCs w:val="4"/>
          <w:lang w:val="en-IN" w:eastAsia="en-IN"/>
        </w:rPr>
      </w:r>
    </w:p>
    <w:p>
      <w:pPr>
        <w:pStyle w:val="Normal"/>
        <w:spacing w:before="0" w:after="0"/>
        <w:jc w:val="both"/>
        <w:rPr>
          <w:sz w:val="4"/>
          <w:szCs w:val="4"/>
        </w:rPr>
      </w:pPr>
      <w:r>
        <w:rPr>
          <w:rFonts w:eastAsia="Calibri" w:cs="Times New Roman" w:ascii="Arial Narrow" w:hAnsi="Arial Narrow"/>
          <w:b/>
          <w:iCs/>
          <w:sz w:val="4"/>
          <w:szCs w:val="4"/>
          <w:lang w:val="en-IN"/>
        </w:rPr>
        <w:t xml:space="preserve">Acknowledgements:  </w:t>
      </w:r>
      <w:r>
        <w:rPr>
          <w:rFonts w:eastAsia="Times New Roman" w:cs="Times New Roman" w:ascii="Arial Narrow" w:hAnsi="Arial Narrow"/>
          <w:sz w:val="4"/>
          <w:szCs w:val="4"/>
          <w:lang w:val="en-IN" w:eastAsia="en-IN"/>
        </w:rPr>
        <w:t>We gratefully acknowledge the assistance and cooperation of all preschool children who participated in this study. The authors are grateful to the Block Development Officer and Child Development Project Officer of the three blocks studied.</w:t>
      </w:r>
    </w:p>
    <w:p>
      <w:pPr>
        <w:pStyle w:val="Normal"/>
        <w:spacing w:before="0" w:after="0"/>
        <w:jc w:val="both"/>
        <w:rPr>
          <w:rFonts w:ascii="Arial Narrow" w:hAnsi="Arial Narrow" w:eastAsia="Calibri" w:cs="Times New Roman"/>
          <w:b/>
          <w:bCs/>
          <w:iCs/>
          <w:sz w:val="4"/>
          <w:szCs w:val="4"/>
          <w:lang w:val="en-IN"/>
        </w:rPr>
      </w:pPr>
      <w:r>
        <w:rPr>
          <w:rFonts w:eastAsia="Calibri" w:cs="Times New Roman" w:ascii="Arial Narrow" w:hAnsi="Arial Narrow"/>
          <w:b/>
          <w:bCs/>
          <w:iCs/>
          <w:sz w:val="4"/>
          <w:szCs w:val="4"/>
          <w:lang w:val="en-IN"/>
        </w:rPr>
      </w:r>
    </w:p>
    <w:p>
      <w:pPr>
        <w:pStyle w:val="Normal"/>
        <w:spacing w:before="0" w:after="0"/>
        <w:jc w:val="both"/>
        <w:rPr>
          <w:sz w:val="4"/>
          <w:szCs w:val="4"/>
        </w:rPr>
      </w:pPr>
      <w:r>
        <w:rPr>
          <w:rFonts w:eastAsia="Calibri" w:cs="Times New Roman" w:ascii="Arial Narrow" w:hAnsi="Arial Narrow"/>
          <w:b/>
          <w:bCs/>
          <w:iCs/>
          <w:sz w:val="4"/>
          <w:szCs w:val="4"/>
          <w:lang w:val="en-IN"/>
        </w:rPr>
        <w:t xml:space="preserve">Declaration of conflicting Interests:  </w:t>
      </w:r>
      <w:r>
        <w:rPr>
          <w:rFonts w:eastAsia="Times New Roman" w:cs="Times New Roman" w:ascii="Arial Narrow" w:hAnsi="Arial Narrow"/>
          <w:sz w:val="4"/>
          <w:szCs w:val="4"/>
          <w:lang w:val="en-IN" w:eastAsia="en-IN"/>
        </w:rPr>
        <w:t>The authors declare that there is no conflict of interest in publishing this paper.</w:t>
      </w:r>
    </w:p>
    <w:p>
      <w:pPr>
        <w:pStyle w:val="Normal"/>
        <w:spacing w:before="0" w:after="0"/>
        <w:jc w:val="both"/>
        <w:rPr>
          <w:rFonts w:ascii="Arial Narrow" w:hAnsi="Arial Narrow" w:eastAsia="Calibri" w:cs="Times New Roman"/>
          <w:b/>
          <w:iCs/>
          <w:sz w:val="4"/>
          <w:szCs w:val="4"/>
          <w:lang w:val="en-IN"/>
        </w:rPr>
      </w:pPr>
      <w:r>
        <w:rPr>
          <w:rFonts w:eastAsia="Calibri" w:cs="Times New Roman" w:ascii="Arial Narrow" w:hAnsi="Arial Narrow"/>
          <w:b/>
          <w:iCs/>
          <w:sz w:val="4"/>
          <w:szCs w:val="4"/>
          <w:lang w:val="en-IN"/>
        </w:rPr>
      </w:r>
    </w:p>
    <w:p>
      <w:pPr>
        <w:pStyle w:val="Normal"/>
        <w:spacing w:before="0" w:after="0"/>
        <w:jc w:val="both"/>
        <w:rPr>
          <w:sz w:val="4"/>
          <w:szCs w:val="4"/>
        </w:rPr>
      </w:pPr>
      <w:r>
        <w:rPr>
          <w:rFonts w:eastAsia="Calibri" w:cs="Times New Roman" w:ascii="Arial Narrow" w:hAnsi="Arial Narrow"/>
          <w:b/>
          <w:iCs/>
          <w:sz w:val="4"/>
          <w:szCs w:val="4"/>
          <w:lang w:val="en-IN"/>
        </w:rPr>
        <w:t xml:space="preserve">Ethical approval:  </w:t>
      </w:r>
      <w:r>
        <w:rPr>
          <w:rFonts w:eastAsia="Times New Roman" w:cs="Times New Roman" w:ascii="Arial Narrow" w:hAnsi="Arial Narrow"/>
          <w:sz w:val="4"/>
          <w:szCs w:val="4"/>
          <w:lang w:val="en-IN" w:eastAsia="en-IN"/>
        </w:rPr>
        <w:t>The institutional ethical review board of Vidyasagar University’s Department of Anthropology provided formal ethical approval. Verbal informed consent was obtained from all participants prior to data collection.</w:t>
      </w:r>
    </w:p>
    <w:p>
      <w:pPr>
        <w:pStyle w:val="Normal"/>
        <w:spacing w:before="0" w:after="0"/>
        <w:jc w:val="both"/>
        <w:rPr>
          <w:rFonts w:ascii="Arial Narrow" w:hAnsi="Arial Narrow" w:eastAsia="Calibri" w:cs="Times New Roman"/>
          <w:b/>
          <w:bCs/>
          <w:iCs/>
          <w:color w:val="000000"/>
          <w:sz w:val="4"/>
          <w:szCs w:val="4"/>
          <w:lang w:val="en-IN"/>
        </w:rPr>
      </w:pPr>
      <w:r>
        <w:rPr>
          <w:rFonts w:eastAsia="Calibri" w:cs="Times New Roman" w:ascii="Arial Narrow" w:hAnsi="Arial Narrow"/>
          <w:b/>
          <w:bCs/>
          <w:iCs/>
          <w:color w:val="000000"/>
          <w:sz w:val="4"/>
          <w:szCs w:val="4"/>
          <w:lang w:val="en-IN"/>
        </w:rPr>
      </w:r>
    </w:p>
    <w:p>
      <w:pPr>
        <w:pStyle w:val="Normal"/>
        <w:spacing w:before="0" w:after="0"/>
        <w:jc w:val="both"/>
        <w:rPr>
          <w:sz w:val="4"/>
          <w:szCs w:val="4"/>
        </w:rPr>
      </w:pPr>
      <w:r>
        <w:rPr>
          <w:rFonts w:eastAsia="Calibri" w:cs="Times New Roman" w:ascii="Arial Narrow" w:hAnsi="Arial Narrow"/>
          <w:b/>
          <w:bCs/>
          <w:iCs/>
          <w:color w:val="000000"/>
          <w:sz w:val="4"/>
          <w:szCs w:val="4"/>
          <w:lang w:val="en-IN"/>
        </w:rPr>
        <w:t xml:space="preserve">Author contributions:  </w:t>
      </w:r>
      <w:r>
        <w:rPr>
          <w:rFonts w:eastAsia="Times New Roman" w:cs="Times New Roman" w:ascii="Arial Narrow" w:hAnsi="Arial Narrow"/>
          <w:sz w:val="4"/>
          <w:szCs w:val="4"/>
          <w:lang w:val="en-IN" w:eastAsia="en-IN"/>
        </w:rPr>
        <w:t xml:space="preserve">BM collected the data, analysed the data, prepared the first draft of the manuscript, and formatted the manuscript for submission as well. KB supervised the study and reviewed the manuscript. </w:t>
      </w:r>
    </w:p>
    <w:p>
      <w:pPr>
        <w:pStyle w:val="Normal"/>
        <w:spacing w:before="0" w:after="0"/>
        <w:jc w:val="both"/>
        <w:rPr>
          <w:rFonts w:ascii="Arial Narrow" w:hAnsi="Arial Narrow" w:eastAsia="Calibri" w:cs="Times New Roman"/>
          <w:color w:val="252525"/>
          <w:sz w:val="4"/>
          <w:szCs w:val="4"/>
          <w:lang w:val="en-IN"/>
        </w:rPr>
      </w:pPr>
      <w:r>
        <w:rPr>
          <w:rFonts w:eastAsia="Calibri" w:cs="Times New Roman" w:ascii="Arial Narrow" w:hAnsi="Arial Narrow"/>
          <w:color w:val="252525"/>
          <w:sz w:val="4"/>
          <w:szCs w:val="4"/>
          <w:lang w:val="en-IN"/>
        </w:rPr>
      </w:r>
    </w:p>
    <w:p>
      <w:pPr>
        <w:pStyle w:val="Normal"/>
        <w:spacing w:before="0" w:after="0"/>
        <w:jc w:val="both"/>
        <w:rPr>
          <w:sz w:val="4"/>
          <w:szCs w:val="4"/>
        </w:rPr>
      </w:pPr>
      <w:r>
        <w:rPr>
          <w:rFonts w:eastAsia="Calibri" w:cs="Times New Roman" w:ascii="Arial Narrow" w:hAnsi="Arial Narrow"/>
          <w:b/>
          <w:bCs/>
          <w:color w:val="252525"/>
          <w:sz w:val="4"/>
          <w:szCs w:val="4"/>
          <w:lang w:val="en-IN"/>
        </w:rPr>
        <w:t xml:space="preserve">Funding:  </w:t>
      </w:r>
      <w:r>
        <w:rPr>
          <w:rFonts w:eastAsia="Times New Roman" w:cs="Times New Roman" w:ascii="Arial Narrow" w:hAnsi="Arial Narrow"/>
          <w:sz w:val="4"/>
          <w:szCs w:val="4"/>
          <w:lang w:val="en-IN" w:eastAsia="en-IN"/>
        </w:rPr>
        <w:t>No funds were received for this study.</w:t>
      </w:r>
    </w:p>
    <w:p>
      <w:pPr>
        <w:pStyle w:val="Normal"/>
        <w:spacing w:before="0" w:after="0"/>
        <w:rPr>
          <w:rFonts w:ascii="Arial Narrow" w:hAnsi="Arial Narrow" w:eastAsia="Calibri" w:cs="Times New Roman"/>
          <w:b/>
          <w:bCs/>
          <w:color w:themeColor="text1" w:val="000000"/>
          <w:kern w:val="2"/>
          <w:sz w:val="4"/>
          <w:szCs w:val="4"/>
          <w:lang w:val="en-US"/>
        </w:rPr>
      </w:pPr>
      <w:r>
        <w:rPr>
          <w:rFonts w:eastAsia="Calibri" w:cs="Times New Roman" w:ascii="Arial Narrow" w:hAnsi="Arial Narrow"/>
          <w:b/>
          <w:bCs/>
          <w:color w:themeColor="text1" w:val="000000"/>
          <w:kern w:val="2"/>
          <w:sz w:val="4"/>
          <w:szCs w:val="4"/>
          <w:lang w:val="en-US"/>
        </w:rPr>
      </w:r>
    </w:p>
    <w:p>
      <w:pPr>
        <w:pStyle w:val="Normal"/>
        <w:spacing w:before="0" w:after="120"/>
        <w:jc w:val="center"/>
        <w:rPr>
          <w:sz w:val="4"/>
          <w:szCs w:val="4"/>
        </w:rPr>
      </w:pPr>
      <w:r>
        <w:rPr>
          <w:rFonts w:eastAsia="Calibri" w:cs="Times New Roman" w:ascii="Arial Narrow" w:hAnsi="Arial Narrow"/>
          <w:b/>
          <w:bCs/>
          <w:color w:val="000000"/>
          <w:kern w:val="2"/>
          <w:sz w:val="4"/>
          <w:szCs w:val="4"/>
          <w:lang w:val="en-IN"/>
        </w:rPr>
        <w:t>References</w:t>
      </w:r>
    </w:p>
    <w:p>
      <w:pPr>
        <w:pStyle w:val="Normal"/>
        <w:spacing w:before="0" w:after="80"/>
        <w:ind w:hanging="357"/>
        <w:jc w:val="both"/>
        <w:rPr>
          <w:sz w:val="4"/>
          <w:szCs w:val="4"/>
        </w:rPr>
      </w:pPr>
      <w:r>
        <w:rPr>
          <w:rFonts w:eastAsia="Calibri" w:cs="Times New Roman" w:ascii="Arial Narrow" w:hAnsi="Arial Narrow"/>
          <w:bCs/>
          <w:color w:val="000000"/>
          <w:kern w:val="2"/>
          <w:sz w:val="4"/>
          <w:szCs w:val="4"/>
          <w:lang w:val="en-IN"/>
        </w:rPr>
        <w:t xml:space="preserve">Alderman, H., Hentschel, J., &amp; Sabates, R. (2003). With the help of one’s neighbors: Externalities in the production of nutrition in Peru. </w:t>
      </w:r>
      <w:r>
        <w:rPr>
          <w:rFonts w:eastAsia="Calibri" w:cs="Times New Roman" w:ascii="Arial Narrow" w:hAnsi="Arial Narrow"/>
          <w:bCs/>
          <w:i/>
          <w:color w:val="000000"/>
          <w:kern w:val="2"/>
          <w:sz w:val="4"/>
          <w:szCs w:val="4"/>
          <w:lang w:val="en-IN"/>
        </w:rPr>
        <w:t>Social Science &amp; Medicine, 56</w:t>
      </w:r>
      <w:r>
        <w:rPr>
          <w:rFonts w:eastAsia="Calibri" w:cs="Times New Roman" w:ascii="Arial Narrow" w:hAnsi="Arial Narrow"/>
          <w:bCs/>
          <w:color w:val="000000"/>
          <w:kern w:val="2"/>
          <w:sz w:val="4"/>
          <w:szCs w:val="4"/>
          <w:lang w:val="en-IN"/>
        </w:rPr>
        <w:t>(10), 2019-2031. https://doi.org/10.1016/S0277-9536(02)00183-1</w:t>
      </w:r>
    </w:p>
    <w:p>
      <w:pPr>
        <w:pStyle w:val="Normal"/>
        <w:spacing w:before="0" w:after="80"/>
        <w:ind w:hanging="357"/>
        <w:jc w:val="both"/>
        <w:rPr>
          <w:sz w:val="4"/>
          <w:szCs w:val="4"/>
        </w:rPr>
      </w:pPr>
      <w:r>
        <w:rPr>
          <w:rFonts w:eastAsia="Calibri" w:cs="Times New Roman" w:ascii="Arial Narrow" w:hAnsi="Arial Narrow"/>
          <w:bCs/>
          <w:color w:val="000000"/>
          <w:kern w:val="2"/>
          <w:sz w:val="4"/>
          <w:szCs w:val="4"/>
          <w:lang w:val="en-IN"/>
        </w:rPr>
        <w:t xml:space="preserve">Behera, J., Acharya, S. S., &amp; Pal, G. C. (2024). Equity in access to nutrition through ICDS. </w:t>
      </w:r>
      <w:r>
        <w:rPr>
          <w:rFonts w:eastAsia="Calibri" w:cs="Times New Roman" w:ascii="Arial Narrow" w:hAnsi="Arial Narrow"/>
          <w:bCs/>
          <w:i/>
          <w:color w:val="000000"/>
          <w:kern w:val="2"/>
          <w:sz w:val="4"/>
          <w:szCs w:val="4"/>
          <w:lang w:val="en-IN"/>
        </w:rPr>
        <w:t>Journal of Social Inclusion Studies, 10</w:t>
      </w:r>
      <w:r>
        <w:rPr>
          <w:rFonts w:eastAsia="Calibri" w:cs="Times New Roman" w:ascii="Arial Narrow" w:hAnsi="Arial Narrow"/>
          <w:bCs/>
          <w:color w:val="000000"/>
          <w:kern w:val="2"/>
          <w:sz w:val="4"/>
          <w:szCs w:val="4"/>
          <w:lang w:val="en-IN"/>
        </w:rPr>
        <w:t>(1), 7-18. https://doi.org/10.1177/23944811241233716</w:t>
      </w:r>
    </w:p>
    <w:p>
      <w:pPr>
        <w:pStyle w:val="Normal"/>
        <w:spacing w:before="0" w:after="80"/>
        <w:ind w:hanging="357"/>
        <w:jc w:val="both"/>
        <w:rPr>
          <w:sz w:val="4"/>
          <w:szCs w:val="4"/>
        </w:rPr>
      </w:pPr>
      <w:r>
        <w:rPr>
          <w:rFonts w:eastAsia="Calibri" w:cs="Times New Roman" w:ascii="Arial Narrow" w:hAnsi="Arial Narrow"/>
          <w:bCs/>
          <w:color w:val="000000"/>
          <w:kern w:val="2"/>
          <w:sz w:val="4"/>
          <w:szCs w:val="4"/>
          <w:lang w:val="en-IN"/>
        </w:rPr>
        <w:t xml:space="preserve">Biswas, S., Bose, K., Mukhopadhyay, A., &amp; Bhadra, M. (2010). Mid-upper arm circumference based undernutrition among Bengalee children of Chapra, West Bengal, India. </w:t>
      </w:r>
      <w:r>
        <w:rPr>
          <w:rFonts w:eastAsia="Calibri" w:cs="Times New Roman" w:ascii="Arial Narrow" w:hAnsi="Arial Narrow"/>
          <w:bCs/>
          <w:i/>
          <w:color w:val="000000"/>
          <w:kern w:val="2"/>
          <w:sz w:val="4"/>
          <w:szCs w:val="4"/>
          <w:lang w:val="en-IN"/>
        </w:rPr>
        <w:t>Iranian Journal of Pediatrics, 20</w:t>
      </w:r>
      <w:r>
        <w:rPr>
          <w:rFonts w:eastAsia="Calibri" w:cs="Times New Roman" w:ascii="Arial Narrow" w:hAnsi="Arial Narrow"/>
          <w:bCs/>
          <w:color w:val="000000"/>
          <w:kern w:val="2"/>
          <w:sz w:val="4"/>
          <w:szCs w:val="4"/>
          <w:lang w:val="en-IN"/>
        </w:rPr>
        <w:t>(1), 63-68.</w:t>
      </w:r>
    </w:p>
    <w:p>
      <w:pPr>
        <w:pStyle w:val="Normal"/>
        <w:spacing w:before="0" w:after="80"/>
        <w:ind w:hanging="357"/>
        <w:jc w:val="both"/>
        <w:rPr>
          <w:sz w:val="4"/>
          <w:szCs w:val="4"/>
        </w:rPr>
      </w:pPr>
      <w:r>
        <w:rPr>
          <w:rFonts w:eastAsia="Calibri" w:cs="Times New Roman" w:ascii="Arial Narrow" w:hAnsi="Arial Narrow"/>
          <w:bCs/>
          <w:color w:val="000000"/>
          <w:kern w:val="2"/>
          <w:sz w:val="4"/>
          <w:szCs w:val="4"/>
          <w:lang w:val="en-IN"/>
        </w:rPr>
        <w:t xml:space="preserve">Black, R. E., Victora, C. G., Walker, S. P., Bhutta, Z. A., Christian, P., De Onis, M., … &amp; Uauy, R. (2013). Maternal and child undernutrition and overweight in low-income and middle-income countries. </w:t>
      </w:r>
      <w:r>
        <w:rPr>
          <w:rFonts w:eastAsia="Calibri" w:cs="Times New Roman" w:ascii="Arial Narrow" w:hAnsi="Arial Narrow"/>
          <w:bCs/>
          <w:i/>
          <w:color w:val="000000"/>
          <w:kern w:val="2"/>
          <w:sz w:val="4"/>
          <w:szCs w:val="4"/>
          <w:lang w:val="en-IN"/>
        </w:rPr>
        <w:t>Lancet, 382</w:t>
      </w:r>
      <w:r>
        <w:rPr>
          <w:rFonts w:eastAsia="Calibri" w:cs="Times New Roman" w:ascii="Arial Narrow" w:hAnsi="Arial Narrow"/>
          <w:bCs/>
          <w:color w:val="000000"/>
          <w:kern w:val="2"/>
          <w:sz w:val="4"/>
          <w:szCs w:val="4"/>
          <w:lang w:val="en-IN"/>
        </w:rPr>
        <w:t>(9890), 427-451. https://doi.org/10.1016/S0140-6736(13)60937-X</w:t>
      </w:r>
    </w:p>
    <w:p>
      <w:pPr>
        <w:pStyle w:val="Normal"/>
        <w:spacing w:before="0" w:after="80"/>
        <w:ind w:hanging="357"/>
        <w:jc w:val="both"/>
        <w:rPr>
          <w:sz w:val="4"/>
          <w:szCs w:val="4"/>
        </w:rPr>
      </w:pPr>
      <w:r>
        <w:rPr>
          <w:rFonts w:eastAsia="Calibri" w:cs="Times New Roman" w:ascii="Arial Narrow" w:hAnsi="Arial Narrow"/>
          <w:bCs/>
          <w:color w:val="000000"/>
          <w:kern w:val="2"/>
          <w:sz w:val="4"/>
          <w:szCs w:val="4"/>
          <w:lang w:val="en-IN"/>
        </w:rPr>
        <w:t xml:space="preserve">Bose, K., Bisai, S., Chakraborty, J., Datta, N., &amp; Banerjee, P. (2008). Extreme levels of underweight and stunting among pre-adolescent children of low socioeconomic class from Madhyamgram and Barasat, West Bengal, India. </w:t>
      </w:r>
      <w:r>
        <w:rPr>
          <w:rFonts w:eastAsia="Calibri" w:cs="Times New Roman" w:ascii="Arial Narrow" w:hAnsi="Arial Narrow"/>
          <w:bCs/>
          <w:i/>
          <w:color w:val="000000"/>
          <w:kern w:val="2"/>
          <w:sz w:val="4"/>
          <w:szCs w:val="4"/>
          <w:lang w:val="en-IN"/>
        </w:rPr>
        <w:t>Collegium Anthropologicum, 32</w:t>
      </w:r>
      <w:r>
        <w:rPr>
          <w:rFonts w:eastAsia="Calibri" w:cs="Times New Roman" w:ascii="Arial Narrow" w:hAnsi="Arial Narrow"/>
          <w:bCs/>
          <w:color w:val="000000"/>
          <w:kern w:val="2"/>
          <w:sz w:val="4"/>
          <w:szCs w:val="4"/>
          <w:lang w:val="en-IN"/>
        </w:rPr>
        <w:t>(1), 73-77.</w:t>
      </w:r>
    </w:p>
    <w:p>
      <w:pPr>
        <w:pStyle w:val="Normal"/>
        <w:spacing w:before="0" w:after="80"/>
        <w:ind w:hanging="357"/>
        <w:jc w:val="both"/>
        <w:rPr>
          <w:sz w:val="4"/>
          <w:szCs w:val="4"/>
        </w:rPr>
      </w:pPr>
      <w:r>
        <w:rPr>
          <w:rFonts w:eastAsia="Calibri" w:cs="Times New Roman" w:ascii="Arial Narrow" w:hAnsi="Arial Narrow"/>
          <w:bCs/>
          <w:color w:val="000000"/>
          <w:kern w:val="2"/>
          <w:sz w:val="4"/>
          <w:szCs w:val="4"/>
          <w:lang w:val="en-IN"/>
        </w:rPr>
        <w:t xml:space="preserve">Briend, A., &amp; Zimicki, S. (1986). Validation of arm circumference as an indicator of risk of death in one to four year old children. </w:t>
      </w:r>
      <w:r>
        <w:rPr>
          <w:rFonts w:eastAsia="Calibri" w:cs="Times New Roman" w:ascii="Arial Narrow" w:hAnsi="Arial Narrow"/>
          <w:bCs/>
          <w:i/>
          <w:color w:val="000000"/>
          <w:kern w:val="2"/>
          <w:sz w:val="4"/>
          <w:szCs w:val="4"/>
          <w:lang w:val="en-IN"/>
        </w:rPr>
        <w:t>Nutrition Research, 6</w:t>
      </w:r>
      <w:r>
        <w:rPr>
          <w:rFonts w:eastAsia="Calibri" w:cs="Times New Roman" w:ascii="Arial Narrow" w:hAnsi="Arial Narrow"/>
          <w:bCs/>
          <w:color w:val="000000"/>
          <w:kern w:val="2"/>
          <w:sz w:val="4"/>
          <w:szCs w:val="4"/>
          <w:lang w:val="en-IN"/>
        </w:rPr>
        <w:t>(3), 249-261. https://doi.org/10.1016/S0271-5317(86)80129-4</w:t>
      </w:r>
    </w:p>
    <w:p>
      <w:pPr>
        <w:pStyle w:val="Normal"/>
        <w:spacing w:before="0" w:after="80"/>
        <w:ind w:hanging="357"/>
        <w:jc w:val="both"/>
        <w:rPr>
          <w:sz w:val="4"/>
          <w:szCs w:val="4"/>
        </w:rPr>
      </w:pPr>
      <w:r>
        <w:rPr>
          <w:rFonts w:eastAsia="Calibri" w:cs="Times New Roman" w:ascii="Arial Narrow" w:hAnsi="Arial Narrow"/>
          <w:bCs/>
          <w:color w:val="000000"/>
          <w:kern w:val="2"/>
          <w:sz w:val="4"/>
          <w:szCs w:val="4"/>
          <w:lang w:val="en-IN"/>
        </w:rPr>
        <w:t>Census of India (2011). Office of the Registrar General &amp; Census Commissioner, India. Ministry of Home Affairs, Government of India. https://censusindia.gov.in/census.website/</w:t>
      </w:r>
    </w:p>
    <w:p>
      <w:pPr>
        <w:pStyle w:val="Normal"/>
        <w:spacing w:before="0" w:after="80"/>
        <w:ind w:hanging="357"/>
        <w:jc w:val="both"/>
        <w:rPr>
          <w:sz w:val="4"/>
          <w:szCs w:val="4"/>
        </w:rPr>
      </w:pPr>
      <w:r>
        <w:rPr>
          <w:rFonts w:eastAsia="Calibri" w:cs="Times New Roman" w:ascii="Arial Narrow" w:hAnsi="Arial Narrow"/>
          <w:bCs/>
          <w:color w:val="000000"/>
          <w:kern w:val="2"/>
          <w:sz w:val="4"/>
          <w:szCs w:val="4"/>
          <w:lang w:val="en-IN"/>
        </w:rPr>
        <w:t xml:space="preserve">Giri, S. P., Biswas, S., &amp; Bose, K. (2018). Head circumference based nutritional status of rural Bengalee preschool children from Sagar Island, West Bengal, India. </w:t>
      </w:r>
      <w:r>
        <w:rPr>
          <w:rFonts w:eastAsia="Calibri" w:cs="Times New Roman" w:ascii="Arial Narrow" w:hAnsi="Arial Narrow"/>
          <w:bCs/>
          <w:i/>
          <w:color w:val="000000"/>
          <w:kern w:val="2"/>
          <w:sz w:val="4"/>
          <w:szCs w:val="4"/>
          <w:lang w:val="en-IN"/>
        </w:rPr>
        <w:t>Mankind Quarterly, 58</w:t>
      </w:r>
      <w:r>
        <w:rPr>
          <w:rFonts w:eastAsia="Calibri" w:cs="Times New Roman" w:ascii="Arial Narrow" w:hAnsi="Arial Narrow"/>
          <w:bCs/>
          <w:color w:val="000000"/>
          <w:kern w:val="2"/>
          <w:sz w:val="4"/>
          <w:szCs w:val="4"/>
          <w:lang w:val="en-IN"/>
        </w:rPr>
        <w:t>(4), 599-610. https://doi.org/10.46469/mq.2018.58.4.5</w:t>
      </w:r>
    </w:p>
    <w:p>
      <w:pPr>
        <w:pStyle w:val="Normal"/>
        <w:spacing w:before="0" w:after="80"/>
        <w:ind w:hanging="357"/>
        <w:jc w:val="both"/>
        <w:rPr>
          <w:sz w:val="4"/>
          <w:szCs w:val="4"/>
        </w:rPr>
      </w:pPr>
      <w:r>
        <w:rPr>
          <w:rFonts w:eastAsia="Calibri" w:cs="Times New Roman" w:ascii="Arial Narrow" w:hAnsi="Arial Narrow"/>
          <w:bCs/>
          <w:color w:val="000000"/>
          <w:kern w:val="2"/>
          <w:sz w:val="4"/>
          <w:szCs w:val="4"/>
          <w:lang w:val="en-IN"/>
        </w:rPr>
        <w:t xml:space="preserve">IFPRI (2016). </w:t>
      </w:r>
      <w:r>
        <w:rPr>
          <w:rFonts w:eastAsia="Calibri" w:cs="Times New Roman" w:ascii="Arial Narrow" w:hAnsi="Arial Narrow"/>
          <w:bCs/>
          <w:i/>
          <w:color w:val="000000"/>
          <w:kern w:val="2"/>
          <w:sz w:val="4"/>
          <w:szCs w:val="4"/>
          <w:lang w:val="en-IN"/>
        </w:rPr>
        <w:t>Global Nutrition Report 2016. From promise to impact ending malnutrition by 2030</w:t>
      </w:r>
      <w:r>
        <w:rPr>
          <w:rFonts w:eastAsia="Calibri" w:cs="Times New Roman" w:ascii="Arial Narrow" w:hAnsi="Arial Narrow"/>
          <w:bCs/>
          <w:color w:val="000000"/>
          <w:kern w:val="2"/>
          <w:sz w:val="4"/>
          <w:szCs w:val="4"/>
          <w:lang w:val="en-IN"/>
        </w:rPr>
        <w:t>. International Food Policy Research Institute. https://doi.org/10.2499/9780896295841</w:t>
      </w:r>
    </w:p>
    <w:p>
      <w:pPr>
        <w:pStyle w:val="Normal"/>
        <w:spacing w:before="0" w:after="80"/>
        <w:ind w:hanging="357"/>
        <w:jc w:val="both"/>
        <w:rPr>
          <w:sz w:val="4"/>
          <w:szCs w:val="4"/>
        </w:rPr>
      </w:pPr>
      <w:r>
        <w:rPr>
          <w:rFonts w:eastAsia="Calibri" w:cs="Times New Roman" w:ascii="Arial Narrow" w:hAnsi="Arial Narrow"/>
          <w:bCs/>
          <w:color w:val="000000"/>
          <w:kern w:val="2"/>
          <w:sz w:val="4"/>
          <w:szCs w:val="4"/>
          <w:lang w:val="en-IN"/>
        </w:rPr>
        <w:t xml:space="preserve">Joseph, B., Rebello, A., Kullu, P., &amp; Raj, V. D. (2002). Prevalence of malnutrition in rural Karnataka, South India: A comparison of anthropometric indicators. </w:t>
      </w:r>
      <w:r>
        <w:rPr>
          <w:rFonts w:eastAsia="Calibri" w:cs="Times New Roman" w:ascii="Arial Narrow" w:hAnsi="Arial Narrow"/>
          <w:bCs/>
          <w:i/>
          <w:color w:val="000000"/>
          <w:kern w:val="2"/>
          <w:sz w:val="4"/>
          <w:szCs w:val="4"/>
          <w:lang w:val="en-IN"/>
        </w:rPr>
        <w:t>Journal of Health, Population, and Nutrition, 20</w:t>
      </w:r>
      <w:r>
        <w:rPr>
          <w:rFonts w:eastAsia="Calibri" w:cs="Times New Roman" w:ascii="Arial Narrow" w:hAnsi="Arial Narrow"/>
          <w:bCs/>
          <w:color w:val="000000"/>
          <w:kern w:val="2"/>
          <w:sz w:val="4"/>
          <w:szCs w:val="4"/>
          <w:lang w:val="en-IN"/>
        </w:rPr>
        <w:t>(3), 239-244.</w:t>
      </w:r>
    </w:p>
    <w:p>
      <w:pPr>
        <w:pStyle w:val="Normal"/>
        <w:spacing w:before="0" w:after="80"/>
        <w:ind w:hanging="357"/>
        <w:jc w:val="both"/>
        <w:rPr>
          <w:sz w:val="4"/>
          <w:szCs w:val="4"/>
        </w:rPr>
      </w:pPr>
      <w:r>
        <w:rPr>
          <w:rFonts w:eastAsia="Calibri" w:cs="Times New Roman" w:ascii="Arial Narrow" w:hAnsi="Arial Narrow"/>
          <w:bCs/>
          <w:color w:val="000000"/>
          <w:kern w:val="2"/>
          <w:sz w:val="4"/>
          <w:szCs w:val="4"/>
          <w:lang w:val="en-IN"/>
        </w:rPr>
        <w:t xml:space="preserve">Klanjsek, P., Pajnkihar, M., Marcun Varda, N., &amp; Povalej Brzan, P. (2019). Screening and assessment tools for early detection of malnutrition in hospitalised children: A systematic review of validation studies. </w:t>
      </w:r>
      <w:r>
        <w:rPr>
          <w:rFonts w:eastAsia="Calibri" w:cs="Times New Roman" w:ascii="Arial Narrow" w:hAnsi="Arial Narrow"/>
          <w:bCs/>
          <w:i/>
          <w:color w:val="000000"/>
          <w:kern w:val="2"/>
          <w:sz w:val="4"/>
          <w:szCs w:val="4"/>
          <w:lang w:val="en-IN"/>
        </w:rPr>
        <w:t>BMJ Open, 9</w:t>
      </w:r>
      <w:r>
        <w:rPr>
          <w:rFonts w:eastAsia="Calibri" w:cs="Times New Roman" w:ascii="Arial Narrow" w:hAnsi="Arial Narrow"/>
          <w:bCs/>
          <w:color w:val="000000"/>
          <w:kern w:val="2"/>
          <w:sz w:val="4"/>
          <w:szCs w:val="4"/>
          <w:lang w:val="en-IN"/>
        </w:rPr>
        <w:t>(5), e025444. https://doi.org/10.1136/bmjopen-2018-025444</w:t>
      </w:r>
    </w:p>
    <w:p>
      <w:pPr>
        <w:pStyle w:val="Normal"/>
        <w:spacing w:before="0" w:after="80"/>
        <w:ind w:hanging="357"/>
        <w:jc w:val="both"/>
        <w:rPr>
          <w:sz w:val="4"/>
          <w:szCs w:val="4"/>
        </w:rPr>
      </w:pPr>
      <w:r>
        <w:rPr>
          <w:rFonts w:eastAsia="Calibri" w:cs="Times New Roman" w:ascii="Arial Narrow" w:hAnsi="Arial Narrow"/>
          <w:bCs/>
          <w:color w:val="000000"/>
          <w:kern w:val="2"/>
          <w:sz w:val="4"/>
          <w:szCs w:val="4"/>
          <w:lang w:val="en-IN"/>
        </w:rPr>
        <w:t xml:space="preserve">Lohman, T., Roche, A., &amp; Martorell, R. (1988). </w:t>
      </w:r>
      <w:r>
        <w:rPr>
          <w:rFonts w:eastAsia="Calibri" w:cs="Times New Roman" w:ascii="Arial Narrow" w:hAnsi="Arial Narrow"/>
          <w:bCs/>
          <w:i/>
          <w:color w:val="000000"/>
          <w:kern w:val="2"/>
          <w:sz w:val="4"/>
          <w:szCs w:val="4"/>
          <w:lang w:val="en-IN"/>
        </w:rPr>
        <w:t>Anthropometric Standardization Reference Manual</w:t>
      </w:r>
      <w:r>
        <w:rPr>
          <w:rFonts w:eastAsia="Calibri" w:cs="Times New Roman" w:ascii="Arial Narrow" w:hAnsi="Arial Narrow"/>
          <w:bCs/>
          <w:color w:val="000000"/>
          <w:kern w:val="2"/>
          <w:sz w:val="4"/>
          <w:szCs w:val="4"/>
          <w:lang w:val="en-IN"/>
        </w:rPr>
        <w:t>. Chicago: Human Kinetics Books.</w:t>
      </w:r>
    </w:p>
    <w:p>
      <w:pPr>
        <w:pStyle w:val="Normal"/>
        <w:spacing w:before="0" w:after="80"/>
        <w:ind w:hanging="357"/>
        <w:jc w:val="both"/>
        <w:rPr>
          <w:sz w:val="4"/>
          <w:szCs w:val="4"/>
        </w:rPr>
      </w:pPr>
      <w:r>
        <w:rPr>
          <w:rFonts w:eastAsia="Calibri" w:cs="Times New Roman" w:ascii="Arial Narrow" w:hAnsi="Arial Narrow"/>
          <w:bCs/>
          <w:color w:val="000000"/>
          <w:kern w:val="2"/>
          <w:sz w:val="4"/>
          <w:szCs w:val="4"/>
          <w:lang w:val="en-IN"/>
        </w:rPr>
        <w:t xml:space="preserve">Mahapatra, B. (2021). </w:t>
      </w:r>
      <w:r>
        <w:rPr>
          <w:rFonts w:eastAsia="Calibri" w:cs="Times New Roman" w:ascii="Arial Narrow" w:hAnsi="Arial Narrow"/>
          <w:bCs/>
          <w:i/>
          <w:color w:val="000000"/>
          <w:kern w:val="2"/>
          <w:sz w:val="4"/>
          <w:szCs w:val="4"/>
          <w:lang w:val="en-IN"/>
        </w:rPr>
        <w:t>Anthropometric assessment of nutritional status of preschool children in Santal and Bhumij tribes of Paschim Medinipur</w:t>
      </w:r>
      <w:r>
        <w:rPr>
          <w:rFonts w:eastAsia="Calibri" w:cs="Times New Roman" w:ascii="Arial Narrow" w:hAnsi="Arial Narrow"/>
          <w:bCs/>
          <w:color w:val="000000"/>
          <w:kern w:val="2"/>
          <w:sz w:val="4"/>
          <w:szCs w:val="4"/>
          <w:lang w:val="en-IN"/>
        </w:rPr>
        <w:t>. Vidyasagar University. http://hdl.handle.net/10603/365990</w:t>
      </w:r>
    </w:p>
    <w:p>
      <w:pPr>
        <w:pStyle w:val="Normal"/>
        <w:spacing w:before="0" w:after="80"/>
        <w:ind w:hanging="357"/>
        <w:jc w:val="both"/>
        <w:rPr>
          <w:sz w:val="4"/>
          <w:szCs w:val="4"/>
        </w:rPr>
      </w:pPr>
      <w:r>
        <w:rPr>
          <w:rFonts w:eastAsia="Calibri" w:cs="Times New Roman" w:ascii="Arial Narrow" w:hAnsi="Arial Narrow"/>
          <w:bCs/>
          <w:color w:val="000000"/>
          <w:kern w:val="2"/>
          <w:sz w:val="4"/>
          <w:szCs w:val="4"/>
          <w:lang w:val="en-IN"/>
        </w:rPr>
        <w:t xml:space="preserve">Mahapatra, B., Pal, S., Bose, K., &amp; Sahoo, G. (2020). Undernutrition using anthropometric indices among the Bhumij preschool children of West Bengal, India. </w:t>
      </w:r>
      <w:r>
        <w:rPr>
          <w:rFonts w:eastAsia="Calibri" w:cs="Times New Roman" w:ascii="Arial Narrow" w:hAnsi="Arial Narrow"/>
          <w:bCs/>
          <w:i/>
          <w:color w:val="000000"/>
          <w:kern w:val="2"/>
          <w:sz w:val="4"/>
          <w:szCs w:val="4"/>
          <w:lang w:val="en-IN"/>
        </w:rPr>
        <w:t>International Journal of Statistical Sciences, 20</w:t>
      </w:r>
      <w:r>
        <w:rPr>
          <w:rFonts w:eastAsia="Calibri" w:cs="Times New Roman" w:ascii="Arial Narrow" w:hAnsi="Arial Narrow"/>
          <w:bCs/>
          <w:color w:val="000000"/>
          <w:kern w:val="2"/>
          <w:sz w:val="4"/>
          <w:szCs w:val="4"/>
          <w:lang w:val="en-IN"/>
        </w:rPr>
        <w:t>(1), 1-18.</w:t>
      </w:r>
    </w:p>
    <w:p>
      <w:pPr>
        <w:pStyle w:val="Normal"/>
        <w:spacing w:before="0" w:after="80"/>
        <w:ind w:hanging="357"/>
        <w:jc w:val="both"/>
        <w:rPr>
          <w:sz w:val="4"/>
          <w:szCs w:val="4"/>
        </w:rPr>
      </w:pPr>
      <w:r>
        <w:rPr>
          <w:rFonts w:eastAsia="Calibri" w:cs="Times New Roman" w:ascii="Arial Narrow" w:hAnsi="Arial Narrow"/>
          <w:bCs/>
          <w:color w:val="000000"/>
          <w:kern w:val="2"/>
          <w:sz w:val="4"/>
          <w:szCs w:val="4"/>
          <w:lang w:val="en-IN"/>
        </w:rPr>
        <w:t xml:space="preserve">Maiti, S., Ali, K. M., Ghosh, D., &amp; Paul, S. (2012). Assessment of head circumference among pre-school children of Midnapore Town, West Bengal using WHO (2007) recommended cut-off points. </w:t>
      </w:r>
      <w:r>
        <w:rPr>
          <w:rFonts w:eastAsia="Calibri" w:cs="Times New Roman" w:ascii="Arial Narrow" w:hAnsi="Arial Narrow"/>
          <w:bCs/>
          <w:i/>
          <w:color w:val="000000"/>
          <w:kern w:val="2"/>
          <w:sz w:val="4"/>
          <w:szCs w:val="4"/>
          <w:lang w:val="en-IN"/>
        </w:rPr>
        <w:t>International Journal of Preventive Medicine, 3</w:t>
      </w:r>
      <w:r>
        <w:rPr>
          <w:rFonts w:eastAsia="Calibri" w:cs="Times New Roman" w:ascii="Arial Narrow" w:hAnsi="Arial Narrow"/>
          <w:bCs/>
          <w:color w:val="000000"/>
          <w:kern w:val="2"/>
          <w:sz w:val="4"/>
          <w:szCs w:val="4"/>
          <w:lang w:val="en-IN"/>
        </w:rPr>
        <w:t>(10), 742-744.</w:t>
      </w:r>
    </w:p>
    <w:p>
      <w:pPr>
        <w:pStyle w:val="Normal"/>
        <w:spacing w:before="0" w:after="80"/>
        <w:ind w:hanging="357"/>
        <w:jc w:val="both"/>
        <w:rPr>
          <w:sz w:val="4"/>
          <w:szCs w:val="4"/>
        </w:rPr>
      </w:pPr>
      <w:r>
        <w:rPr>
          <w:rFonts w:eastAsia="Calibri" w:cs="Times New Roman" w:ascii="Arial Narrow" w:hAnsi="Arial Narrow"/>
          <w:bCs/>
          <w:color w:val="000000"/>
          <w:kern w:val="2"/>
          <w:sz w:val="4"/>
          <w:szCs w:val="4"/>
          <w:lang w:val="en-IN"/>
        </w:rPr>
        <w:t xml:space="preserve">Mandal, G. C., &amp; Bose, K. (2010). Undernutrition among the rural preschool children (ICDS) of Arambag, Hooghly district, West Bengal, India, using new head circumference cut-off points. </w:t>
      </w:r>
      <w:r>
        <w:rPr>
          <w:rFonts w:eastAsia="Calibri" w:cs="Times New Roman" w:ascii="Arial Narrow" w:hAnsi="Arial Narrow"/>
          <w:bCs/>
          <w:i/>
          <w:color w:val="000000"/>
          <w:kern w:val="2"/>
          <w:sz w:val="4"/>
          <w:szCs w:val="4"/>
          <w:lang w:val="en-IN"/>
        </w:rPr>
        <w:t>International Journal of Current Research, 10,</w:t>
      </w:r>
      <w:r>
        <w:rPr>
          <w:rFonts w:eastAsia="Calibri" w:cs="Times New Roman" w:ascii="Arial Narrow" w:hAnsi="Arial Narrow"/>
          <w:bCs/>
          <w:color w:val="000000"/>
          <w:kern w:val="2"/>
          <w:sz w:val="4"/>
          <w:szCs w:val="4"/>
          <w:lang w:val="en-IN"/>
        </w:rPr>
        <w:t xml:space="preserve"> 7-11.</w:t>
      </w:r>
    </w:p>
    <w:p>
      <w:pPr>
        <w:pStyle w:val="Normal"/>
        <w:spacing w:before="0" w:after="80"/>
        <w:ind w:hanging="357"/>
        <w:jc w:val="both"/>
        <w:rPr>
          <w:sz w:val="4"/>
          <w:szCs w:val="4"/>
        </w:rPr>
      </w:pPr>
      <w:r>
        <w:rPr>
          <w:rFonts w:eastAsia="Calibri" w:cs="Times New Roman" w:ascii="Arial Narrow" w:hAnsi="Arial Narrow"/>
          <w:bCs/>
          <w:color w:val="000000"/>
          <w:kern w:val="2"/>
          <w:sz w:val="4"/>
          <w:szCs w:val="4"/>
          <w:lang w:val="en-IN"/>
        </w:rPr>
        <w:t xml:space="preserve">Mondal, N. (2019). Assessment of undernutrition using head circumference-for-age among Karbi preschool children (&lt;5 years) of Karbi Anglong, Assam (India). </w:t>
      </w:r>
      <w:r>
        <w:rPr>
          <w:rFonts w:eastAsia="Calibri" w:cs="Times New Roman" w:ascii="Arial Narrow" w:hAnsi="Arial Narrow"/>
          <w:bCs/>
          <w:i/>
          <w:color w:val="000000"/>
          <w:kern w:val="2"/>
          <w:sz w:val="4"/>
          <w:szCs w:val="4"/>
          <w:lang w:val="en-IN"/>
        </w:rPr>
        <w:t>Journal of Life Sciences, 11</w:t>
      </w:r>
      <w:r>
        <w:rPr>
          <w:rFonts w:eastAsia="Calibri" w:cs="Times New Roman" w:ascii="Arial Narrow" w:hAnsi="Arial Narrow"/>
          <w:bCs/>
          <w:color w:val="000000"/>
          <w:kern w:val="2"/>
          <w:sz w:val="4"/>
          <w:szCs w:val="4"/>
          <w:lang w:val="en-IN"/>
        </w:rPr>
        <w:t>(1-2). https://doi.org/10.31901/24566306.2019/11.1-2.238</w:t>
      </w:r>
    </w:p>
    <w:p>
      <w:pPr>
        <w:pStyle w:val="Normal"/>
        <w:spacing w:before="0" w:after="80"/>
        <w:ind w:hanging="357"/>
        <w:jc w:val="both"/>
        <w:rPr>
          <w:sz w:val="4"/>
          <w:szCs w:val="4"/>
        </w:rPr>
      </w:pPr>
      <w:r>
        <w:rPr>
          <w:rFonts w:eastAsia="Calibri" w:cs="Times New Roman" w:ascii="Arial Narrow" w:hAnsi="Arial Narrow"/>
          <w:bCs/>
          <w:color w:val="000000"/>
          <w:kern w:val="2"/>
          <w:sz w:val="4"/>
          <w:szCs w:val="4"/>
          <w:lang w:val="en-IN"/>
        </w:rPr>
        <w:t xml:space="preserve">Myatt, M., Khara, T., &amp; Collins, S. (2006). A review of methods to detect cases of severely malnourished children in the community for their admission into community-based therapeutic care programs. </w:t>
      </w:r>
      <w:r>
        <w:rPr>
          <w:rFonts w:eastAsia="Calibri" w:cs="Times New Roman" w:ascii="Arial Narrow" w:hAnsi="Arial Narrow"/>
          <w:bCs/>
          <w:i/>
          <w:color w:val="000000"/>
          <w:kern w:val="2"/>
          <w:sz w:val="4"/>
          <w:szCs w:val="4"/>
          <w:lang w:val="en-IN"/>
        </w:rPr>
        <w:t>Food and Nutrition Bulletin, 27</w:t>
      </w:r>
      <w:r>
        <w:rPr>
          <w:rFonts w:eastAsia="Calibri" w:cs="Times New Roman" w:ascii="Arial Narrow" w:hAnsi="Arial Narrow"/>
          <w:bCs/>
          <w:color w:val="000000"/>
          <w:kern w:val="2"/>
          <w:sz w:val="4"/>
          <w:szCs w:val="4"/>
          <w:lang w:val="en-IN"/>
        </w:rPr>
        <w:t>(3_suppl3), S7-S23. https://doi.org/10.1177/15648265060273S302</w:t>
      </w:r>
    </w:p>
    <w:p>
      <w:pPr>
        <w:pStyle w:val="Normal"/>
        <w:spacing w:before="0" w:after="80"/>
        <w:ind w:hanging="357"/>
        <w:jc w:val="both"/>
        <w:rPr>
          <w:sz w:val="4"/>
          <w:szCs w:val="4"/>
        </w:rPr>
      </w:pPr>
      <w:r>
        <w:rPr>
          <w:rFonts w:eastAsia="Calibri" w:cs="Times New Roman" w:ascii="Arial Narrow" w:hAnsi="Arial Narrow"/>
          <w:bCs/>
          <w:color w:val="000000"/>
          <w:kern w:val="2"/>
          <w:sz w:val="4"/>
          <w:szCs w:val="4"/>
          <w:lang w:val="en-IN"/>
        </w:rPr>
        <w:t xml:space="preserve">Planning Commission Report (2007). </w:t>
      </w:r>
      <w:r>
        <w:rPr>
          <w:rFonts w:eastAsia="Calibri" w:cs="Times New Roman" w:ascii="Arial Narrow" w:hAnsi="Arial Narrow"/>
          <w:bCs/>
          <w:i/>
          <w:color w:val="000000"/>
          <w:kern w:val="2"/>
          <w:sz w:val="4"/>
          <w:szCs w:val="4"/>
          <w:lang w:val="en-IN"/>
        </w:rPr>
        <w:t>Strategies for under six: A framework for the 11</w:t>
      </w:r>
      <w:r>
        <w:rPr>
          <w:rFonts w:eastAsia="Calibri" w:cs="Times New Roman" w:ascii="Arial Narrow" w:hAnsi="Arial Narrow"/>
          <w:bCs/>
          <w:i/>
          <w:color w:val="000000"/>
          <w:kern w:val="2"/>
          <w:sz w:val="4"/>
          <w:szCs w:val="4"/>
          <w:vertAlign w:val="superscript"/>
          <w:lang w:val="en-IN"/>
        </w:rPr>
        <w:t>th</w:t>
      </w:r>
      <w:r>
        <w:rPr>
          <w:rFonts w:eastAsia="Calibri" w:cs="Times New Roman" w:ascii="Arial Narrow" w:hAnsi="Arial Narrow"/>
          <w:bCs/>
          <w:i/>
          <w:color w:val="000000"/>
          <w:kern w:val="2"/>
          <w:sz w:val="4"/>
          <w:szCs w:val="4"/>
          <w:lang w:val="en-IN"/>
        </w:rPr>
        <w:t xml:space="preserve"> plan</w:t>
      </w:r>
      <w:r>
        <w:rPr>
          <w:rFonts w:eastAsia="Calibri" w:cs="Times New Roman" w:ascii="Arial Narrow" w:hAnsi="Arial Narrow"/>
          <w:bCs/>
          <w:color w:val="000000"/>
          <w:kern w:val="2"/>
          <w:sz w:val="4"/>
          <w:szCs w:val="4"/>
          <w:lang w:val="en-IN"/>
        </w:rPr>
        <w:t>. Government of India.</w:t>
      </w:r>
    </w:p>
    <w:p>
      <w:pPr>
        <w:pStyle w:val="Normal"/>
        <w:spacing w:before="0" w:after="80"/>
        <w:ind w:hanging="357"/>
        <w:jc w:val="both"/>
        <w:rPr>
          <w:sz w:val="4"/>
          <w:szCs w:val="4"/>
        </w:rPr>
      </w:pPr>
      <w:r>
        <w:rPr>
          <w:rFonts w:eastAsia="Calibri" w:cs="Times New Roman" w:ascii="Arial Narrow" w:hAnsi="Arial Narrow"/>
          <w:bCs/>
          <w:color w:val="000000"/>
          <w:kern w:val="2"/>
          <w:sz w:val="4"/>
          <w:szCs w:val="4"/>
          <w:lang w:val="en-IN"/>
        </w:rPr>
        <w:t xml:space="preserve">Ray, S. K., Biswas, A. B., &amp; Kumar, S. (2000). A study of dietary pattern, household food security and nutritional profile of under-five children of a community of West Bengal. </w:t>
      </w:r>
      <w:r>
        <w:rPr>
          <w:rFonts w:eastAsia="Calibri" w:cs="Times New Roman" w:ascii="Arial Narrow" w:hAnsi="Arial Narrow"/>
          <w:bCs/>
          <w:i/>
          <w:color w:val="000000"/>
          <w:kern w:val="2"/>
          <w:sz w:val="4"/>
          <w:szCs w:val="4"/>
          <w:lang w:val="en-IN"/>
        </w:rPr>
        <w:t>Journal of the Indian Medical Association, 98</w:t>
      </w:r>
      <w:r>
        <w:rPr>
          <w:rFonts w:eastAsia="Calibri" w:cs="Times New Roman" w:ascii="Arial Narrow" w:hAnsi="Arial Narrow"/>
          <w:bCs/>
          <w:color w:val="000000"/>
          <w:kern w:val="2"/>
          <w:sz w:val="4"/>
          <w:szCs w:val="4"/>
          <w:lang w:val="en-IN"/>
        </w:rPr>
        <w:t>(9), 517-523.</w:t>
      </w:r>
    </w:p>
    <w:p>
      <w:pPr>
        <w:pStyle w:val="Normal"/>
        <w:spacing w:before="0" w:after="80"/>
        <w:ind w:hanging="357"/>
        <w:jc w:val="both"/>
        <w:rPr>
          <w:sz w:val="4"/>
          <w:szCs w:val="4"/>
        </w:rPr>
      </w:pPr>
      <w:r>
        <w:rPr>
          <w:rFonts w:eastAsia="Calibri" w:cs="Times New Roman" w:ascii="Arial Narrow" w:hAnsi="Arial Narrow"/>
          <w:bCs/>
          <w:color w:val="000000"/>
          <w:kern w:val="2"/>
          <w:sz w:val="4"/>
          <w:szCs w:val="4"/>
          <w:lang w:val="en-IN"/>
        </w:rPr>
        <w:t xml:space="preserve">Rumsey, J., &amp; Rapoport, J. (1983). Assessing behavioral and cognitive effects of diet in pediatric populations. </w:t>
      </w:r>
      <w:r>
        <w:rPr>
          <w:rFonts w:eastAsia="Calibri" w:cs="Times New Roman" w:ascii="Arial Narrow" w:hAnsi="Arial Narrow"/>
          <w:bCs/>
          <w:i/>
          <w:color w:val="000000"/>
          <w:kern w:val="2"/>
          <w:sz w:val="4"/>
          <w:szCs w:val="4"/>
          <w:lang w:val="en-IN"/>
        </w:rPr>
        <w:t>Nutrition and the Brain, 6,</w:t>
      </w:r>
      <w:r>
        <w:rPr>
          <w:rFonts w:eastAsia="Calibri" w:cs="Times New Roman" w:ascii="Arial Narrow" w:hAnsi="Arial Narrow"/>
          <w:bCs/>
          <w:color w:val="000000"/>
          <w:kern w:val="2"/>
          <w:sz w:val="4"/>
          <w:szCs w:val="4"/>
          <w:lang w:val="en-IN"/>
        </w:rPr>
        <w:t xml:space="preserve"> 101-161</w:t>
      </w:r>
    </w:p>
    <w:sectPr>
      <w:footerReference w:type="even" r:id="rId2"/>
      <w:footerReference w:type="default" r:id="rId3"/>
      <w:footerReference w:type="first" r:id="rId4"/>
      <w:footnotePr>
        <w:numFmt w:val="decimal"/>
      </w:footnotePr>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roman"/>
    <w:pitch w:val="variable"/>
  </w:font>
  <w:font w:name="Charis SIL">
    <w:charset w:val="01"/>
    <w:family w:val="roman"/>
    <w:pitch w:val="variable"/>
  </w:font>
  <w:font w:name="Times New Roman">
    <w:charset w:val="01"/>
    <w:family w:val="roman"/>
    <w:pitch w:val="variable"/>
  </w:font>
  <w:font w:name="Arial Narro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7535203"/>
    </w:sdtPr>
    <w:sdtContent>
      <w:p>
        <w:pPr>
          <w:pStyle w:val="Footer"/>
          <w:jc w:val="center"/>
          <w:rPr/>
        </w:pPr>
        <w:r>
          <w:rPr/>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7535203"/>
    </w:sdtPr>
    <w:sdtContent>
      <w:p>
        <w:pPr>
          <w:pStyle w:val="Footer"/>
          <w:jc w:val="center"/>
          <w:rPr/>
        </w:pPr>
        <w:r>
          <w:rPr/>
        </w:r>
      </w:p>
    </w:sdtContent>
  </w:sdt>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before="0" w:after="60"/>
        <w:ind w:hanging="0" w:left="170"/>
        <w:rPr/>
      </w:pPr>
      <w:r>
        <w:rPr>
          <w:rStyle w:val="FootnoteCharacters"/>
        </w:rPr>
        <w:footnoteRef/>
      </w:r>
      <w:r>
        <w:rPr/>
      </w:r>
    </w:p>
  </w:footnote>
  <w:footnote w:id="3">
    <w:p>
      <w:pPr>
        <w:pStyle w:val="FootnoteText"/>
        <w:spacing w:before="0" w:after="60"/>
        <w:ind w:hanging="0" w:left="170"/>
        <w:rPr/>
      </w:pPr>
      <w:r>
        <w:rPr>
          <w:rStyle w:val="FootnoteCharacters"/>
        </w:rPr>
        <w:footnoteRef/>
      </w:r>
      <w:r>
        <w:rPr/>
      </w:r>
    </w:p>
  </w:footnote>
  <w:footnote w:id="4">
    <w:p>
      <w:pPr>
        <w:pStyle w:val="FootnoteText"/>
        <w:spacing w:before="0" w:after="60"/>
        <w:ind w:hanging="0" w:left="170"/>
        <w:rPr>
          <w:rFonts w:ascii="Arial Narrow" w:hAnsi="Arial Narrow"/>
          <w:sz w:val="22"/>
          <w:szCs w:val="22"/>
          <w:lang w:val="en-IN"/>
        </w:rPr>
      </w:pPr>
      <w:r>
        <w:rPr>
          <w:rStyle w:val="FootnoteCharacters"/>
        </w:rPr>
        <w:footnoteRef/>
      </w:r>
      <w:r>
        <w:rPr/>
      </w:r>
    </w:p>
  </w:footnote>
</w:footnotes>
</file>

<file path=word/settings.xml><?xml version="1.0" encoding="utf-8"?>
<w:settings xmlns:w="http://schemas.openxmlformats.org/wordprocessingml/2006/main">
  <w:zoom w:percent="140"/>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docVars>
    <w:docVar w:name="__Grammarly_42____i" w:val="H4sIAAAAAAAEAKtWckksSQxILCpxzi/NK1GyMqwFAAEhoTITAAAA"/>
    <w:docVar w:name="__Grammarly_42___1" w:val="H4sIAAAAAAAEAKtWcslP9kxRslIyNDa2NDc3MjMysTS2NDU2szBT0lEKTi0uzszPAykwrAUA/W5V0S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07056"/>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ef73d2"/>
    <w:rPr>
      <w:b/>
      <w:bCs/>
    </w:rPr>
  </w:style>
  <w:style w:type="character" w:styleId="Emphasis">
    <w:name w:val="Emphasis"/>
    <w:basedOn w:val="DefaultParagraphFont"/>
    <w:uiPriority w:val="20"/>
    <w:qFormat/>
    <w:rsid w:val="00ef73d2"/>
    <w:rPr>
      <w:i/>
      <w:iCs/>
    </w:rPr>
  </w:style>
  <w:style w:type="character" w:styleId="BalloonTextChar" w:customStyle="1">
    <w:name w:val="Balloon Text Char"/>
    <w:basedOn w:val="DefaultParagraphFont"/>
    <w:link w:val="BalloonText"/>
    <w:uiPriority w:val="99"/>
    <w:semiHidden/>
    <w:qFormat/>
    <w:rsid w:val="00ef73d2"/>
    <w:rPr>
      <w:rFonts w:ascii="Tahoma" w:hAnsi="Tahoma" w:cs="Tahoma"/>
      <w:kern w:val="2"/>
      <w:sz w:val="16"/>
      <w:szCs w:val="16"/>
      <w:lang w:val="en-IN"/>
    </w:rPr>
  </w:style>
  <w:style w:type="character" w:styleId="fm-citation-ids-label" w:customStyle="1">
    <w:name w:val="fm-citation-ids-label"/>
    <w:basedOn w:val="DefaultParagraphFont"/>
    <w:qFormat/>
    <w:rsid w:val="00ef73d2"/>
    <w:rPr/>
  </w:style>
  <w:style w:type="character" w:styleId="Hyperlink">
    <w:name w:val="Hyperlink"/>
    <w:basedOn w:val="DefaultParagraphFont"/>
    <w:uiPriority w:val="99"/>
    <w:unhideWhenUsed/>
    <w:rsid w:val="00ef73d2"/>
    <w:rPr>
      <w:color w:val="0000FF"/>
      <w:u w:val="single"/>
    </w:rPr>
  </w:style>
  <w:style w:type="character" w:styleId="A18" w:customStyle="1">
    <w:name w:val="A18"/>
    <w:uiPriority w:val="99"/>
    <w:qFormat/>
    <w:rsid w:val="00ef73d2"/>
    <w:rPr>
      <w:rFonts w:cs="ITC Usherwood Std Book"/>
      <w:color w:val="000000"/>
      <w:sz w:val="10"/>
      <w:szCs w:val="10"/>
    </w:rPr>
  </w:style>
  <w:style w:type="character" w:styleId="element-citation" w:customStyle="1">
    <w:name w:val="element-citation"/>
    <w:basedOn w:val="DefaultParagraphFont"/>
    <w:qFormat/>
    <w:rsid w:val="00ef73d2"/>
    <w:rPr/>
  </w:style>
  <w:style w:type="character" w:styleId="id-label" w:customStyle="1">
    <w:name w:val="id-label"/>
    <w:basedOn w:val="DefaultParagraphFont"/>
    <w:qFormat/>
    <w:rsid w:val="00ef73d2"/>
    <w:rPr/>
  </w:style>
  <w:style w:type="character" w:styleId="HeaderChar" w:customStyle="1">
    <w:name w:val="Header Char"/>
    <w:basedOn w:val="DefaultParagraphFont"/>
    <w:link w:val="Header"/>
    <w:uiPriority w:val="99"/>
    <w:qFormat/>
    <w:rsid w:val="00ef73d2"/>
    <w:rPr>
      <w:kern w:val="2"/>
      <w:lang w:val="en-IN"/>
    </w:rPr>
  </w:style>
  <w:style w:type="character" w:styleId="FooterChar" w:customStyle="1">
    <w:name w:val="Footer Char"/>
    <w:basedOn w:val="DefaultParagraphFont"/>
    <w:link w:val="Footer"/>
    <w:uiPriority w:val="99"/>
    <w:qFormat/>
    <w:rsid w:val="00ef73d2"/>
    <w:rPr>
      <w:kern w:val="2"/>
      <w:lang w:val="en-IN"/>
    </w:rPr>
  </w:style>
  <w:style w:type="character" w:styleId="LineNumber">
    <w:name w:val="Line Number"/>
    <w:basedOn w:val="DefaultParagraphFont"/>
    <w:uiPriority w:val="99"/>
    <w:semiHidden/>
    <w:unhideWhenUsed/>
    <w:rsid w:val="00ef73d2"/>
    <w:rPr/>
  </w:style>
  <w:style w:type="character" w:styleId="annotationreference">
    <w:name w:val="annotation reference"/>
    <w:basedOn w:val="DefaultParagraphFont"/>
    <w:uiPriority w:val="99"/>
    <w:semiHidden/>
    <w:unhideWhenUsed/>
    <w:qFormat/>
    <w:rsid w:val="00ef73d2"/>
    <w:rPr>
      <w:sz w:val="16"/>
      <w:szCs w:val="16"/>
    </w:rPr>
  </w:style>
  <w:style w:type="character" w:styleId="CommentTextChar" w:customStyle="1">
    <w:name w:val="Comment Text Char"/>
    <w:basedOn w:val="DefaultParagraphFont"/>
    <w:link w:val="AnnotationText"/>
    <w:uiPriority w:val="99"/>
    <w:semiHidden/>
    <w:qFormat/>
    <w:rsid w:val="00ef73d2"/>
    <w:rPr>
      <w:kern w:val="2"/>
      <w:sz w:val="20"/>
      <w:szCs w:val="20"/>
      <w:lang w:val="en-IN"/>
    </w:rPr>
  </w:style>
  <w:style w:type="character" w:styleId="CommentSubjectChar" w:customStyle="1">
    <w:name w:val="Comment Subject Char"/>
    <w:basedOn w:val="CommentTextChar"/>
    <w:link w:val="annotationsubject"/>
    <w:uiPriority w:val="99"/>
    <w:semiHidden/>
    <w:qFormat/>
    <w:rsid w:val="00ef73d2"/>
    <w:rPr>
      <w:b/>
      <w:bCs/>
      <w:kern w:val="2"/>
      <w:sz w:val="20"/>
      <w:szCs w:val="20"/>
      <w:lang w:val="en-IN"/>
    </w:rPr>
  </w:style>
  <w:style w:type="character" w:styleId="UnresolvedMention1" w:customStyle="1">
    <w:name w:val="Unresolved Mention1"/>
    <w:basedOn w:val="DefaultParagraphFont"/>
    <w:uiPriority w:val="99"/>
    <w:semiHidden/>
    <w:unhideWhenUsed/>
    <w:qFormat/>
    <w:rsid w:val="003818a5"/>
    <w:rPr>
      <w:color w:val="605E5C"/>
      <w:shd w:fill="E1DFDD" w:val="clear"/>
    </w:rPr>
  </w:style>
  <w:style w:type="character" w:styleId="FootnoteTextChar" w:customStyle="1">
    <w:name w:val="Footnote Text Char"/>
    <w:basedOn w:val="DefaultParagraphFont"/>
    <w:link w:val="FootnoteText"/>
    <w:uiPriority w:val="99"/>
    <w:semiHidden/>
    <w:qFormat/>
    <w:rsid w:val="006c538c"/>
    <w:rPr>
      <w:sz w:val="20"/>
      <w:szCs w:val="20"/>
      <w:lang w:val="en-GB"/>
    </w:rPr>
  </w:style>
  <w:style w:type="character" w:styleId="FootnoteCharacters">
    <w:name w:val="Footnote Characters"/>
    <w:uiPriority w:val="99"/>
    <w:semiHidden/>
    <w:unhideWhenUsed/>
    <w:qFormat/>
    <w:rsid w:val="006c538c"/>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Default" w:customStyle="1">
    <w:name w:val="Default"/>
    <w:qFormat/>
    <w:rsid w:val="00ef73d2"/>
    <w:pPr>
      <w:widowControl/>
      <w:suppressAutoHyphens w:val="true"/>
      <w:bidi w:val="0"/>
      <w:spacing w:lineRule="auto" w:line="240" w:before="0" w:after="0"/>
      <w:jc w:val="left"/>
    </w:pPr>
    <w:rPr>
      <w:rFonts w:ascii="Charis SIL" w:hAnsi="Charis SIL" w:eastAsia="Calibri" w:cs="Charis SIL"/>
      <w:color w:val="000000"/>
      <w:kern w:val="0"/>
      <w:sz w:val="24"/>
      <w:szCs w:val="24"/>
      <w:lang w:val="en-IN" w:eastAsia="en-US" w:bidi="ar-SA"/>
    </w:rPr>
  </w:style>
  <w:style w:type="paragraph" w:styleId="root-block-node" w:customStyle="1">
    <w:name w:val="root-block-node"/>
    <w:basedOn w:val="Normal"/>
    <w:qFormat/>
    <w:rsid w:val="00ef73d2"/>
    <w:pPr>
      <w:spacing w:lineRule="auto" w:line="240" w:beforeAutospacing="1" w:afterAutospacing="1"/>
    </w:pPr>
    <w:rPr>
      <w:rFonts w:ascii="Times New Roman" w:hAnsi="Times New Roman" w:eastAsia="Times New Roman" w:cs="Times New Roman"/>
      <w:sz w:val="24"/>
      <w:szCs w:val="24"/>
      <w:lang w:val="en-US"/>
    </w:rPr>
  </w:style>
  <w:style w:type="paragraph" w:styleId="BalloonText">
    <w:name w:val="Balloon Text"/>
    <w:basedOn w:val="Normal"/>
    <w:link w:val="BalloonTextChar"/>
    <w:uiPriority w:val="99"/>
    <w:semiHidden/>
    <w:unhideWhenUsed/>
    <w:qFormat/>
    <w:rsid w:val="00ef73d2"/>
    <w:pPr>
      <w:spacing w:lineRule="auto" w:line="240" w:before="0" w:after="0"/>
    </w:pPr>
    <w:rPr>
      <w:rFonts w:ascii="Tahoma" w:hAnsi="Tahoma" w:cs="Tahoma"/>
      <w:kern w:val="2"/>
      <w:sz w:val="16"/>
      <w:szCs w:val="16"/>
      <w:lang w:val="en-IN"/>
    </w:rPr>
  </w:style>
  <w:style w:type="paragraph" w:styleId="NormalWeb">
    <w:name w:val="Normal (Web)"/>
    <w:basedOn w:val="Normal"/>
    <w:uiPriority w:val="99"/>
    <w:unhideWhenUsed/>
    <w:qFormat/>
    <w:rsid w:val="00ef73d2"/>
    <w:pPr>
      <w:spacing w:lineRule="auto" w:line="240" w:beforeAutospacing="1" w:afterAutospacing="1"/>
    </w:pPr>
    <w:rPr>
      <w:rFonts w:ascii="Times New Roman" w:hAnsi="Times New Roman" w:eastAsia="Times New Roman" w:cs="Times New Roman"/>
      <w:sz w:val="24"/>
      <w:szCs w:val="24"/>
      <w:lang w:val="en-IN" w:eastAsia="en-IN"/>
    </w:rPr>
  </w:style>
  <w:style w:type="paragraph" w:styleId="HeaderandFooter">
    <w:name w:val="Header and Footer"/>
    <w:basedOn w:val="Normal"/>
    <w:qFormat/>
    <w:pPr/>
    <w:rPr/>
  </w:style>
  <w:style w:type="paragraph" w:styleId="Header">
    <w:name w:val="Header"/>
    <w:basedOn w:val="Normal"/>
    <w:link w:val="HeaderChar"/>
    <w:uiPriority w:val="99"/>
    <w:unhideWhenUsed/>
    <w:rsid w:val="00ef73d2"/>
    <w:pPr>
      <w:tabs>
        <w:tab w:val="clear" w:pos="720"/>
        <w:tab w:val="center" w:pos="4513" w:leader="none"/>
        <w:tab w:val="right" w:pos="9026" w:leader="none"/>
      </w:tabs>
      <w:spacing w:lineRule="auto" w:line="240" w:before="0" w:after="0"/>
    </w:pPr>
    <w:rPr>
      <w:kern w:val="2"/>
      <w:lang w:val="en-IN"/>
    </w:rPr>
  </w:style>
  <w:style w:type="paragraph" w:styleId="Footer">
    <w:name w:val="Footer"/>
    <w:basedOn w:val="Normal"/>
    <w:link w:val="FooterChar"/>
    <w:uiPriority w:val="99"/>
    <w:unhideWhenUsed/>
    <w:rsid w:val="00ef73d2"/>
    <w:pPr>
      <w:tabs>
        <w:tab w:val="clear" w:pos="720"/>
        <w:tab w:val="center" w:pos="4513" w:leader="none"/>
        <w:tab w:val="right" w:pos="9026" w:leader="none"/>
      </w:tabs>
      <w:spacing w:lineRule="auto" w:line="240" w:before="0" w:after="0"/>
    </w:pPr>
    <w:rPr>
      <w:kern w:val="2"/>
      <w:lang w:val="en-IN"/>
    </w:rPr>
  </w:style>
  <w:style w:type="paragraph" w:styleId="Bibliography">
    <w:name w:val="Bibliography"/>
    <w:basedOn w:val="Normal"/>
    <w:next w:val="Normal"/>
    <w:uiPriority w:val="37"/>
    <w:unhideWhenUsed/>
    <w:qFormat/>
    <w:rsid w:val="00ef73d2"/>
    <w:pPr>
      <w:spacing w:lineRule="auto" w:line="480" w:before="0" w:after="0"/>
      <w:ind w:hanging="720" w:left="720"/>
    </w:pPr>
    <w:rPr>
      <w:kern w:val="2"/>
      <w:lang w:val="en-IN"/>
    </w:rPr>
  </w:style>
  <w:style w:type="paragraph" w:styleId="NoSpacing1" w:customStyle="1">
    <w:name w:val="No Spacing1"/>
    <w:next w:val="NoSpacing"/>
    <w:uiPriority w:val="1"/>
    <w:qFormat/>
    <w:rsid w:val="00ef73d2"/>
    <w:pPr>
      <w:widowControl/>
      <w:suppressAutoHyphens w:val="true"/>
      <w:bidi w:val="0"/>
      <w:spacing w:lineRule="auto" w:line="240" w:before="0" w:after="0"/>
      <w:jc w:val="left"/>
    </w:pPr>
    <w:rPr>
      <w:rFonts w:ascii="Calibri" w:hAnsi="Calibri" w:eastAsia="Times New Roman" w:cs="" w:asciiTheme="minorHAnsi" w:cstheme="minorBidi" w:hAnsiTheme="minorHAnsi"/>
      <w:color w:val="auto"/>
      <w:kern w:val="0"/>
      <w:sz w:val="22"/>
      <w:szCs w:val="22"/>
      <w:lang w:val="en-IN" w:eastAsia="en-IN" w:bidi="ar-SA"/>
    </w:rPr>
  </w:style>
  <w:style w:type="paragraph" w:styleId="ListParagraph">
    <w:name w:val="List Paragraph"/>
    <w:basedOn w:val="Normal"/>
    <w:uiPriority w:val="34"/>
    <w:qFormat/>
    <w:rsid w:val="00ef73d2"/>
    <w:pPr>
      <w:spacing w:before="0" w:after="160"/>
      <w:ind w:left="720"/>
      <w:contextualSpacing/>
    </w:pPr>
    <w:rPr>
      <w:kern w:val="2"/>
      <w:lang w:val="en-IN"/>
    </w:rPr>
  </w:style>
  <w:style w:type="paragraph" w:styleId="AnnotationText">
    <w:name w:val="Annotation Text"/>
    <w:basedOn w:val="Normal"/>
    <w:link w:val="CommentTextChar"/>
    <w:uiPriority w:val="99"/>
    <w:semiHidden/>
    <w:unhideWhenUsed/>
    <w:rsid w:val="00ef73d2"/>
    <w:pPr>
      <w:spacing w:lineRule="auto" w:line="240"/>
    </w:pPr>
    <w:rPr>
      <w:kern w:val="2"/>
      <w:sz w:val="20"/>
      <w:szCs w:val="20"/>
      <w:lang w:val="en-IN"/>
    </w:rPr>
  </w:style>
  <w:style w:type="paragraph" w:styleId="annotationsubject">
    <w:name w:val="annotation subject"/>
    <w:basedOn w:val="AnnotationText"/>
    <w:next w:val="AnnotationText"/>
    <w:link w:val="CommentSubjectChar"/>
    <w:uiPriority w:val="99"/>
    <w:semiHidden/>
    <w:unhideWhenUsed/>
    <w:qFormat/>
    <w:rsid w:val="00ef73d2"/>
    <w:pPr/>
    <w:rPr>
      <w:b/>
      <w:bCs/>
    </w:rPr>
  </w:style>
  <w:style w:type="paragraph" w:styleId="NoSpacing">
    <w:name w:val="No Spacing"/>
    <w:uiPriority w:val="1"/>
    <w:qFormat/>
    <w:rsid w:val="00ef73d2"/>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Revision">
    <w:name w:val="Revision"/>
    <w:uiPriority w:val="99"/>
    <w:semiHidden/>
    <w:qFormat/>
    <w:rsid w:val="00f01d16"/>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FootnoteText">
    <w:name w:val="Footnote Text"/>
    <w:basedOn w:val="Normal"/>
    <w:link w:val="FootnoteTextChar"/>
    <w:uiPriority w:val="99"/>
    <w:semiHidden/>
    <w:unhideWhenUsed/>
    <w:rsid w:val="006c538c"/>
    <w:pPr>
      <w:spacing w:lineRule="auto" w:line="240" w:before="0" w:after="0"/>
    </w:pPr>
    <w:rPr>
      <w:sz w:val="20"/>
      <w:szCs w:val="20"/>
    </w:rPr>
  </w:style>
  <w:style w:type="numbering" w:styleId="NoList" w:default="1">
    <w:name w:val="No List"/>
    <w:uiPriority w:val="99"/>
    <w:semiHidden/>
    <w:unhideWhenUsed/>
    <w:qFormat/>
  </w:style>
  <w:style w:type="numbering" w:styleId="NoList1" w:customStyle="1">
    <w:name w:val="No List1"/>
    <w:uiPriority w:val="99"/>
    <w:semiHidden/>
    <w:unhideWhenUsed/>
    <w:qFormat/>
    <w:rsid w:val="00ef73d2"/>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1">
    <w:name w:val="Table Grid1"/>
    <w:basedOn w:val="TableNormal"/>
    <w:uiPriority w:val="59"/>
    <w:rsid w:val="00ef73d2"/>
    <w:pPr>
      <w:spacing w:after="0" w:line="240" w:lineRule="auto"/>
    </w:pPr>
    <w:rPr>
      <w:lang w:val="en-IN" w:eastAsia="en-I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
    <w:name w:val="Table Grid"/>
    <w:basedOn w:val="TableNormal"/>
    <w:uiPriority w:val="39"/>
    <w:rsid w:val="00ef73d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BBA74-643A-46EE-91D7-B88C28B39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ages>1</Pages>
  <Words>8390</Words>
  <Characters>51903</Characters>
  <CharactersWithSpaces>60273</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2025-08-30T05:32:00Z</dcterms:created>
  <dc:creator>Dr.Meisenberg</dc:creator>
  <dc:description/>
  <dc:language>en-AU</dc:language>
  <cp:lastModifiedBy/>
  <cp:lastPrinted>2025-11-03T06:10:59Z</cp:lastPrinted>
  <dcterms:modified xsi:type="dcterms:W3CDTF">2025-11-03T07:39:40Z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