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p>
    <w:p w:rsidR="00F72965" w:rsidRDefault="00F72965" w:rsidP="00664E42">
      <w:r>
        <w:t xml:space="preserve">Expanded access approval rate from Pfizer was 98% </w:t>
      </w:r>
      <w:r w:rsidRPr="00F72965">
        <w:t>https://www.pfizer.com/purpose/medicine-access/compassionate-use</w:t>
      </w:r>
      <w:r>
        <w:t>.</w:t>
      </w:r>
    </w:p>
    <w:p w:rsidR="00616B3D" w:rsidRDefault="00616B3D" w:rsidP="00664E42">
      <w:r>
        <w:t>Methods:</w:t>
      </w:r>
    </w:p>
    <w:p w:rsidR="00616B3D" w:rsidRDefault="00616B3D" w:rsidP="00664E42">
      <w:pPr>
        <w:rPr>
          <w:rFonts w:ascii="Arial" w:hAnsi="Arial" w:cs="Arial"/>
          <w:color w:val="222222"/>
          <w:shd w:val="clear" w:color="auto" w:fill="FFFFFF"/>
        </w:rPr>
      </w:pPr>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r>
        <w:rPr>
          <w:rFonts w:ascii="Arial" w:hAnsi="Arial" w:cs="Arial"/>
          <w:color w:val="222222"/>
          <w:shd w:val="clear" w:color="auto" w:fill="FFFFFF"/>
        </w:rPr>
        <w:t>Using PharmaGKB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616B3D" w:rsidRDefault="00616B3D" w:rsidP="00664E42">
      <w:r>
        <w:t>Results:</w:t>
      </w:r>
    </w:p>
    <w:p w:rsidR="00616B3D" w:rsidRDefault="00616B3D" w:rsidP="00664E42">
      <w:r>
        <w:t>Discussion:</w:t>
      </w:r>
    </w:p>
    <w:p w:rsidR="00664E42" w:rsidRDefault="00664E42" w:rsidP="00664E42"/>
    <w:p w:rsidR="006672D7" w:rsidRDefault="006672D7" w:rsidP="00664E42">
      <w:hyperlink r:id="rId4" w:history="1">
        <w:r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2. Karlin-Smith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6672D7" w:rsidP="00664E42">
      <w:pPr>
        <w:rPr>
          <w:rStyle w:val="Hyperlink"/>
        </w:rPr>
      </w:pPr>
      <w:hyperlink r:id="rId5" w:history="1">
        <w:r w:rsidR="00F72965" w:rsidRPr="00A917E7">
          <w:rPr>
            <w:rStyle w:val="Hyperlink"/>
          </w:rPr>
          <w:t>https://www.ncbi.nlm.nih.gov/pmc/articles/PM</w:t>
        </w:r>
        <w:r w:rsidR="00F72965" w:rsidRPr="00A917E7">
          <w:rPr>
            <w:rStyle w:val="Hyperlink"/>
          </w:rPr>
          <w:t>C</w:t>
        </w:r>
        <w:r w:rsidR="00F72965" w:rsidRPr="00A917E7">
          <w:rPr>
            <w:rStyle w:val="Hyperlink"/>
          </w:rPr>
          <w:t>5534121/</w:t>
        </w:r>
      </w:hyperlink>
    </w:p>
    <w:p w:rsidR="006672D7" w:rsidRDefault="006672D7" w:rsidP="006672D7">
      <w:pPr>
        <w:shd w:val="clear" w:color="auto" w:fill="FFFFFF"/>
        <w:rPr>
          <w:color w:val="000000"/>
        </w:rPr>
      </w:pPr>
      <w:r>
        <w:rPr>
          <w:color w:val="000000"/>
        </w:rPr>
        <w:t>1. </w:t>
      </w:r>
      <w:r>
        <w:rPr>
          <w:rStyle w:val="mixed-citation"/>
          <w:color w:val="000000"/>
        </w:rPr>
        <w:t>White House. Readout of the vice president’s meeting with right to try advocates. </w:t>
      </w:r>
      <w:hyperlink r:id="rId6" w:tgtFrame="_blank" w:history="1">
        <w:r>
          <w:rPr>
            <w:rStyle w:val="Hyperlink"/>
            <w:color w:val="642A8F"/>
          </w:rPr>
          <w:t>https://www.whitehouse.gov/the-press-office/2017/02/07/readout-vice-presidents-meeting-right-try-advocates</w:t>
        </w:r>
      </w:hyperlink>
      <w:r>
        <w:rPr>
          <w:rStyle w:val="mixed-citation"/>
          <w:color w:val="000000"/>
        </w:rPr>
        <w:t>. Accessed 15 Feb 2017.</w:t>
      </w:r>
    </w:p>
    <w:p w:rsidR="006672D7" w:rsidRDefault="006672D7" w:rsidP="006672D7">
      <w:pPr>
        <w:shd w:val="clear" w:color="auto" w:fill="FFFFFF"/>
        <w:rPr>
          <w:color w:val="000000"/>
        </w:rPr>
      </w:pPr>
      <w:r>
        <w:rPr>
          <w:color w:val="000000"/>
        </w:rPr>
        <w:t>2. </w:t>
      </w:r>
      <w:r>
        <w:rPr>
          <w:rStyle w:val="mixed-citation"/>
          <w:color w:val="000000"/>
        </w:rPr>
        <w:t>U.S. Food and Drug Administration. Expanded access INDs and protocols 2009–2015. </w:t>
      </w:r>
      <w:hyperlink r:id="rId7" w:tgtFrame="_blank" w:history="1">
        <w:r>
          <w:rPr>
            <w:rStyle w:val="Hyperlink"/>
            <w:color w:val="642A8F"/>
          </w:rPr>
          <w:t>http://www.fda.gov/NewsEvents/PublicHealthFocus/ExpandedAccessCompassionateUse/ucm443572.htm</w:t>
        </w:r>
      </w:hyperlink>
      <w:r>
        <w:rPr>
          <w:rStyle w:val="mixed-citation"/>
          <w:color w:val="000000"/>
        </w:rPr>
        <w:t>. Accessed 15 Feb 2017.</w:t>
      </w:r>
    </w:p>
    <w:p w:rsidR="006672D7" w:rsidRDefault="006672D7" w:rsidP="006672D7">
      <w:pPr>
        <w:shd w:val="clear" w:color="auto" w:fill="FFFFFF"/>
        <w:rPr>
          <w:color w:val="000000"/>
        </w:rPr>
      </w:pPr>
      <w:r>
        <w:rPr>
          <w:color w:val="000000"/>
        </w:rPr>
        <w:t>3. </w:t>
      </w:r>
      <w:r>
        <w:rPr>
          <w:rStyle w:val="mixed-citation"/>
          <w:color w:val="000000"/>
        </w:rPr>
        <w:t>U.S. Food and Drug Administration. Expanded access (compassionate use) </w:t>
      </w:r>
      <w:hyperlink r:id="rId8" w:tgtFrame="_blank" w:history="1">
        <w:r>
          <w:rPr>
            <w:rStyle w:val="Hyperlink"/>
            <w:color w:val="642A8F"/>
          </w:rPr>
          <w:t>https://www.fda.gov/NewsEvents/PublicHealthFocus/ExpandedAccessCompassionateUse/default.htm</w:t>
        </w:r>
      </w:hyperlink>
      <w:r>
        <w:rPr>
          <w:rStyle w:val="mixed-citation"/>
          <w:color w:val="000000"/>
        </w:rPr>
        <w:t>. Accessed 23 June 2017.</w:t>
      </w:r>
    </w:p>
    <w:p w:rsidR="006672D7" w:rsidRDefault="006672D7" w:rsidP="006672D7">
      <w:pPr>
        <w:shd w:val="clear" w:color="auto" w:fill="FFFFFF"/>
        <w:rPr>
          <w:color w:val="000000"/>
        </w:rPr>
      </w:pPr>
      <w:r>
        <w:rPr>
          <w:color w:val="000000"/>
        </w:rPr>
        <w:t>4. </w:t>
      </w:r>
      <w:r>
        <w:rPr>
          <w:rStyle w:val="mixed-citation"/>
          <w:color w:val="000000"/>
        </w:rPr>
        <w:t>U.S. Food and Drug Administration. Charging for investigational drugs under an IND—questions and answers, guidance for industry. </w:t>
      </w:r>
      <w:hyperlink r:id="rId9" w:tgtFrame="_blank" w:history="1">
        <w:r>
          <w:rPr>
            <w:rStyle w:val="Hyperlink"/>
            <w:color w:val="642A8F"/>
          </w:rPr>
          <w:t>https://www.fda.gov/downloads/Drugs/GuidanceComplianceRegulatoryInformation/Guidances/UCM351264.pdf</w:t>
        </w:r>
      </w:hyperlink>
      <w:r>
        <w:rPr>
          <w:rStyle w:val="mixed-citation"/>
          <w:color w:val="000000"/>
        </w:rPr>
        <w:t> Accessed 23 June 2017.</w:t>
      </w:r>
    </w:p>
    <w:p w:rsidR="006672D7" w:rsidRDefault="006672D7" w:rsidP="006672D7">
      <w:pPr>
        <w:shd w:val="clear" w:color="auto" w:fill="FFFFFF"/>
        <w:rPr>
          <w:color w:val="000000"/>
        </w:rPr>
      </w:pPr>
      <w:r>
        <w:rPr>
          <w:color w:val="000000"/>
        </w:rPr>
        <w:t>5. </w:t>
      </w:r>
      <w:r>
        <w:rPr>
          <w:rStyle w:val="element-citation"/>
          <w:color w:val="000000"/>
        </w:rPr>
        <w:t>Jarow JP, Lurie P, Ikenberry SC, Lemery S. Overview of FDA’s expanded access program for investigational drugs. </w:t>
      </w:r>
      <w:r>
        <w:rPr>
          <w:rStyle w:val="ref-journal"/>
          <w:color w:val="000000"/>
        </w:rPr>
        <w:t>Ther Innov Regul Sci. </w:t>
      </w:r>
      <w:r>
        <w:rPr>
          <w:rStyle w:val="element-citation"/>
          <w:color w:val="000000"/>
        </w:rPr>
        <w:t>2017;</w:t>
      </w:r>
      <w:r>
        <w:rPr>
          <w:rStyle w:val="ref-vol"/>
          <w:color w:val="000000"/>
        </w:rPr>
        <w:t>51</w:t>
      </w:r>
      <w:r>
        <w:rPr>
          <w:rStyle w:val="element-citation"/>
          <w:color w:val="000000"/>
        </w:rPr>
        <w:t>(2):177–179. doi: 10.1177/2168479017694850.</w:t>
      </w:r>
      <w:r>
        <w:rPr>
          <w:rStyle w:val="nowrap"/>
          <w:color w:val="000000"/>
        </w:rPr>
        <w:t>[</w:t>
      </w:r>
      <w:hyperlink r:id="rId10"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1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6. </w:t>
      </w:r>
      <w:r>
        <w:rPr>
          <w:rStyle w:val="element-citation"/>
          <w:color w:val="000000"/>
        </w:rPr>
        <w:t>Falit BP, Gross CP. Access to experimental drugs for terminally ill patients. </w:t>
      </w:r>
      <w:r>
        <w:rPr>
          <w:rStyle w:val="ref-journal"/>
          <w:color w:val="000000"/>
        </w:rPr>
        <w:t>JAMA. </w:t>
      </w:r>
      <w:proofErr w:type="gramStart"/>
      <w:r>
        <w:rPr>
          <w:rStyle w:val="element-citation"/>
          <w:color w:val="000000"/>
        </w:rPr>
        <w:t>2008;</w:t>
      </w:r>
      <w:r>
        <w:rPr>
          <w:rStyle w:val="ref-vol"/>
          <w:color w:val="000000"/>
        </w:rPr>
        <w:t>300</w:t>
      </w:r>
      <w:r>
        <w:rPr>
          <w:rStyle w:val="element-citation"/>
          <w:color w:val="000000"/>
        </w:rPr>
        <w:t>:2793</w:t>
      </w:r>
      <w:proofErr w:type="gramEnd"/>
      <w:r>
        <w:rPr>
          <w:rStyle w:val="element-citation"/>
          <w:color w:val="000000"/>
        </w:rPr>
        <w:t>–2795. doi: 10.1001/jama.2008.828.</w:t>
      </w:r>
      <w:r>
        <w:rPr>
          <w:rStyle w:val="nowrap"/>
          <w:color w:val="000000"/>
        </w:rPr>
        <w:t>[</w:t>
      </w:r>
      <w:hyperlink r:id="rId1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7. </w:t>
      </w:r>
      <w:r>
        <w:rPr>
          <w:rStyle w:val="element-citation"/>
          <w:color w:val="000000"/>
        </w:rPr>
        <w:t>Whitfield K, Huemer K-H, Winter D, et al. Compassionate use of interventions: results of a European Clinical Research Infrastructures Network (ECRIN) survey of ten European countries. </w:t>
      </w:r>
      <w:r>
        <w:rPr>
          <w:rStyle w:val="ref-journal"/>
          <w:color w:val="000000"/>
        </w:rPr>
        <w:t>Trials. </w:t>
      </w:r>
      <w:proofErr w:type="gramStart"/>
      <w:r>
        <w:rPr>
          <w:rStyle w:val="element-citation"/>
          <w:color w:val="000000"/>
        </w:rPr>
        <w:t>2010;</w:t>
      </w:r>
      <w:r>
        <w:rPr>
          <w:rStyle w:val="ref-vol"/>
          <w:color w:val="000000"/>
        </w:rPr>
        <w:t>11</w:t>
      </w:r>
      <w:r>
        <w:rPr>
          <w:rStyle w:val="element-citation"/>
          <w:color w:val="000000"/>
        </w:rPr>
        <w:t>:104</w:t>
      </w:r>
      <w:proofErr w:type="gramEnd"/>
      <w:r>
        <w:rPr>
          <w:rStyle w:val="element-citation"/>
          <w:color w:val="000000"/>
        </w:rPr>
        <w:t>. doi: 10.1186/1745-6215-11-104. </w:t>
      </w:r>
      <w:r>
        <w:rPr>
          <w:rStyle w:val="nowrap"/>
          <w:color w:val="000000"/>
        </w:rPr>
        <w:t>[</w:t>
      </w:r>
      <w:hyperlink r:id="rId15" w:history="1">
        <w:r>
          <w:rPr>
            <w:rStyle w:val="Hyperlink"/>
            <w:color w:val="642A8F"/>
          </w:rPr>
          <w:t>PMC free article</w:t>
        </w:r>
      </w:hyperlink>
      <w:r>
        <w:rPr>
          <w:rStyle w:val="nowrap"/>
          <w:color w:val="000000"/>
        </w:rPr>
        <w:t>][</w:t>
      </w:r>
      <w:hyperlink r:id="rId1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8. </w:t>
      </w:r>
      <w:r>
        <w:rPr>
          <w:rStyle w:val="element-citation"/>
          <w:color w:val="000000"/>
        </w:rPr>
        <w:t>Caplan A, Ray A. The ethical challenges of compassionate use. </w:t>
      </w:r>
      <w:r>
        <w:rPr>
          <w:rStyle w:val="ref-journal"/>
          <w:color w:val="000000"/>
        </w:rPr>
        <w:t>JAMA. </w:t>
      </w:r>
      <w:r>
        <w:rPr>
          <w:rStyle w:val="element-citation"/>
          <w:color w:val="000000"/>
        </w:rPr>
        <w:t>2016;</w:t>
      </w:r>
      <w:r>
        <w:rPr>
          <w:rStyle w:val="ref-vol"/>
          <w:color w:val="000000"/>
        </w:rPr>
        <w:t>315</w:t>
      </w:r>
      <w:r>
        <w:rPr>
          <w:rStyle w:val="element-citation"/>
          <w:color w:val="000000"/>
        </w:rPr>
        <w:t>(10):979–980. doi: 10.1001/jama.2016.0416.</w:t>
      </w:r>
      <w:r>
        <w:rPr>
          <w:rStyle w:val="nowrap"/>
          <w:color w:val="000000"/>
        </w:rPr>
        <w:t>[</w:t>
      </w:r>
      <w:hyperlink r:id="rId1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Welch MJ, Lally R, Miller JE, et al. The ethics and regulatory landscape of including vulnerable populations in pragmatic clinical trials. </w:t>
      </w:r>
      <w:r>
        <w:rPr>
          <w:rStyle w:val="ref-journal"/>
          <w:color w:val="000000"/>
        </w:rPr>
        <w:t>Clin Trials. </w:t>
      </w:r>
      <w:r>
        <w:rPr>
          <w:rStyle w:val="element-citation"/>
          <w:color w:val="000000"/>
        </w:rPr>
        <w:t>2015;</w:t>
      </w:r>
      <w:r>
        <w:rPr>
          <w:rStyle w:val="ref-vol"/>
          <w:color w:val="000000"/>
        </w:rPr>
        <w:t>12</w:t>
      </w:r>
      <w:r>
        <w:rPr>
          <w:rStyle w:val="element-citation"/>
          <w:color w:val="000000"/>
        </w:rPr>
        <w:t>(5):503–510. doi: 10.1177/1740774515597701. </w:t>
      </w:r>
      <w:r>
        <w:rPr>
          <w:rStyle w:val="nowrap"/>
          <w:color w:val="000000"/>
        </w:rPr>
        <w:t>[</w:t>
      </w:r>
      <w:hyperlink r:id="rId20"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10. </w:t>
      </w:r>
      <w:r>
        <w:rPr>
          <w:rStyle w:val="element-citation"/>
          <w:color w:val="000000"/>
        </w:rPr>
        <w:t>Bunnik EM, Aarts N, van de Vathorst S. The changing landscape of expanded access to investigational drugs for patients with unmet medical needs: ethical implications. </w:t>
      </w:r>
      <w:r>
        <w:rPr>
          <w:rStyle w:val="ref-journal"/>
          <w:color w:val="000000"/>
        </w:rPr>
        <w:t>J Pharm Policy Pract. </w:t>
      </w:r>
      <w:proofErr w:type="gramStart"/>
      <w:r>
        <w:rPr>
          <w:rStyle w:val="element-citation"/>
          <w:color w:val="000000"/>
        </w:rPr>
        <w:t>2017;</w:t>
      </w:r>
      <w:r>
        <w:rPr>
          <w:rStyle w:val="ref-vol"/>
          <w:color w:val="000000"/>
        </w:rPr>
        <w:t>10</w:t>
      </w:r>
      <w:r>
        <w:rPr>
          <w:rStyle w:val="element-citation"/>
          <w:color w:val="000000"/>
        </w:rPr>
        <w:t>:10</w:t>
      </w:r>
      <w:proofErr w:type="gramEnd"/>
      <w:r>
        <w:rPr>
          <w:rStyle w:val="element-citation"/>
          <w:color w:val="000000"/>
        </w:rPr>
        <w:t>. doi: 10.1186/s40545-017-0100-3. </w:t>
      </w:r>
      <w:r>
        <w:rPr>
          <w:rStyle w:val="nowrap"/>
          <w:color w:val="000000"/>
        </w:rPr>
        <w:t>[</w:t>
      </w:r>
      <w:hyperlink r:id="rId2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4" w:tgtFrame="pmc_ext" w:history="1">
        <w:r>
          <w:rPr>
            <w:rStyle w:val="Hyperlink"/>
            <w:color w:val="642A8F"/>
          </w:rPr>
          <w:t>PubMed</w:t>
        </w:r>
      </w:hyperlink>
      <w:r>
        <w:rPr>
          <w:rStyle w:val="nowrap"/>
          <w:color w:val="000000"/>
        </w:rPr>
        <w:t>][</w:t>
      </w:r>
      <w:hyperlink r:id="rId2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11. </w:t>
      </w:r>
      <w:r>
        <w:rPr>
          <w:rStyle w:val="element-citation"/>
          <w:color w:val="000000"/>
        </w:rPr>
        <w:t>Darrow JJ, Sarpatwari JD, Avorn J, Kesselheim AS. Practical, legal, and ethical issues in expanded access to investigational drugs. </w:t>
      </w:r>
      <w:r>
        <w:rPr>
          <w:rStyle w:val="ref-journal"/>
          <w:color w:val="000000"/>
        </w:rPr>
        <w:t>N Engl J Med. </w:t>
      </w:r>
      <w:proofErr w:type="gramStart"/>
      <w:r>
        <w:rPr>
          <w:rStyle w:val="element-citation"/>
          <w:color w:val="000000"/>
        </w:rPr>
        <w:t>2015;</w:t>
      </w:r>
      <w:r>
        <w:rPr>
          <w:rStyle w:val="ref-vol"/>
          <w:color w:val="000000"/>
        </w:rPr>
        <w:t>372</w:t>
      </w:r>
      <w:r>
        <w:rPr>
          <w:rStyle w:val="element-citation"/>
          <w:color w:val="000000"/>
        </w:rPr>
        <w:t>:279</w:t>
      </w:r>
      <w:proofErr w:type="gramEnd"/>
      <w:r>
        <w:rPr>
          <w:rStyle w:val="element-citation"/>
          <w:color w:val="000000"/>
        </w:rPr>
        <w:t>–286. doi: 10.1056/NEJMhle1409465.</w:t>
      </w:r>
      <w:r>
        <w:rPr>
          <w:rStyle w:val="nowrap"/>
          <w:color w:val="000000"/>
        </w:rPr>
        <w:t>[</w:t>
      </w:r>
      <w:hyperlink r:id="rId2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12. </w:t>
      </w:r>
      <w:r>
        <w:rPr>
          <w:rStyle w:val="element-citation"/>
          <w:color w:val="000000"/>
        </w:rPr>
        <w:t>Zettler PJ, Greely HT. The strange allure of state “right-to-try” laws. </w:t>
      </w:r>
      <w:r>
        <w:rPr>
          <w:rStyle w:val="ref-journal"/>
          <w:color w:val="000000"/>
        </w:rPr>
        <w:t>JAMA Intern Med. </w:t>
      </w:r>
      <w:r>
        <w:rPr>
          <w:rStyle w:val="element-citation"/>
          <w:color w:val="000000"/>
        </w:rPr>
        <w:t>2014;</w:t>
      </w:r>
      <w:r>
        <w:rPr>
          <w:rStyle w:val="ref-vol"/>
          <w:color w:val="000000"/>
        </w:rPr>
        <w:t>174</w:t>
      </w:r>
      <w:r>
        <w:rPr>
          <w:rStyle w:val="element-citation"/>
          <w:color w:val="000000"/>
        </w:rPr>
        <w:t>(12):1885–1886. doi: 10.1001/jamainternmed.2014.5767. </w:t>
      </w:r>
      <w:r>
        <w:rPr>
          <w:rStyle w:val="nowrap"/>
          <w:color w:val="000000"/>
        </w:rPr>
        <w:t>[</w:t>
      </w:r>
      <w:hyperlink r:id="rId2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13. </w:t>
      </w:r>
      <w:r>
        <w:rPr>
          <w:rStyle w:val="element-citation"/>
          <w:color w:val="000000"/>
        </w:rPr>
        <w:t>Mackey TK, Schoenfeld VJ. Going “social” to access experimental and potentially life-saving treatment: an assessment of the policy and online patient advocacy environment for expanded access. </w:t>
      </w:r>
      <w:r>
        <w:rPr>
          <w:rStyle w:val="ref-journal"/>
          <w:color w:val="000000"/>
        </w:rPr>
        <w:t>BMC Med. </w:t>
      </w:r>
      <w:proofErr w:type="gramStart"/>
      <w:r>
        <w:rPr>
          <w:rStyle w:val="element-citation"/>
          <w:color w:val="000000"/>
        </w:rPr>
        <w:t>2016;</w:t>
      </w:r>
      <w:r>
        <w:rPr>
          <w:rStyle w:val="ref-vol"/>
          <w:color w:val="000000"/>
        </w:rPr>
        <w:t>14</w:t>
      </w:r>
      <w:r>
        <w:rPr>
          <w:rStyle w:val="element-citation"/>
          <w:color w:val="000000"/>
        </w:rPr>
        <w:t>:17</w:t>
      </w:r>
      <w:proofErr w:type="gramEnd"/>
      <w:r>
        <w:rPr>
          <w:rStyle w:val="element-citation"/>
          <w:color w:val="000000"/>
        </w:rPr>
        <w:t>. doi: 10.1186/s12916-016-0568-8. </w:t>
      </w:r>
      <w:r>
        <w:rPr>
          <w:rStyle w:val="nowrap"/>
          <w:color w:val="000000"/>
        </w:rPr>
        <w:t>[</w:t>
      </w:r>
      <w:hyperlink r:id="rId30" w:history="1">
        <w:r>
          <w:rPr>
            <w:rStyle w:val="Hyperlink"/>
            <w:color w:val="642A8F"/>
          </w:rPr>
          <w:t>PMC free article</w:t>
        </w:r>
      </w:hyperlink>
      <w:r>
        <w:rPr>
          <w:rStyle w:val="nowrap"/>
          <w:color w:val="000000"/>
        </w:rPr>
        <w:t>][</w:t>
      </w:r>
      <w:hyperlink r:id="rId3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14. </w:t>
      </w:r>
      <w:r>
        <w:rPr>
          <w:rStyle w:val="element-citation"/>
          <w:color w:val="000000"/>
        </w:rPr>
        <w:t>Zettler PJ. Compassionate use of experimental therapies: who should decide? </w:t>
      </w:r>
      <w:r>
        <w:rPr>
          <w:rStyle w:val="ref-journal"/>
          <w:color w:val="000000"/>
        </w:rPr>
        <w:t>EMBO Mol Med. </w:t>
      </w:r>
      <w:r>
        <w:rPr>
          <w:rStyle w:val="element-citation"/>
          <w:color w:val="000000"/>
        </w:rPr>
        <w:t>2015 </w:t>
      </w:r>
      <w:r>
        <w:rPr>
          <w:rStyle w:val="nowrap"/>
          <w:color w:val="000000"/>
        </w:rPr>
        <w:t>[</w:t>
      </w:r>
      <w:hyperlink r:id="rId33"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4" w:tgtFrame="pmc_ext" w:history="1">
        <w:r>
          <w:rPr>
            <w:rStyle w:val="Hyperlink"/>
            <w:color w:val="642A8F"/>
          </w:rPr>
          <w:t>PubMed</w:t>
        </w:r>
      </w:hyperlink>
      <w:r>
        <w:rPr>
          <w:rStyle w:val="nowrap"/>
          <w:color w:val="000000"/>
        </w:rPr>
        <w:t>]</w:t>
      </w:r>
    </w:p>
    <w:p w:rsidR="006672D7" w:rsidRDefault="006672D7" w:rsidP="006672D7">
      <w:pPr>
        <w:shd w:val="clear" w:color="auto" w:fill="FFFFFF"/>
        <w:rPr>
          <w:color w:val="000000"/>
        </w:rPr>
      </w:pPr>
      <w:r>
        <w:rPr>
          <w:color w:val="000000"/>
        </w:rPr>
        <w:t>15. </w:t>
      </w:r>
      <w:r>
        <w:rPr>
          <w:rStyle w:val="element-citation"/>
          <w:color w:val="000000"/>
        </w:rPr>
        <w:t>Jarow JP, Lemery S, Bugin K, Lowy N. Ten-year experience for the Center for Drug Evaluation and Research, Part 2: FDA’s role in ensuring patient safety. </w:t>
      </w:r>
      <w:r>
        <w:rPr>
          <w:rStyle w:val="ref-journal"/>
          <w:color w:val="000000"/>
        </w:rPr>
        <w:t>Ther Innov Regul Sci. </w:t>
      </w:r>
      <w:r>
        <w:rPr>
          <w:rStyle w:val="element-citation"/>
          <w:color w:val="000000"/>
        </w:rPr>
        <w:t>2017;</w:t>
      </w:r>
      <w:r>
        <w:rPr>
          <w:rStyle w:val="ref-vol"/>
          <w:color w:val="000000"/>
        </w:rPr>
        <w:t>51</w:t>
      </w:r>
      <w:r>
        <w:rPr>
          <w:rStyle w:val="element-citation"/>
          <w:color w:val="000000"/>
        </w:rPr>
        <w:t>(2):246–249. doi: 10.1177/2168479016679214. </w:t>
      </w:r>
      <w:r>
        <w:rPr>
          <w:rStyle w:val="nowrap"/>
          <w:color w:val="000000"/>
        </w:rPr>
        <w:t>[</w:t>
      </w:r>
      <w:hyperlink r:id="rId35"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36" w:tgtFrame="pmc_ext" w:history="1">
        <w:r>
          <w:rPr>
            <w:rStyle w:val="Hyperlink"/>
            <w:color w:val="642A8F"/>
          </w:rPr>
          <w:t>PubMed</w:t>
        </w:r>
      </w:hyperlink>
      <w:r>
        <w:rPr>
          <w:rStyle w:val="nowrap"/>
          <w:color w:val="000000"/>
        </w:rPr>
        <w:t>][</w:t>
      </w:r>
      <w:hyperlink r:id="rId3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16. </w:t>
      </w:r>
      <w:r>
        <w:rPr>
          <w:rStyle w:val="mixed-citation"/>
          <w:color w:val="000000"/>
        </w:rPr>
        <w:t>Friedlaender J. The proposed federal ‘Right-To-Try’ law is not the answer for critically ill patients. Health Affairs Blog. </w:t>
      </w:r>
      <w:hyperlink r:id="rId38" w:tgtFrame="_blank" w:history="1">
        <w:r>
          <w:rPr>
            <w:rStyle w:val="Hyperlink"/>
            <w:color w:val="642A8F"/>
          </w:rPr>
          <w:t>http://healthaffairs.org/blog/2016/09/27/the-proposed-federal-right-to-try-law-is-not-the-answer-for-critically-ill-patients/</w:t>
        </w:r>
      </w:hyperlink>
      <w:r>
        <w:rPr>
          <w:rStyle w:val="mixed-citation"/>
          <w:color w:val="000000"/>
        </w:rPr>
        <w:t>. Accessed 15 Feb 2017.</w:t>
      </w:r>
    </w:p>
    <w:p w:rsidR="006672D7" w:rsidRDefault="006672D7" w:rsidP="006672D7">
      <w:pPr>
        <w:shd w:val="clear" w:color="auto" w:fill="FFFFFF"/>
        <w:rPr>
          <w:color w:val="000000"/>
        </w:rPr>
      </w:pPr>
      <w:r>
        <w:rPr>
          <w:color w:val="000000"/>
        </w:rPr>
        <w:t>17. </w:t>
      </w:r>
      <w:r>
        <w:rPr>
          <w:rStyle w:val="element-citation"/>
          <w:color w:val="000000"/>
        </w:rPr>
        <w:t>Downing NS, Shah ND, Neiman JH, Aminawung JA, Krumholz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(1):1. doi: 10.1186/s13063-016-1322-4. </w:t>
      </w:r>
      <w:r>
        <w:rPr>
          <w:rStyle w:val="nowrap"/>
          <w:color w:val="000000"/>
        </w:rPr>
        <w:t>[</w:t>
      </w:r>
      <w:hyperlink r:id="rId39"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18. </w:t>
      </w:r>
      <w:r>
        <w:rPr>
          <w:rStyle w:val="element-citation"/>
          <w:color w:val="000000"/>
        </w:rPr>
        <w:t>Downing NS, Aminawung JA, Shah ND, Krumholz HM, Ross JS. Clinical trial evidence supporting FDA approval of novel therapeutic agents, 2005–2012. </w:t>
      </w:r>
      <w:r>
        <w:rPr>
          <w:rStyle w:val="ref-journal"/>
          <w:color w:val="000000"/>
        </w:rPr>
        <w:t>JAMA. </w:t>
      </w:r>
      <w:r>
        <w:rPr>
          <w:rStyle w:val="element-citation"/>
          <w:color w:val="000000"/>
        </w:rPr>
        <w:t>2014;</w:t>
      </w:r>
      <w:r>
        <w:rPr>
          <w:rStyle w:val="ref-vol"/>
          <w:color w:val="000000"/>
        </w:rPr>
        <w:t>311</w:t>
      </w:r>
      <w:r>
        <w:rPr>
          <w:rStyle w:val="element-citation"/>
          <w:color w:val="000000"/>
        </w:rPr>
        <w:t>(4):368–377. doi: 10.1001/jama.2013.282034. </w:t>
      </w:r>
      <w:r>
        <w:rPr>
          <w:rStyle w:val="nowrap"/>
          <w:color w:val="000000"/>
        </w:rPr>
        <w:t>[</w:t>
      </w:r>
      <w:hyperlink r:id="rId4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4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19. </w:t>
      </w:r>
      <w:r>
        <w:rPr>
          <w:rStyle w:val="element-citation"/>
          <w:color w:val="000000"/>
        </w:rPr>
        <w:t>Gifford AL, Cunningham WE, Heslin KC, Andersen RM, Nakazono T, Lieu DK, et al. Participation in research and access to experimental treatments by HIV-infected patients. </w:t>
      </w:r>
      <w:r>
        <w:rPr>
          <w:rStyle w:val="ref-journal"/>
          <w:color w:val="000000"/>
        </w:rPr>
        <w:t>N Engl J Med. </w:t>
      </w:r>
      <w:r>
        <w:rPr>
          <w:rStyle w:val="element-citation"/>
          <w:color w:val="000000"/>
        </w:rPr>
        <w:t>2002;</w:t>
      </w:r>
      <w:r>
        <w:rPr>
          <w:rStyle w:val="ref-vol"/>
          <w:color w:val="000000"/>
        </w:rPr>
        <w:t>346</w:t>
      </w:r>
      <w:r>
        <w:rPr>
          <w:rStyle w:val="element-citation"/>
          <w:color w:val="000000"/>
        </w:rPr>
        <w:t>(18):1373–1382. doi: 10.1056/NEJMsa011565. </w:t>
      </w:r>
      <w:r>
        <w:rPr>
          <w:rStyle w:val="nowrap"/>
          <w:color w:val="000000"/>
        </w:rPr>
        <w:t>[</w:t>
      </w:r>
      <w:hyperlink r:id="rId45" w:tgtFrame="pmc_ext" w:history="1">
        <w:r>
          <w:rPr>
            <w:rStyle w:val="Hyperlink"/>
            <w:color w:val="642A8F"/>
          </w:rPr>
          <w:t>PubMed</w:t>
        </w:r>
      </w:hyperlink>
      <w:r>
        <w:rPr>
          <w:rStyle w:val="nowrap"/>
          <w:color w:val="000000"/>
        </w:rPr>
        <w:t>][</w:t>
      </w:r>
      <w:hyperlink r:id="rId46"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r>
        <w:rPr>
          <w:rStyle w:val="element-citation"/>
          <w:color w:val="000000"/>
        </w:rPr>
        <w:t>Heiat A, Gross CP, Krumholz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(15):1682–1688. doi: 10.1001/archinte.162.15.1682.</w:t>
      </w:r>
      <w:r>
        <w:rPr>
          <w:rStyle w:val="nowrap"/>
          <w:color w:val="000000"/>
        </w:rPr>
        <w:t>[</w:t>
      </w:r>
      <w:hyperlink r:id="rId47"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48"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21. </w:t>
      </w:r>
      <w:r>
        <w:rPr>
          <w:rStyle w:val="element-citation"/>
          <w:color w:val="000000"/>
        </w:rPr>
        <w:t>Ascierto PA, Simeone E, Sileni VC, et al. Clinical experience with ipilimumab 3 mg/kg: real-world efficacy and safety data from an expanded access programme cohort. </w:t>
      </w:r>
      <w:r>
        <w:rPr>
          <w:rStyle w:val="ref-journal"/>
          <w:color w:val="000000"/>
        </w:rPr>
        <w:t>J Transl Med. </w:t>
      </w:r>
      <w:proofErr w:type="gramStart"/>
      <w:r>
        <w:rPr>
          <w:rStyle w:val="element-citation"/>
          <w:color w:val="000000"/>
        </w:rPr>
        <w:t>2014;</w:t>
      </w:r>
      <w:r>
        <w:rPr>
          <w:rStyle w:val="ref-vol"/>
          <w:color w:val="000000"/>
        </w:rPr>
        <w:t>12</w:t>
      </w:r>
      <w:r>
        <w:rPr>
          <w:rStyle w:val="element-citation"/>
          <w:color w:val="000000"/>
        </w:rPr>
        <w:t>:116</w:t>
      </w:r>
      <w:proofErr w:type="gramEnd"/>
      <w:r>
        <w:rPr>
          <w:rStyle w:val="element-citation"/>
          <w:color w:val="000000"/>
        </w:rPr>
        <w:t>. doi: 10.1186/1479-5876-12-116. </w:t>
      </w:r>
      <w:r>
        <w:rPr>
          <w:rStyle w:val="nowrap"/>
          <w:color w:val="000000"/>
        </w:rPr>
        <w:t>[</w:t>
      </w:r>
      <w:hyperlink r:id="rId49"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5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5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22. </w:t>
      </w:r>
      <w:r>
        <w:rPr>
          <w:rStyle w:val="mixed-citation"/>
          <w:color w:val="000000"/>
        </w:rPr>
        <w:t>Fromer MJ. Road to successful use of real-world evidence for drug development is long and rocky, ASCO report. </w:t>
      </w:r>
      <w:hyperlink r:id="rId52" w:tgtFrame="_blank" w:history="1">
        <w:r>
          <w:rPr>
            <w:rStyle w:val="Hyperlink"/>
            <w:color w:val="642A8F"/>
          </w:rPr>
          <w:t>http://www.ascopost.com/issues/july-25-2016/road-to-successful-use-of-real-world-evidence-for-drug-development-is-long-and-rocky</w:t>
        </w:r>
      </w:hyperlink>
      <w:r>
        <w:rPr>
          <w:rStyle w:val="mixed-citation"/>
          <w:color w:val="000000"/>
        </w:rPr>
        <w:t>. Accessed 15 Feb 2017.</w:t>
      </w:r>
    </w:p>
    <w:p w:rsidR="006672D7" w:rsidRDefault="006672D7" w:rsidP="00664E42">
      <w:bookmarkStart w:id="0" w:name="_GoBack"/>
      <w:bookmarkEnd w:id="0"/>
    </w:p>
    <w:p w:rsidR="00F72965" w:rsidRDefault="00F72965" w:rsidP="00664E42">
      <w:r>
        <w:t>very similar to what I’m doing</w:t>
      </w:r>
    </w:p>
    <w:sectPr w:rsidR="00F7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215E31"/>
    <w:rsid w:val="00352BB3"/>
    <w:rsid w:val="00473F47"/>
    <w:rsid w:val="004D3319"/>
    <w:rsid w:val="004E2E4A"/>
    <w:rsid w:val="0051188E"/>
    <w:rsid w:val="00616B3D"/>
    <w:rsid w:val="00664E42"/>
    <w:rsid w:val="006672D7"/>
    <w:rsid w:val="008C6069"/>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D843"/>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19088356" TargetMode="External"/><Relationship Id="rId18" Type="http://schemas.openxmlformats.org/officeDocument/2006/relationships/hyperlink" Target="https://www.ncbi.nlm.nih.gov/pubmed/26868205" TargetMode="External"/><Relationship Id="rId26" Type="http://schemas.openxmlformats.org/officeDocument/2006/relationships/hyperlink" Target="https://www.ncbi.nlm.nih.gov/pubmed/25587952" TargetMode="External"/><Relationship Id="rId39" Type="http://schemas.openxmlformats.org/officeDocument/2006/relationships/hyperlink" Target="https://www.ncbi.nlm.nih.gov/pmc/articles/PMC4832528/" TargetMode="External"/><Relationship Id="rId21" Type="http://schemas.openxmlformats.org/officeDocument/2006/relationships/hyperlink" Target="https://www.ncbi.nlm.nih.gov/pubmed/26374681" TargetMode="External"/><Relationship Id="rId34" Type="http://schemas.openxmlformats.org/officeDocument/2006/relationships/hyperlink" Target="https://www.ncbi.nlm.nih.gov/pubmed/26202382" TargetMode="External"/><Relationship Id="rId42" Type="http://schemas.openxmlformats.org/officeDocument/2006/relationships/hyperlink" Target="https://www.ncbi.nlm.nih.gov/pmc/articles/PMC4144867/" TargetMode="External"/><Relationship Id="rId47" Type="http://schemas.openxmlformats.org/officeDocument/2006/relationships/hyperlink" Target="https://www.ncbi.nlm.nih.gov/pubmed/12153370" TargetMode="External"/><Relationship Id="rId50" Type="http://schemas.openxmlformats.org/officeDocument/2006/relationships/hyperlink" Target="https://www.ncbi.nlm.nih.gov/pubmed/24885479" TargetMode="External"/><Relationship Id="rId7" Type="http://schemas.openxmlformats.org/officeDocument/2006/relationships/hyperlink" Target="http://www.fda.gov/NewsEvents/PublicHealthFocus/ExpandedAccessCompassionateUse/ucm443572.htm" TargetMode="External"/><Relationship Id="rId2" Type="http://schemas.openxmlformats.org/officeDocument/2006/relationships/settings" Target="settings.xml"/><Relationship Id="rId16" Type="http://schemas.openxmlformats.org/officeDocument/2006/relationships/hyperlink" Target="https://www.ncbi.nlm.nih.gov/pubmed/21073691" TargetMode="External"/><Relationship Id="rId29" Type="http://schemas.openxmlformats.org/officeDocument/2006/relationships/hyperlink" Target="https://dx.doi.org/10.1001%2Fjamainternmed.2014.5767" TargetMode="External"/><Relationship Id="rId11" Type="http://schemas.openxmlformats.org/officeDocument/2006/relationships/hyperlink" Target="https://www.ncbi.nlm.nih.gov/pubmed/28553565" TargetMode="External"/><Relationship Id="rId24" Type="http://schemas.openxmlformats.org/officeDocument/2006/relationships/hyperlink" Target="https://www.ncbi.nlm.nih.gov/pubmed/28239479" TargetMode="External"/><Relationship Id="rId32" Type="http://schemas.openxmlformats.org/officeDocument/2006/relationships/hyperlink" Target="https://dx.doi.org/10.1186%2Fs12916-016-0568-8" TargetMode="External"/><Relationship Id="rId37" Type="http://schemas.openxmlformats.org/officeDocument/2006/relationships/hyperlink" Target="https://dx.doi.org/10.1177%2F2168479016679214" TargetMode="External"/><Relationship Id="rId40" Type="http://schemas.openxmlformats.org/officeDocument/2006/relationships/hyperlink" Target="https://www.ncbi.nlm.nih.gov/pubmed/27079511" TargetMode="External"/><Relationship Id="rId45" Type="http://schemas.openxmlformats.org/officeDocument/2006/relationships/hyperlink" Target="https://www.ncbi.nlm.nih.gov/pubmed/11986412" TargetMode="External"/><Relationship Id="rId53" Type="http://schemas.openxmlformats.org/officeDocument/2006/relationships/fontTable" Target="fontTable.xml"/><Relationship Id="rId5" Type="http://schemas.openxmlformats.org/officeDocument/2006/relationships/hyperlink" Target="https://www.ncbi.nlm.nih.gov/pmc/articles/PMC5534121/" TargetMode="External"/><Relationship Id="rId10" Type="http://schemas.openxmlformats.org/officeDocument/2006/relationships/hyperlink" Target="https://www.ncbi.nlm.nih.gov/pmc/articles/PMC5443564/" TargetMode="External"/><Relationship Id="rId19" Type="http://schemas.openxmlformats.org/officeDocument/2006/relationships/hyperlink" Target="https://dx.doi.org/10.1001%2Fjama.2016.0416" TargetMode="External"/><Relationship Id="rId31" Type="http://schemas.openxmlformats.org/officeDocument/2006/relationships/hyperlink" Target="https://www.ncbi.nlm.nih.gov/pubmed/26843367" TargetMode="External"/><Relationship Id="rId44" Type="http://schemas.openxmlformats.org/officeDocument/2006/relationships/hyperlink" Target="https://dx.doi.org/10.1001%2Fjama.2013.282034" TargetMode="External"/><Relationship Id="rId52" Type="http://schemas.openxmlformats.org/officeDocument/2006/relationships/hyperlink" Target="http://www.ascopost.com/issues/july-25-2016/road-to-successful-use-of-real-world-evidence-for-drug-development-is-long-and-rocky" TargetMode="External"/><Relationship Id="rId4" Type="http://schemas.openxmlformats.org/officeDocument/2006/relationships/hyperlink" Target="https://www.ajmc.com/journals/evidence-based-oncology/2018/patient-centered-oncology-care-2017/weighing-the-merits-of-righttotry-laws-and-fdas-expanded-access-program" TargetMode="External"/><Relationship Id="rId9" Type="http://schemas.openxmlformats.org/officeDocument/2006/relationships/hyperlink" Target="https://www.fda.gov/downloads/Drugs/GuidanceComplianceRegulatoryInformation/Guidances/UCM351264.pdf" TargetMode="External"/><Relationship Id="rId14" Type="http://schemas.openxmlformats.org/officeDocument/2006/relationships/hyperlink" Target="https://dx.doi.org/10.1001%2Fjama.2008.828" TargetMode="External"/><Relationship Id="rId22" Type="http://schemas.openxmlformats.org/officeDocument/2006/relationships/hyperlink" Target="https://dx.doi.org/10.1177%2F1740774515597701" TargetMode="External"/><Relationship Id="rId27" Type="http://schemas.openxmlformats.org/officeDocument/2006/relationships/hyperlink" Target="https://dx.doi.org/10.1056%2FNEJMhle1409465" TargetMode="External"/><Relationship Id="rId30" Type="http://schemas.openxmlformats.org/officeDocument/2006/relationships/hyperlink" Target="https://www.ncbi.nlm.nih.gov/pmc/articles/PMC4739083/" TargetMode="External"/><Relationship Id="rId35" Type="http://schemas.openxmlformats.org/officeDocument/2006/relationships/hyperlink" Target="https://www.ncbi.nlm.nih.gov/pmc/articles/PMC5443559/" TargetMode="External"/><Relationship Id="rId43" Type="http://schemas.openxmlformats.org/officeDocument/2006/relationships/hyperlink" Target="https://www.ncbi.nlm.nih.gov/pubmed/24449315" TargetMode="External"/><Relationship Id="rId48" Type="http://schemas.openxmlformats.org/officeDocument/2006/relationships/hyperlink" Target="https://dx.doi.org/10.1001%2Farchinte.162.15.1682" TargetMode="External"/><Relationship Id="rId8" Type="http://schemas.openxmlformats.org/officeDocument/2006/relationships/hyperlink" Target="https://www.fda.gov/NewsEvents/PublicHealthFocus/ExpandedAccessCompassionateUse/default.htm" TargetMode="External"/><Relationship Id="rId51" Type="http://schemas.openxmlformats.org/officeDocument/2006/relationships/hyperlink" Target="https://dx.doi.org/10.1186%2F1479-5876-12-116" TargetMode="External"/><Relationship Id="rId3" Type="http://schemas.openxmlformats.org/officeDocument/2006/relationships/webSettings" Target="webSettings.xml"/><Relationship Id="rId12" Type="http://schemas.openxmlformats.org/officeDocument/2006/relationships/hyperlink" Target="https://dx.doi.org/10.1177%2F2168479017694850" TargetMode="External"/><Relationship Id="rId17" Type="http://schemas.openxmlformats.org/officeDocument/2006/relationships/hyperlink" Target="https://dx.doi.org/10.1186%2F1745-6215-11-104" TargetMode="External"/><Relationship Id="rId25" Type="http://schemas.openxmlformats.org/officeDocument/2006/relationships/hyperlink" Target="https://dx.doi.org/10.1186%2Fs40545-017-0100-3" TargetMode="External"/><Relationship Id="rId33" Type="http://schemas.openxmlformats.org/officeDocument/2006/relationships/hyperlink" Target="https://www.ncbi.nlm.nih.gov/pmc/articles/PMC4604679/" TargetMode="External"/><Relationship Id="rId38" Type="http://schemas.openxmlformats.org/officeDocument/2006/relationships/hyperlink" Target="http://healthaffairs.org/blog/2016/09/27/the-proposed-federal-right-to-try-law-is-not-the-answer-for-critically-ill-patients/" TargetMode="External"/><Relationship Id="rId46" Type="http://schemas.openxmlformats.org/officeDocument/2006/relationships/hyperlink" Target="https://dx.doi.org/10.1056%2FNEJMsa011565" TargetMode="External"/><Relationship Id="rId20" Type="http://schemas.openxmlformats.org/officeDocument/2006/relationships/hyperlink" Target="https://www.ncbi.nlm.nih.gov/pmc/articles/PMC4662375/" TargetMode="External"/><Relationship Id="rId41" Type="http://schemas.openxmlformats.org/officeDocument/2006/relationships/hyperlink" Target="https://dx.doi.org/10.1186%2Fs13063-016-1322-4"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hitehouse.gov/the-press-office/2017/02/07/readout-vice-presidents-meeting-right-try-advocates" TargetMode="External"/><Relationship Id="rId15" Type="http://schemas.openxmlformats.org/officeDocument/2006/relationships/hyperlink" Target="https://www.ncbi.nlm.nih.gov/pmc/articles/PMC2997627/" TargetMode="External"/><Relationship Id="rId23" Type="http://schemas.openxmlformats.org/officeDocument/2006/relationships/hyperlink" Target="https://www.ncbi.nlm.nih.gov/pmc/articles/PMC5320715/" TargetMode="External"/><Relationship Id="rId28" Type="http://schemas.openxmlformats.org/officeDocument/2006/relationships/hyperlink" Target="https://www.ncbi.nlm.nih.gov/pubmed/25264589" TargetMode="External"/><Relationship Id="rId36" Type="http://schemas.openxmlformats.org/officeDocument/2006/relationships/hyperlink" Target="https://www.ncbi.nlm.nih.gov/pubmed/28553566" TargetMode="External"/><Relationship Id="rId49" Type="http://schemas.openxmlformats.org/officeDocument/2006/relationships/hyperlink" Target="https://www.ncbi.nlm.nih.gov/pmc/articles/PMC4030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9068</TotalTime>
  <Pages>3</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9</cp:revision>
  <dcterms:created xsi:type="dcterms:W3CDTF">2018-07-03T04:18:00Z</dcterms:created>
  <dcterms:modified xsi:type="dcterms:W3CDTF">2018-07-12T19:50:00Z</dcterms:modified>
</cp:coreProperties>
</file>