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F4CE" w14:textId="77777777" w:rsidR="00F012AC" w:rsidRDefault="00DD296D">
      <w:pPr>
        <w:pStyle w:val="Heading1"/>
      </w:pPr>
      <w:r>
        <w:t>RELATÓRIO FINAL - SUBPROJETO</w:t>
      </w:r>
    </w:p>
    <w:p w14:paraId="58EF5781" w14:textId="77777777" w:rsidR="00F012AC" w:rsidRDefault="00DD296D">
      <w:pPr>
        <w:pStyle w:val="normal1"/>
      </w:pPr>
      <w:r>
        <w:rPr>
          <w:b/>
          <w:bCs/>
        </w:rPr>
        <w:t>Período:</w:t>
      </w:r>
      <w:r>
        <w:t xml:space="preserve"> agosto/2025 a maio/2026</w:t>
      </w:r>
    </w:p>
    <w:p w14:paraId="70FCD371" w14:textId="77777777" w:rsidR="00F012AC" w:rsidRDefault="00F012AC">
      <w:pPr>
        <w:pStyle w:val="normal1"/>
      </w:pPr>
    </w:p>
    <w:tbl>
      <w:tblPr>
        <w:tblStyle w:val="TableNormal0"/>
        <w:tblW w:w="9360" w:type="dxa"/>
        <w:tblInd w:w="0" w:type="dxa"/>
        <w:tblLayout w:type="fixed"/>
        <w:tblCellMar>
          <w:top w:w="75" w:type="dxa"/>
          <w:left w:w="75" w:type="dxa"/>
          <w:bottom w:w="75" w:type="dxa"/>
          <w:right w:w="75" w:type="dxa"/>
        </w:tblCellMar>
        <w:tblLook w:val="0600" w:firstRow="0" w:lastRow="0" w:firstColumn="0" w:lastColumn="0" w:noHBand="1" w:noVBand="1"/>
      </w:tblPr>
      <w:tblGrid>
        <w:gridCol w:w="2808"/>
        <w:gridCol w:w="6552"/>
      </w:tblGrid>
      <w:tr w:rsidR="00F012AC" w14:paraId="64CE8679" w14:textId="77777777">
        <w:tc>
          <w:tcPr>
            <w:tcW w:w="2808" w:type="dxa"/>
            <w:tcBorders>
              <w:top w:val="single" w:sz="6" w:space="0" w:color="000000"/>
              <w:left w:val="single" w:sz="6" w:space="0" w:color="000000"/>
              <w:bottom w:val="single" w:sz="6" w:space="0" w:color="000000"/>
              <w:right w:val="single" w:sz="6" w:space="0" w:color="000000"/>
            </w:tcBorders>
          </w:tcPr>
          <w:p w14:paraId="2E487F40" w14:textId="77777777" w:rsidR="00F012AC" w:rsidRDefault="00DD296D">
            <w:pPr>
              <w:pStyle w:val="normal1"/>
              <w:rPr>
                <w:b/>
                <w:bCs/>
              </w:rPr>
            </w:pPr>
            <w:r>
              <w:rPr>
                <w:b/>
                <w:bCs/>
              </w:rPr>
              <w:t>Emenda</w:t>
            </w:r>
          </w:p>
        </w:tc>
        <w:tc>
          <w:tcPr>
            <w:tcW w:w="6552" w:type="dxa"/>
            <w:tcBorders>
              <w:top w:val="single" w:sz="6" w:space="0" w:color="000000"/>
              <w:left w:val="single" w:sz="6" w:space="0" w:color="000000"/>
              <w:bottom w:val="single" w:sz="6" w:space="0" w:color="000000"/>
              <w:right w:val="single" w:sz="6" w:space="0" w:color="000000"/>
            </w:tcBorders>
          </w:tcPr>
          <w:p w14:paraId="2E4694FD" w14:textId="77777777" w:rsidR="00F012AC" w:rsidRDefault="00DD296D">
            <w:pPr>
              <w:pStyle w:val="normal1"/>
            </w:pPr>
            <w:r>
              <w:t>2025.073.67342</w:t>
            </w:r>
          </w:p>
        </w:tc>
      </w:tr>
      <w:tr w:rsidR="00F012AC" w14:paraId="53728EE7" w14:textId="77777777">
        <w:tc>
          <w:tcPr>
            <w:tcW w:w="2808" w:type="dxa"/>
            <w:tcBorders>
              <w:top w:val="single" w:sz="6" w:space="0" w:color="000000"/>
              <w:left w:val="single" w:sz="6" w:space="0" w:color="000000"/>
              <w:bottom w:val="single" w:sz="6" w:space="0" w:color="000000"/>
              <w:right w:val="single" w:sz="6" w:space="0" w:color="000000"/>
            </w:tcBorders>
          </w:tcPr>
          <w:p w14:paraId="6209C49E" w14:textId="77777777" w:rsidR="00F012AC" w:rsidRDefault="00DD296D">
            <w:pPr>
              <w:pStyle w:val="normal1"/>
              <w:rPr>
                <w:b/>
                <w:bCs/>
              </w:rPr>
            </w:pPr>
            <w:r>
              <w:rPr>
                <w:b/>
                <w:bCs/>
              </w:rPr>
              <w:t>Título do Subprojeto</w:t>
            </w:r>
          </w:p>
        </w:tc>
        <w:tc>
          <w:tcPr>
            <w:tcW w:w="6552" w:type="dxa"/>
            <w:tcBorders>
              <w:top w:val="single" w:sz="6" w:space="0" w:color="000000"/>
              <w:left w:val="single" w:sz="6" w:space="0" w:color="000000"/>
              <w:bottom w:val="single" w:sz="6" w:space="0" w:color="000000"/>
              <w:right w:val="single" w:sz="6" w:space="0" w:color="000000"/>
            </w:tcBorders>
          </w:tcPr>
          <w:p w14:paraId="2BC8DA7C" w14:textId="77777777" w:rsidR="00F012AC" w:rsidRDefault="00DD296D">
            <w:pPr>
              <w:pStyle w:val="normal1"/>
            </w:pPr>
            <w:r>
              <w:t>Investigando os aspectos mais relevantes para previsão de explosões solares</w:t>
            </w:r>
          </w:p>
        </w:tc>
      </w:tr>
      <w:tr w:rsidR="00F012AC" w14:paraId="2CA98772" w14:textId="77777777">
        <w:tc>
          <w:tcPr>
            <w:tcW w:w="2808" w:type="dxa"/>
            <w:tcBorders>
              <w:top w:val="single" w:sz="6" w:space="0" w:color="000000"/>
              <w:left w:val="single" w:sz="6" w:space="0" w:color="000000"/>
              <w:bottom w:val="single" w:sz="6" w:space="0" w:color="000000"/>
              <w:right w:val="single" w:sz="6" w:space="0" w:color="000000"/>
            </w:tcBorders>
          </w:tcPr>
          <w:p w14:paraId="6CE1152C" w14:textId="77777777" w:rsidR="00F012AC" w:rsidRDefault="00DD296D">
            <w:pPr>
              <w:pStyle w:val="normal1"/>
              <w:rPr>
                <w:b/>
                <w:bCs/>
              </w:rPr>
            </w:pPr>
            <w:r>
              <w:rPr>
                <w:b/>
                <w:bCs/>
              </w:rPr>
              <w:t>Nome do Bolsista</w:t>
            </w:r>
          </w:p>
        </w:tc>
        <w:tc>
          <w:tcPr>
            <w:tcW w:w="6552" w:type="dxa"/>
            <w:tcBorders>
              <w:top w:val="single" w:sz="6" w:space="0" w:color="000000"/>
              <w:left w:val="single" w:sz="6" w:space="0" w:color="000000"/>
              <w:bottom w:val="single" w:sz="6" w:space="0" w:color="000000"/>
              <w:right w:val="single" w:sz="6" w:space="0" w:color="000000"/>
            </w:tcBorders>
          </w:tcPr>
          <w:p w14:paraId="11F63059" w14:textId="77777777" w:rsidR="00F012AC" w:rsidRDefault="00DD296D">
            <w:pPr>
              <w:pStyle w:val="normal1"/>
            </w:pPr>
            <w:r>
              <w:t>Eduardo Oliveira Ferraz de Campos</w:t>
            </w:r>
          </w:p>
        </w:tc>
      </w:tr>
      <w:tr w:rsidR="00F012AC" w14:paraId="0E8459A0" w14:textId="77777777">
        <w:tc>
          <w:tcPr>
            <w:tcW w:w="2808" w:type="dxa"/>
            <w:tcBorders>
              <w:top w:val="single" w:sz="6" w:space="0" w:color="000000"/>
              <w:left w:val="single" w:sz="6" w:space="0" w:color="000000"/>
              <w:bottom w:val="single" w:sz="6" w:space="0" w:color="000000"/>
              <w:right w:val="single" w:sz="6" w:space="0" w:color="000000"/>
            </w:tcBorders>
          </w:tcPr>
          <w:p w14:paraId="7EBDF455" w14:textId="77777777" w:rsidR="00F012AC" w:rsidRDefault="00DD296D">
            <w:pPr>
              <w:pStyle w:val="normal1"/>
              <w:rPr>
                <w:b/>
                <w:bCs/>
              </w:rPr>
            </w:pPr>
            <w:r>
              <w:rPr>
                <w:b/>
                <w:bCs/>
              </w:rPr>
              <w:t>Nome do Orientador</w:t>
            </w:r>
          </w:p>
        </w:tc>
        <w:tc>
          <w:tcPr>
            <w:tcW w:w="6552" w:type="dxa"/>
            <w:tcBorders>
              <w:top w:val="single" w:sz="6" w:space="0" w:color="000000"/>
              <w:left w:val="single" w:sz="6" w:space="0" w:color="000000"/>
              <w:bottom w:val="single" w:sz="6" w:space="0" w:color="000000"/>
              <w:right w:val="single" w:sz="6" w:space="0" w:color="000000"/>
            </w:tcBorders>
          </w:tcPr>
          <w:p w14:paraId="58534B80" w14:textId="77777777" w:rsidR="00F012AC" w:rsidRDefault="00DD296D">
            <w:pPr>
              <w:pStyle w:val="normal1"/>
            </w:pPr>
            <w:r>
              <w:t>Sérgio Luisir Discola Junior</w:t>
            </w:r>
          </w:p>
        </w:tc>
      </w:tr>
      <w:tr w:rsidR="00F012AC" w14:paraId="7BF009C5" w14:textId="77777777">
        <w:tc>
          <w:tcPr>
            <w:tcW w:w="2808" w:type="dxa"/>
            <w:tcBorders>
              <w:top w:val="single" w:sz="6" w:space="0" w:color="000000"/>
              <w:left w:val="single" w:sz="6" w:space="0" w:color="000000"/>
              <w:bottom w:val="single" w:sz="6" w:space="0" w:color="000000"/>
              <w:right w:val="single" w:sz="6" w:space="0" w:color="000000"/>
            </w:tcBorders>
          </w:tcPr>
          <w:p w14:paraId="066F06BA" w14:textId="77777777" w:rsidR="00F012AC" w:rsidRDefault="00DD296D">
            <w:pPr>
              <w:pStyle w:val="normal1"/>
              <w:rPr>
                <w:b/>
                <w:bCs/>
              </w:rPr>
            </w:pPr>
            <w:r>
              <w:rPr>
                <w:b/>
                <w:bCs/>
              </w:rPr>
              <w:t>Campus</w:t>
            </w:r>
          </w:p>
        </w:tc>
        <w:tc>
          <w:tcPr>
            <w:tcW w:w="6552" w:type="dxa"/>
            <w:tcBorders>
              <w:top w:val="single" w:sz="6" w:space="0" w:color="000000"/>
              <w:left w:val="single" w:sz="6" w:space="0" w:color="000000"/>
              <w:bottom w:val="single" w:sz="6" w:space="0" w:color="000000"/>
              <w:right w:val="single" w:sz="6" w:space="0" w:color="000000"/>
            </w:tcBorders>
          </w:tcPr>
          <w:p w14:paraId="6C61B880" w14:textId="77777777" w:rsidR="00F012AC" w:rsidRDefault="00DD296D">
            <w:pPr>
              <w:pStyle w:val="normal1"/>
            </w:pPr>
            <w:r>
              <w:t>São Carlos</w:t>
            </w:r>
          </w:p>
        </w:tc>
      </w:tr>
    </w:tbl>
    <w:p w14:paraId="42B3D3C3" w14:textId="77777777" w:rsidR="00F012AC" w:rsidRDefault="00F012AC">
      <w:pPr>
        <w:pStyle w:val="normal1"/>
        <w:spacing w:after="225"/>
      </w:pPr>
    </w:p>
    <w:p w14:paraId="07CFA9CC" w14:textId="77777777" w:rsidR="00F012AC" w:rsidRDefault="00DD296D">
      <w:pPr>
        <w:pStyle w:val="Heading2"/>
      </w:pPr>
      <w:r>
        <w:t>RESUMO</w:t>
      </w:r>
    </w:p>
    <w:p w14:paraId="44B1B54D" w14:textId="77777777" w:rsidR="00F012AC" w:rsidRDefault="00DD296D">
      <w:pPr>
        <w:pStyle w:val="normal1"/>
        <w:jc w:val="both"/>
      </w:pPr>
      <w:r>
        <w:t>A previsão de explosões solares (</w:t>
      </w:r>
      <w:r>
        <w:rPr>
          <w:i/>
          <w:iCs/>
        </w:rPr>
        <w:t>solar flares</w:t>
      </w:r>
      <w:r>
        <w:t xml:space="preserve">) é essencial para a mitigação de riscos associados ao clima espacial, que impactam diretamente infraestruturas tecnológicas críticas na Terra e no espaço. O presente projeto de pesquisa teve como objetivo principal investigar os atributos físicos mais relevantes para a previsão de explosões solares, comparando o desempenho preditivo de dados baseados em intensidade de raios-X com parâmetros de magnetogramas. Para lidar com a alta dimensionalidade e o alto desbalanceamento de classes inerentes aos dados astrofísicos, foi concebida e desenvolvida a arquitetura </w:t>
      </w:r>
      <w:r>
        <w:rPr>
          <w:i/>
          <w:iCs/>
        </w:rPr>
        <w:t>Solarfall</w:t>
      </w:r>
      <w:r>
        <w:t>, estruturada em uma cascata hierárquica de quatro classificadores especialistas focados na separação gradual de sinal e ruído utilizando o algoritmo XGBoost. A metodologia inicialmente propôs a integração das predições de ambas as frentes de dados através de um árbitro final (</w:t>
      </w:r>
      <w:r>
        <w:rPr>
          <w:i/>
          <w:iCs/>
        </w:rPr>
        <w:t>Meta Model</w:t>
      </w:r>
      <w:r>
        <w:t xml:space="preserve">). Os resultados demonstraram que a filtragem em múltiplos estágios foi altamente eficaz na redução do ruído sistêmico. Contudo, a avaliação sobre o conjunto de testes (Ciclo Solar 25) refutou a hipótese de superioridade do modelo integrador: a união dos domínios gerou um "Efeito Âncora", no qual o fluxo global de raios-X atuou como uma variável de confusão, degradando a precisão do sistema. O desfecho da pesquisa evidenciou que a modelagem fundamentada estritamente nos magnetogramas regionais alcançou uma superioridade analítica plausível (PR-AUC de 0.462). Conclui-se que as pré-condições físicas locais de uma região ativa, quantificadas por parâmetros topológicos precisos como densidade de corrente e energia livre magnética, constituem os indicadores mais robustos e relevantes para o </w:t>
      </w:r>
      <w:r>
        <w:rPr>
          <w:i/>
          <w:iCs/>
        </w:rPr>
        <w:t>forecasting</w:t>
      </w:r>
      <w:r>
        <w:t xml:space="preserve"> autêntico do clima espacial, superando abordagens radiativas generalistas.</w:t>
      </w:r>
    </w:p>
    <w:p w14:paraId="70851BAB" w14:textId="77777777" w:rsidR="00F012AC" w:rsidRDefault="00F012AC">
      <w:pPr>
        <w:pStyle w:val="normal1"/>
        <w:spacing w:after="225"/>
      </w:pPr>
    </w:p>
    <w:p w14:paraId="3D836103" w14:textId="77777777" w:rsidR="00F012AC" w:rsidRDefault="00DD296D">
      <w:pPr>
        <w:pStyle w:val="Heading2"/>
      </w:pPr>
      <w:r>
        <w:t>1. INTRODUÇÃO</w:t>
      </w:r>
    </w:p>
    <w:p w14:paraId="742D8D86" w14:textId="77777777" w:rsidR="00F012AC" w:rsidRDefault="00DD296D">
      <w:pPr>
        <w:pStyle w:val="normal1"/>
        <w:jc w:val="both"/>
      </w:pPr>
      <w:r>
        <w:t>As explosões solares (</w:t>
      </w:r>
      <w:r>
        <w:rPr>
          <w:i/>
          <w:iCs/>
        </w:rPr>
        <w:t>solar flares</w:t>
      </w:r>
      <w:r>
        <w:t xml:space="preserve">) constituem liberações súbitas, massivas e intensas de energia magnética acumulada na atmosfera do Sol. Esses fenômenos astrofísicos propagam radiação eletromagnética e fluxos de partículas altamente energéticas através do meio heliosférico, capazes de atingir o ambiente geoespacial da Terra em diferentes escalas de intensidade, categorizadas pelas classes GOES como A, B, C, M e X. No panorama socioeconômico e tecnológico contemporâneo, a ocorrência de eventos severos de clima espacial impacta </w:t>
      </w:r>
      <w:r>
        <w:lastRenderedPageBreak/>
        <w:t>diretamente infraestruturas humanas críticas, afetando o funcionamento regular de satélites artificiais, a segurança de missões espaciais tripuladas, as redes de distribuição de energia elétrica na superfície e os sistemas globais de navegação e comunicação. Portanto, a previsão dessas erupções consolida-se como um elemento vital de segurança tecnológica para a sociedade.</w:t>
      </w:r>
    </w:p>
    <w:p w14:paraId="129B3AEE" w14:textId="77777777" w:rsidR="00F012AC" w:rsidRDefault="00DD296D">
      <w:pPr>
        <w:pStyle w:val="normal1"/>
        <w:jc w:val="both"/>
      </w:pPr>
      <w:r>
        <w:t xml:space="preserve">A motivação primordial para o desenvolvimento desta pesquisa fundamenta-se nas lacunas metodológicas e científicas persistentes na previsão operacional do clima espacial. Conforme discutido por Discola Junior (2019), ainda não se encontram bem estabelecidos na literatura científica quais parâmetros físicos funcionam como indicadores universais de explosões solares, bem como seus respectivos níveis de relevância estatística, o que impõe barreiras ao avanço dos modelos preditivos. Adicionalmente, as investigações de Sina </w:t>
      </w:r>
      <w:r>
        <w:rPr>
          <w:i/>
          <w:iCs/>
        </w:rPr>
        <w:t>et al.</w:t>
      </w:r>
      <w:r>
        <w:t xml:space="preserve"> (2023) demonstram empiricamente que não existe uma solução algorítmica universal para previsões aplicadas a séries temporais complexas, exigindo que as estratégias metodológicas se adaptem caso a caso, em conformidade com as nuances e a natureza dos dados analisados. A ideia deste projeto nasceu da necessidade de confrontar tais limitações por meio do cruzamento sistemático e concomitante de duas frentes complementares da física solar: a análise macroscópica baseada na inércia histórica e os preditores topológicos derivados de distorções magnéticas locais.</w:t>
      </w:r>
    </w:p>
    <w:p w14:paraId="683069A4" w14:textId="77777777" w:rsidR="00F012AC" w:rsidRDefault="00DD296D">
      <w:pPr>
        <w:pStyle w:val="normal1"/>
        <w:jc w:val="both"/>
      </w:pPr>
      <w:r>
        <w:rPr>
          <w:rFonts w:ascii="Arial Unicode MS" w:eastAsia="Arial Unicode MS" w:hAnsi="Arial Unicode MS" w:cs="Arial Unicode MS"/>
        </w:rPr>
        <w:t xml:space="preserve">"Na literatura de modelagem preditiva de clima espacial, o estado da arte divide-se fundamentalmente em duas perspectivas analíticas para antecipar o comportamento do Sol. A primeira frente fundamenta-se na lógica de "Efeito Passado → Efeito Futuro", utilizando a inércia radiativa global — isto é, a observação temporal contínua do fluxo de raios-X — para projetar estatisticamente a probabilidade de novas deflagrações (Discola Junior, 2019; Yang, 2025). Em contraste, a segunda abordagem adota o princípio de "Causa → Efeito", balizando-se na física magnética observada através de </w:t>
      </w:r>
      <w:r>
        <w:t>magnetogramas regionais. Sob esta ótica, assume-se que as pré-condições físicas locais, como o acúmulo de energia livre (Bringewald &amp; Parisot, 2025; Florios et al., 2018; Liu et al., 2019) e as distorções micro-observáveis na topologia de uma região ativa (Williams et al., 2025) (a causa), operam como indicadores precedentes e autênticos das erupções (o efeito). A presente pesquisa investiga a eficácia estrutural de ambas as vertentes, avaliando de forma exaustiva a precisão isolada de cada domínio metodológico, bem como a viabilidade algorítmica de sua integração (Liu et al., 2019; Yang, 2025)."</w:t>
      </w:r>
    </w:p>
    <w:p w14:paraId="2451A6BA" w14:textId="77777777" w:rsidR="00F012AC" w:rsidRDefault="00DD296D">
      <w:pPr>
        <w:pStyle w:val="normal1"/>
        <w:jc w:val="both"/>
      </w:pPr>
      <w:r>
        <w:t xml:space="preserve">Os elementos centrais envolvidos neste estudo compreendem extensas matrizes de dados radiativos históricos extraídos do National Centers for Environmental Information (NCEI/NOAA), além de metadados magnéticos de regiões ativas extraídos do Joint Science Operations Center (JSOC/Stanford) a partir de observações do satélite Solar Dynamics Observatory (SDO). No âmbito computacional, o estudo mobiliza algoritmos avançados de aprendizado de máquina, com ênfase no motor analítico </w:t>
      </w:r>
      <w:r>
        <w:rPr>
          <w:i/>
          <w:iCs/>
        </w:rPr>
        <w:t>Extreme Gradient Boosting</w:t>
      </w:r>
      <w:r>
        <w:t xml:space="preserve"> (XGBoost) e em frameworks de otimização heurística, estruturados de forma combinada. A presente pesquisa enquadra-se no contexto mais amplo da ciência ao interconectar a astrofísica computacional à inteligência artificial aplicada, contribuindo para a consolidação de pipelines operacionais de </w:t>
      </w:r>
      <w:r>
        <w:rPr>
          <w:i/>
          <w:iCs/>
        </w:rPr>
        <w:t>Space Weather</w:t>
      </w:r>
      <w:r>
        <w:t>, os quais demandam o manuseio de dados massivos altamente desbalanceados do mundo real. A justificativa científica apoia-se no desenvolvimento de uma taxonomia preditiva robusta e pública, disponibilizando de forma aberta o código e as ferramentas arquitetadas para fomentar o crescimento científico comunitário.</w:t>
      </w:r>
    </w:p>
    <w:p w14:paraId="6B75E17E" w14:textId="77777777" w:rsidR="00F012AC" w:rsidRDefault="00DD296D">
      <w:pPr>
        <w:pStyle w:val="normal1"/>
        <w:jc w:val="both"/>
      </w:pPr>
      <w:r>
        <w:t xml:space="preserve">O objetivo geral consiste em </w:t>
      </w:r>
      <w:r>
        <w:rPr>
          <w:b/>
          <w:bCs/>
        </w:rPr>
        <w:t>aplicar</w:t>
      </w:r>
      <w:r>
        <w:t xml:space="preserve"> séries temporais de dados solares em métodos de classificação de séries temporais a fim de </w:t>
      </w:r>
      <w:r>
        <w:rPr>
          <w:b/>
          <w:bCs/>
        </w:rPr>
        <w:t>investigar</w:t>
      </w:r>
      <w:r>
        <w:t xml:space="preserve"> e </w:t>
      </w:r>
      <w:r>
        <w:rPr>
          <w:b/>
          <w:bCs/>
        </w:rPr>
        <w:t>discutir</w:t>
      </w:r>
      <w:r>
        <w:t xml:space="preserve"> os seus resultados individualmente e combinados na previsão de explosões solares, buscando estabelecer os aspectos mais relevantes para mitigar os riscos associados ao clima espacial.</w:t>
      </w:r>
    </w:p>
    <w:p w14:paraId="24589A42" w14:textId="77777777" w:rsidR="00F012AC" w:rsidRDefault="00DD296D">
      <w:pPr>
        <w:pStyle w:val="normal1"/>
        <w:jc w:val="both"/>
      </w:pPr>
      <w:r>
        <w:t>Para o cumprimento do escopo geral, fixam-se os seguintes objetivos específicos:</w:t>
      </w:r>
    </w:p>
    <w:p w14:paraId="762296A3" w14:textId="77777777" w:rsidR="00F012AC" w:rsidRDefault="00DD296D">
      <w:pPr>
        <w:pStyle w:val="normal1"/>
        <w:numPr>
          <w:ilvl w:val="0"/>
          <w:numId w:val="1"/>
        </w:numPr>
        <w:jc w:val="both"/>
      </w:pPr>
      <w:r>
        <w:rPr>
          <w:b/>
          <w:bCs/>
        </w:rPr>
        <w:t>Identificar</w:t>
      </w:r>
      <w:r>
        <w:t xml:space="preserve"> e obter as diversas fontes de dados operacionais e científicos relacionados ao Sol, contemplando índices globais de raios-X e vetores de magnetogramas tridimensionais provenientes da fotosfera solar.</w:t>
      </w:r>
    </w:p>
    <w:p w14:paraId="27F9E20E" w14:textId="77777777" w:rsidR="00F012AC" w:rsidRDefault="00DD296D">
      <w:pPr>
        <w:pStyle w:val="normal1"/>
        <w:numPr>
          <w:ilvl w:val="0"/>
          <w:numId w:val="1"/>
        </w:numPr>
        <w:jc w:val="both"/>
      </w:pPr>
      <w:r>
        <w:rPr>
          <w:b/>
          <w:bCs/>
        </w:rPr>
        <w:lastRenderedPageBreak/>
        <w:t>Elaborar</w:t>
      </w:r>
      <w:r>
        <w:t xml:space="preserve"> a transformação e o alinhamento dos dados brutos obtidos em séries temporais estruturadas e consistentes através do emprego de algoritmos de janelas deslizantes e reamostragem cronológica.</w:t>
      </w:r>
    </w:p>
    <w:p w14:paraId="3861E9DC" w14:textId="77777777" w:rsidR="00F012AC" w:rsidRDefault="00DD296D">
      <w:pPr>
        <w:pStyle w:val="normal1"/>
        <w:numPr>
          <w:ilvl w:val="0"/>
          <w:numId w:val="1"/>
        </w:numPr>
        <w:jc w:val="both"/>
      </w:pPr>
      <w:r>
        <w:rPr>
          <w:b/>
          <w:bCs/>
        </w:rPr>
        <w:t>Construir</w:t>
      </w:r>
      <w:r>
        <w:t xml:space="preserve"> e calibrar métodos específicos de classificação de séries temporais e dados estruturados sobre as matrizes de características resultantes.</w:t>
      </w:r>
    </w:p>
    <w:p w14:paraId="1F556E4C" w14:textId="77777777" w:rsidR="00F012AC" w:rsidRDefault="00DD296D">
      <w:pPr>
        <w:pStyle w:val="normal1"/>
        <w:numPr>
          <w:ilvl w:val="0"/>
          <w:numId w:val="1"/>
        </w:numPr>
        <w:jc w:val="both"/>
      </w:pPr>
      <w:r>
        <w:rPr>
          <w:b/>
          <w:bCs/>
        </w:rPr>
        <w:t>Verificar</w:t>
      </w:r>
      <w:r>
        <w:t xml:space="preserve"> e </w:t>
      </w:r>
      <w:r>
        <w:rPr>
          <w:b/>
          <w:bCs/>
        </w:rPr>
        <w:t>comparar</w:t>
      </w:r>
      <w:r>
        <w:t xml:space="preserve"> de forma rigorosa os resultados das previsões obtidas pela aplicação das diversas séries temporais das fontes de dados utilizadas, avaliando suas performances de forma individual e combinada.</w:t>
      </w:r>
    </w:p>
    <w:p w14:paraId="2B751721" w14:textId="77777777" w:rsidR="00F012AC" w:rsidRDefault="00DD296D">
      <w:pPr>
        <w:pStyle w:val="normal1"/>
        <w:numPr>
          <w:ilvl w:val="0"/>
          <w:numId w:val="1"/>
        </w:numPr>
        <w:jc w:val="both"/>
      </w:pPr>
      <w:r>
        <w:rPr>
          <w:b/>
          <w:bCs/>
        </w:rPr>
        <w:t>Formular</w:t>
      </w:r>
      <w:r>
        <w:t xml:space="preserve"> e propor a arquitetura hierárquica original em cascata </w:t>
      </w:r>
      <w:r>
        <w:rPr>
          <w:i/>
          <w:iCs/>
        </w:rPr>
        <w:t>Solarfall</w:t>
      </w:r>
      <w:r>
        <w:t xml:space="preserve"> Discutindo as vantagens que ela pode trazer a precisão e a confiabilidade dos alertas de clima espacial.</w:t>
      </w:r>
    </w:p>
    <w:p w14:paraId="46050556" w14:textId="77777777" w:rsidR="00F012AC" w:rsidRDefault="00DD296D">
      <w:pPr>
        <w:pStyle w:val="normal1"/>
        <w:jc w:val="both"/>
      </w:pPr>
      <w:r>
        <w:t>A hipótese central a ser testada nesta pesquisa estabelece que a fragmentação do problema preditivo de explosões solares em um funil hierárquico composto por múltiplos classificadores binários especializados (estratégia em cascata), combinada à atuação de um meta-modelo árbitro contextual, é capaz de superar o severo desbalanceamento de classes e mitigar a propagação de erros sistêmicos de forma mais eficaz do que o uso de modelos generalistas convencionais. Este estudo procura responder a perguntas específicas sobre a relevância de cada domínio de dados e é direcionado para a comunidade científica, agências de monitoramento aeroespacial e operadores de sistemas de telecomunicações, sendo conduzido sob o amparo institucional do IFSP.</w:t>
      </w:r>
    </w:p>
    <w:p w14:paraId="49AA7E7F" w14:textId="77777777" w:rsidR="00F012AC" w:rsidRDefault="00DD296D">
      <w:pPr>
        <w:pStyle w:val="normal1"/>
        <w:jc w:val="both"/>
      </w:pPr>
      <w:r>
        <w:t>O plano para o desenvolvimento e a execução desta pesquisa foi estruturado em sete passos sequenciais bem definidos: (1) a raspagem automatizada de dados (</w:t>
      </w:r>
      <w:r>
        <w:rPr>
          <w:i/>
          <w:iCs/>
        </w:rPr>
        <w:t>data scrape</w:t>
      </w:r>
      <w:r>
        <w:t>) das plataformas NOAA e JSOC; (2) o tratamento de dados (</w:t>
      </w:r>
      <w:r>
        <w:rPr>
          <w:i/>
          <w:iCs/>
        </w:rPr>
        <w:t>data treatment</w:t>
      </w:r>
      <w:r>
        <w:t>) para remoção de ruídos e unificação temporal; (3) a engenharia de recursos (</w:t>
      </w:r>
      <w:r>
        <w:rPr>
          <w:i/>
          <w:iCs/>
        </w:rPr>
        <w:t>feature engineering</w:t>
      </w:r>
      <w:r>
        <w:t>) para geração de atributos estatísticos e dinâmicos; (4) o treinamento e calibração dos modelos especialistas da família baseada em fluxo de raios-X (</w:t>
      </w:r>
      <w:r>
        <w:rPr>
          <w:i/>
          <w:iCs/>
        </w:rPr>
        <w:t>X-Ray Family</w:t>
      </w:r>
      <w:r>
        <w:t>); (5) o treinamento dos especialistas da família baseada em magnetogramas regionais (</w:t>
      </w:r>
      <w:r>
        <w:rPr>
          <w:i/>
          <w:iCs/>
        </w:rPr>
        <w:t>Mag Regional Family</w:t>
      </w:r>
      <w:r>
        <w:t>); (6) a implementação e validação do metamodelo de arbitragem (</w:t>
      </w:r>
      <w:r>
        <w:rPr>
          <w:i/>
          <w:iCs/>
        </w:rPr>
        <w:t>Metamodel</w:t>
      </w:r>
      <w:r>
        <w:t>); e, por fim, (7) a análise comparativa aprofundada de resultados e métricas frente aos comportamentos observados no Ciclo Solar 25.</w:t>
      </w:r>
    </w:p>
    <w:p w14:paraId="2CC3A834" w14:textId="77777777" w:rsidR="00F012AC" w:rsidRDefault="00F012AC">
      <w:pPr>
        <w:pStyle w:val="normal1"/>
        <w:spacing w:after="225"/>
        <w:jc w:val="both"/>
      </w:pPr>
    </w:p>
    <w:p w14:paraId="6918931A" w14:textId="77777777" w:rsidR="00F012AC" w:rsidRDefault="00DD296D">
      <w:pPr>
        <w:pStyle w:val="Heading2"/>
        <w:spacing w:after="240"/>
      </w:pPr>
      <w:r>
        <w:t>2. DESENVOLVIMENTO</w:t>
      </w:r>
    </w:p>
    <w:p w14:paraId="6ED03FD5" w14:textId="77777777" w:rsidR="00F012AC" w:rsidRDefault="00DD296D">
      <w:pPr>
        <w:pStyle w:val="Heading3"/>
        <w:spacing w:before="0"/>
      </w:pPr>
      <w:r>
        <w:t>2.1 Aquisição e Pré-processamento de Dados</w:t>
      </w:r>
    </w:p>
    <w:p w14:paraId="462DC417" w14:textId="77777777" w:rsidR="00F012AC" w:rsidRDefault="00DD296D">
      <w:pPr>
        <w:pStyle w:val="normal1"/>
        <w:jc w:val="both"/>
      </w:pPr>
      <w:r>
        <w:t>A base de dados construída para esta pesquisa abrange o período de janeiro de 2010 a dezembro de 2024. A etapa de aquisição (</w:t>
      </w:r>
      <w:r>
        <w:rPr>
          <w:i/>
          <w:iCs/>
        </w:rPr>
        <w:t>data scraping</w:t>
      </w:r>
      <w:r>
        <w:t>) foi estruturada em duas frentes independentes para capturar a dinâmica do clima espacial: a coleta de séries temporais de raios-X em escala global e a extração de parâmetros magnéticos regionais da fotosfera solar.</w:t>
      </w:r>
    </w:p>
    <w:p w14:paraId="64C88DFB" w14:textId="77777777" w:rsidR="00F012AC" w:rsidRDefault="00F012AC">
      <w:pPr>
        <w:pStyle w:val="normal1"/>
        <w:jc w:val="both"/>
      </w:pPr>
    </w:p>
    <w:p w14:paraId="7CFBB809" w14:textId="77777777" w:rsidR="00F012AC" w:rsidRDefault="00DD296D">
      <w:pPr>
        <w:pStyle w:val="normal1"/>
        <w:jc w:val="both"/>
        <w:rPr>
          <w:b/>
          <w:bCs/>
        </w:rPr>
      </w:pPr>
      <w:r>
        <w:rPr>
          <w:b/>
          <w:bCs/>
        </w:rPr>
        <w:t>Séries Temporais de Raios-X e Catálogos de Eventos (GOES/NOAA)</w:t>
      </w:r>
    </w:p>
    <w:p w14:paraId="5FD03A03" w14:textId="77777777" w:rsidR="00F012AC" w:rsidRDefault="00F012AC">
      <w:pPr>
        <w:pStyle w:val="normal1"/>
        <w:jc w:val="both"/>
        <w:rPr>
          <w:b/>
          <w:bCs/>
        </w:rPr>
      </w:pPr>
    </w:p>
    <w:p w14:paraId="524E71F6" w14:textId="77777777" w:rsidR="00F012AC" w:rsidRDefault="00DD296D">
      <w:pPr>
        <w:pStyle w:val="normal1"/>
        <w:jc w:val="both"/>
      </w:pPr>
      <w:r>
        <w:t xml:space="preserve">Os dados referentes ao fluxo global de raios-X foram extraídos do </w:t>
      </w:r>
      <w:r>
        <w:rPr>
          <w:i/>
          <w:iCs/>
        </w:rPr>
        <w:t>National Centers for Environmental Information</w:t>
      </w:r>
      <w:r>
        <w:t xml:space="preserve"> (NCEI), mantido pela </w:t>
      </w:r>
      <w:r>
        <w:rPr>
          <w:i/>
          <w:iCs/>
        </w:rPr>
        <w:t>National Oceanic and Atmospheric Administration</w:t>
      </w:r>
      <w:r>
        <w:t xml:space="preserve"> (NOAA). Foram coletadas as medições do sensor XRS a bordo dos satélites da série GOES (</w:t>
      </w:r>
      <w:r>
        <w:rPr>
          <w:i/>
          <w:iCs/>
        </w:rPr>
        <w:t>Geostationary Operational Environmental Satellite</w:t>
      </w:r>
      <w:r>
        <w:t>), especificamente as médias de fluxo de um minuto (</w:t>
      </w:r>
      <w:r>
        <w:rPr>
          <w:i/>
          <w:iCs/>
        </w:rPr>
        <w:t>1-minute averages</w:t>
      </w:r>
      <w:r>
        <w:t>).</w:t>
      </w:r>
    </w:p>
    <w:p w14:paraId="2676C149" w14:textId="77777777" w:rsidR="00F012AC" w:rsidRDefault="00DD296D">
      <w:pPr>
        <w:pStyle w:val="normal1"/>
        <w:jc w:val="both"/>
      </w:pPr>
      <w:r>
        <w:t xml:space="preserve">Para assegurar a integridade e a continuidade da série histórica de 14 anos, implementou-se uma lógica de alternância estrita entre os satélites GOES-13, GOES-14 e GOES-15. Essa transição respeitou rigorosamente as janelas temporais em que cada instrumento foi classificado com o status operacional de </w:t>
      </w:r>
      <w:r>
        <w:rPr>
          <w:i/>
          <w:iCs/>
        </w:rPr>
        <w:t>Science-Quality</w:t>
      </w:r>
      <w:r>
        <w:t xml:space="preserve">, conforme estabelecido pela cronologia da Tabela </w:t>
      </w:r>
      <w:r>
        <w:lastRenderedPageBreak/>
        <w:t xml:space="preserve">3 de Hu </w:t>
      </w:r>
      <w:r>
        <w:rPr>
          <w:i/>
          <w:iCs/>
        </w:rPr>
        <w:t>et al.</w:t>
      </w:r>
      <w:r>
        <w:t xml:space="preserve"> (2026, p. 11). A partir de 7 de fevereiro de 2017, a captura foi fixada no satélite GOES-16, que assumiu a posição de fonte primária, decisão motivada por suas capacidades aprimoradas que incluem o registro de coordenadas espaciais exatas das explosões.</w:t>
      </w:r>
    </w:p>
    <w:p w14:paraId="34E1DBF8" w14:textId="77777777" w:rsidR="00F012AC" w:rsidRDefault="00F012AC">
      <w:pPr>
        <w:pStyle w:val="normal1"/>
        <w:jc w:val="both"/>
      </w:pPr>
    </w:p>
    <w:p w14:paraId="57C099C0" w14:textId="77777777" w:rsidR="00F012AC" w:rsidRDefault="00DD296D">
      <w:pPr>
        <w:pStyle w:val="normal1"/>
        <w:jc w:val="both"/>
      </w:pPr>
      <w:r>
        <w:t>De forma concomitante e a fim de estabelecer os rótulos preditivos do modelo (</w:t>
      </w:r>
      <w:r>
        <w:rPr>
          <w:i/>
          <w:iCs/>
        </w:rPr>
        <w:t>targets</w:t>
      </w:r>
      <w:r>
        <w:t xml:space="preserve">), desenvolveu-se um algoritmo automatizado empregando o protocolo FTP e o </w:t>
      </w:r>
      <w:r>
        <w:rPr>
          <w:i/>
          <w:iCs/>
        </w:rPr>
        <w:t>framework</w:t>
      </w:r>
      <w:r>
        <w:t xml:space="preserve"> Selenium para a varredura e extração de catálogos oficiais de explosões solares. Esta etapa extraiu relatórios diários de regiões ativas (SRS - </w:t>
      </w:r>
      <w:r>
        <w:rPr>
          <w:i/>
          <w:iCs/>
        </w:rPr>
        <w:t>Solar Region Summary</w:t>
      </w:r>
      <w:r>
        <w:t xml:space="preserve">) e sumarização de eventos operacionais originados do </w:t>
      </w:r>
      <w:r>
        <w:rPr>
          <w:i/>
          <w:iCs/>
        </w:rPr>
        <w:t>Space Weather Prediction Center</w:t>
      </w:r>
      <w:r>
        <w:t xml:space="preserve"> (SWPC) e do acervo </w:t>
      </w:r>
      <w:r>
        <w:rPr>
          <w:i/>
          <w:iCs/>
        </w:rPr>
        <w:t>SolarSoft</w:t>
      </w:r>
      <w:r>
        <w:t xml:space="preserve"> (SSW). Adicionalmente, dados de localização e coordenadas espaciais das explosões (FLLOC e FLSUM) foram agregados à base de metadados para garantir o pareamento correto entre os eventos de raios-X globais e as regiões ativas específicas do disco solar.</w:t>
      </w:r>
    </w:p>
    <w:p w14:paraId="12D740BB" w14:textId="77777777" w:rsidR="00F012AC" w:rsidRDefault="00F012AC">
      <w:pPr>
        <w:pStyle w:val="normal1"/>
        <w:jc w:val="both"/>
      </w:pPr>
    </w:p>
    <w:p w14:paraId="66DB0193" w14:textId="77777777" w:rsidR="00F012AC" w:rsidRDefault="00DD296D">
      <w:pPr>
        <w:pStyle w:val="normal1"/>
        <w:jc w:val="both"/>
        <w:rPr>
          <w:b/>
          <w:bCs/>
        </w:rPr>
      </w:pPr>
      <w:r>
        <w:rPr>
          <w:b/>
          <w:bCs/>
        </w:rPr>
        <w:t>Magnetogramas Regionais (SHARP/JSOC)</w:t>
      </w:r>
    </w:p>
    <w:p w14:paraId="7AD854B7" w14:textId="77777777" w:rsidR="00F012AC" w:rsidRDefault="00F012AC">
      <w:pPr>
        <w:pStyle w:val="normal1"/>
        <w:jc w:val="both"/>
        <w:rPr>
          <w:b/>
          <w:bCs/>
        </w:rPr>
      </w:pPr>
    </w:p>
    <w:p w14:paraId="5836FB65" w14:textId="77777777" w:rsidR="00F012AC" w:rsidRDefault="00DD296D">
      <w:pPr>
        <w:pStyle w:val="normal1"/>
        <w:jc w:val="both"/>
      </w:pPr>
      <w:r>
        <w:t xml:space="preserve">As variáveis baseadas na física magnética do Sol foram obtidas do </w:t>
      </w:r>
      <w:r>
        <w:rPr>
          <w:i/>
          <w:iCs/>
        </w:rPr>
        <w:t>Joint Science Operations Center</w:t>
      </w:r>
      <w:r>
        <w:t xml:space="preserve"> (JSOC) da Universidade de Stanford. A requisição focou exclusivamente na série de dados </w:t>
      </w:r>
      <w:r>
        <w:rPr>
          <w:rFonts w:ascii="Courier" w:eastAsia="Courier" w:hAnsi="Courier" w:cs="Courier"/>
          <w:shd w:val="clear" w:color="auto" w:fill="F4F4F4"/>
        </w:rPr>
        <w:t>hmi.sharp_720s</w:t>
      </w:r>
      <w:r>
        <w:t>, derivada do instrumento HMI (</w:t>
      </w:r>
      <w:r>
        <w:rPr>
          <w:i/>
          <w:iCs/>
        </w:rPr>
        <w:t>Helioseismic and Magnetic Imager</w:t>
      </w:r>
      <w:r>
        <w:t xml:space="preserve">) do satélite </w:t>
      </w:r>
      <w:r>
        <w:rPr>
          <w:i/>
          <w:iCs/>
        </w:rPr>
        <w:t>Solar Dynamics Observatory</w:t>
      </w:r>
      <w:r>
        <w:t xml:space="preserve"> (SDO).</w:t>
      </w:r>
    </w:p>
    <w:p w14:paraId="505748E7" w14:textId="77777777" w:rsidR="00F012AC" w:rsidRDefault="00F012AC">
      <w:pPr>
        <w:pStyle w:val="normal1"/>
        <w:jc w:val="both"/>
      </w:pPr>
    </w:p>
    <w:p w14:paraId="3F949F62" w14:textId="77777777" w:rsidR="00F012AC" w:rsidRDefault="00DD296D">
      <w:pPr>
        <w:pStyle w:val="normal1"/>
        <w:jc w:val="both"/>
      </w:pPr>
      <w:r>
        <w:t>Esta série temporal fornece parâmetros SHARP (</w:t>
      </w:r>
      <w:r>
        <w:rPr>
          <w:i/>
          <w:iCs/>
        </w:rPr>
        <w:t>Space-weather HMI Active Region Patches</w:t>
      </w:r>
      <w:r>
        <w:t>) extraídos especificamente de regiões ativas isoladas, operando sob uma cadência temporal de 12 minutos (720 segundos). O algoritmo de extração consumiu a API do JSOC especificando a coleta de metadados de qualidade, limites de coordenadas espaciais e um vetor de métricas físicas que descrevem a complexidade da região magnética, tais como: fluxo magnético total (USFLUX), energia magnética livre estimada (TOTPOT) e densidade de helicidade de corrente (MEANJZH).</w:t>
      </w:r>
    </w:p>
    <w:p w14:paraId="43B347CC" w14:textId="77777777" w:rsidR="00F012AC" w:rsidRDefault="00F012AC">
      <w:pPr>
        <w:pStyle w:val="normal1"/>
        <w:jc w:val="both"/>
      </w:pPr>
    </w:p>
    <w:p w14:paraId="4FD624BD" w14:textId="77777777" w:rsidR="00F012AC" w:rsidRDefault="00DD296D">
      <w:pPr>
        <w:pStyle w:val="normal1"/>
        <w:jc w:val="both"/>
      </w:pPr>
      <w:r>
        <w:t xml:space="preserve">Dada a alta densidade dimensional dos dados HMI, a extração foi submetida a um particionamento mensal (lotes) e executada sobre uma camada de requisições HTTP resiliente, projetada com políticas de </w:t>
      </w:r>
      <w:r>
        <w:rPr>
          <w:i/>
          <w:iCs/>
        </w:rPr>
        <w:t>retry</w:t>
      </w:r>
      <w:r>
        <w:t xml:space="preserve"> exponencial. Isso mitigou falhas de conexão, bloqueios por sobrecarga de rede (limites de taxa) e instabilidades nos servidores de origem. A verificação de integridade pós-coleta assegurou que lacunas e dados ausentes oriundos de ambos os domínios (Raios-X e Magnético) fossem rigorosamente mapeados para a etapa subsequente de tratamento.</w:t>
      </w:r>
    </w:p>
    <w:p w14:paraId="654C5960" w14:textId="77777777" w:rsidR="00F012AC" w:rsidRDefault="00F012AC">
      <w:pPr>
        <w:pStyle w:val="normal1"/>
        <w:spacing w:after="240"/>
        <w:jc w:val="both"/>
      </w:pPr>
    </w:p>
    <w:p w14:paraId="3D0D953C" w14:textId="77777777" w:rsidR="00F012AC" w:rsidRDefault="00DD296D">
      <w:pPr>
        <w:pStyle w:val="Heading3"/>
        <w:jc w:val="both"/>
      </w:pPr>
      <w:r>
        <w:t>2.2 Tratamento dos dados</w:t>
      </w:r>
    </w:p>
    <w:p w14:paraId="4D230513" w14:textId="77777777" w:rsidR="00F012AC" w:rsidRDefault="00DD296D">
      <w:pPr>
        <w:pStyle w:val="normal1"/>
        <w:jc w:val="both"/>
      </w:pPr>
      <w:r>
        <w:t>Os dados brutos adquiridos apresentam alta suscetibilidade a anomalias instrumentais, interrupções de telemetria e inconsistências severas de catalogação. Para garantir a sanidade da matriz de características (</w:t>
      </w:r>
      <w:r>
        <w:rPr>
          <w:i/>
          <w:iCs/>
        </w:rPr>
        <w:t>features</w:t>
      </w:r>
      <w:r>
        <w:t xml:space="preserve">) fornecida à arquitetura Solarfall, </w:t>
      </w:r>
      <w:r>
        <w:rPr>
          <w:b/>
          <w:bCs/>
        </w:rPr>
        <w:t xml:space="preserve">todo o </w:t>
      </w:r>
      <w:r>
        <w:rPr>
          <w:b/>
          <w:bCs/>
          <w:i/>
          <w:iCs/>
        </w:rPr>
        <w:t>pipeline</w:t>
      </w:r>
      <w:r>
        <w:rPr>
          <w:b/>
          <w:bCs/>
        </w:rPr>
        <w:t xml:space="preserve"> de tratamento foi fundamentado nas diretrizes e recomendações propostas por Hu </w:t>
      </w:r>
      <w:r>
        <w:rPr>
          <w:b/>
          <w:bCs/>
          <w:i/>
          <w:iCs/>
        </w:rPr>
        <w:t>et al.</w:t>
      </w:r>
      <w:r>
        <w:rPr>
          <w:b/>
          <w:bCs/>
        </w:rPr>
        <w:t xml:space="preserve"> (2026)</w:t>
      </w:r>
      <w:r>
        <w:t>. A metodologia adotada visa mitigar os defeitos históricos inerentes aos catálogos de clima espacial e foi estruturada em três estágios operacionais fundamentais: sincronização temporal, filtragem de confiabilidade física e associação algorítmica de rótulos.</w:t>
      </w:r>
    </w:p>
    <w:p w14:paraId="5386816B" w14:textId="77777777" w:rsidR="00F012AC" w:rsidRDefault="00F012AC">
      <w:pPr>
        <w:pStyle w:val="normal1"/>
        <w:jc w:val="both"/>
      </w:pPr>
    </w:p>
    <w:p w14:paraId="6A1FC5B4" w14:textId="77777777" w:rsidR="00F012AC" w:rsidRDefault="00DD296D">
      <w:pPr>
        <w:pStyle w:val="normal1"/>
        <w:jc w:val="both"/>
      </w:pPr>
      <w:r>
        <w:rPr>
          <w:b/>
          <w:bCs/>
        </w:rPr>
        <w:t>2.2.1 Sincronização Temporal e Tratamento de Lacunas (</w:t>
      </w:r>
      <w:r>
        <w:rPr>
          <w:b/>
          <w:bCs/>
          <w:i/>
          <w:iCs/>
        </w:rPr>
        <w:t>Gaps</w:t>
      </w:r>
      <w:r>
        <w:rPr>
          <w:b/>
          <w:bCs/>
        </w:rPr>
        <w:t>)</w:t>
      </w:r>
    </w:p>
    <w:p w14:paraId="5FF07071" w14:textId="77777777" w:rsidR="00F012AC" w:rsidRDefault="00F012AC">
      <w:pPr>
        <w:pStyle w:val="normal1"/>
        <w:jc w:val="both"/>
        <w:rPr>
          <w:b/>
          <w:bCs/>
        </w:rPr>
      </w:pPr>
    </w:p>
    <w:p w14:paraId="26168807" w14:textId="77777777" w:rsidR="00F012AC" w:rsidRDefault="00DD296D">
      <w:pPr>
        <w:pStyle w:val="normal1"/>
        <w:jc w:val="both"/>
      </w:pPr>
      <w:r>
        <w:t xml:space="preserve">Para unificar as diferentes fontes de dados, todos os registros de tempo, incluindo as marcações </w:t>
      </w:r>
      <w:r>
        <w:lastRenderedPageBreak/>
        <w:t>TAI (</w:t>
      </w:r>
      <w:r>
        <w:rPr>
          <w:i/>
          <w:iCs/>
        </w:rPr>
        <w:t>International Atomic Time</w:t>
      </w:r>
      <w:r>
        <w:t>) do JSOC, foram padronizados para o Tempo Universal Coordenado (UTC). A fim de alinhar a alta cadência do fluxo global de raios-X (1 minuto) à taxa de amostragem dos magnetogramas regionais (12 minutos), os dados do satélite GOES foram submetidos a um processo de reamostragem ancorado em janelas de 12 minutos. Deste processo, extraiu-se o fluxo médio (</w:t>
      </w:r>
      <w:r>
        <w:rPr>
          <w:rFonts w:ascii="Courier" w:eastAsia="Courier" w:hAnsi="Courier" w:cs="Courier"/>
          <w:shd w:val="clear" w:color="auto" w:fill="F4F4F4"/>
        </w:rPr>
        <w:t>xrsb_flux_mean</w:t>
      </w:r>
      <w:r>
        <w:t>), representativo da inércia e do ruído de fundo coronal, e o fluxo máximo (</w:t>
      </w:r>
      <w:r>
        <w:rPr>
          <w:rFonts w:ascii="Courier" w:eastAsia="Courier" w:hAnsi="Courier" w:cs="Courier"/>
          <w:shd w:val="clear" w:color="auto" w:fill="F4F4F4"/>
        </w:rPr>
        <w:t>xrsb_flux_max</w:t>
      </w:r>
      <w:r>
        <w:t xml:space="preserve">), preservando os picos impulsivos essenciais para a detecção de </w:t>
      </w:r>
      <w:r>
        <w:rPr>
          <w:i/>
          <w:iCs/>
        </w:rPr>
        <w:t>flares</w:t>
      </w:r>
      <w:r>
        <w:t>.</w:t>
      </w:r>
    </w:p>
    <w:p w14:paraId="496D3A60" w14:textId="77777777" w:rsidR="00F012AC" w:rsidRDefault="00F012AC">
      <w:pPr>
        <w:pStyle w:val="normal1"/>
        <w:jc w:val="both"/>
      </w:pPr>
    </w:p>
    <w:p w14:paraId="7E6559CD" w14:textId="77777777" w:rsidR="00F012AC" w:rsidRDefault="00DD296D">
      <w:pPr>
        <w:pStyle w:val="normal1"/>
        <w:jc w:val="both"/>
      </w:pPr>
      <w:r>
        <w:t>Para mitigar a tendência gerada por interrupções prolongadas na captura de dados, adotou-se o conceito de continuidades temporais isoladas (</w:t>
      </w:r>
      <w:r>
        <w:rPr>
          <w:i/>
          <w:iCs/>
        </w:rPr>
        <w:t>runs</w:t>
      </w:r>
      <w:r>
        <w:t xml:space="preserve">). Na série global de raios-X, lacunas de até 12 minutos no fluxo basal foram interpoladas linearmente; contudo, ausências superiores a uma janela (24 minutos) resultaram no rompimento da continuidade, gerando um novo bloco de </w:t>
      </w:r>
      <w:r>
        <w:rPr>
          <w:i/>
          <w:iCs/>
        </w:rPr>
        <w:t>run</w:t>
      </w:r>
      <w:r>
        <w:t xml:space="preserve"> independente. Uma lógica análoga, porém de natureza espaço-temporal, foi aplicada às Regiões Ativas (ARs) da série SHARP, segmentando o histórico de vida de uma mesma mancha solar em novas </w:t>
      </w:r>
      <w:r>
        <w:rPr>
          <w:i/>
          <w:iCs/>
        </w:rPr>
        <w:t>runs</w:t>
      </w:r>
      <w:r>
        <w:t xml:space="preserve"> sempre que o rastreamento sofria quebras superiores a 36 minutos. Essa abordagem arquitetural garante que o modelo de </w:t>
      </w:r>
      <w:r>
        <w:rPr>
          <w:i/>
          <w:iCs/>
        </w:rPr>
        <w:t>machine learning</w:t>
      </w:r>
      <w:r>
        <w:t xml:space="preserve"> não aprenda com saltos ou rampas temporais artificiais criadas pela interpolação de falhas sistêmicas de longa duração.</w:t>
      </w:r>
    </w:p>
    <w:p w14:paraId="11330104" w14:textId="77777777" w:rsidR="00F012AC" w:rsidRDefault="00F012AC">
      <w:pPr>
        <w:pStyle w:val="normal1"/>
        <w:jc w:val="both"/>
      </w:pPr>
    </w:p>
    <w:p w14:paraId="6CBAAD86" w14:textId="77777777" w:rsidR="00F012AC" w:rsidRDefault="00DD296D">
      <w:pPr>
        <w:pStyle w:val="normal1"/>
        <w:jc w:val="both"/>
        <w:rPr>
          <w:b/>
          <w:bCs/>
        </w:rPr>
      </w:pPr>
      <w:r>
        <w:rPr>
          <w:b/>
          <w:bCs/>
        </w:rPr>
        <w:t>2.2.2 Filtragem Espacial e Física de Magnetogramas</w:t>
      </w:r>
    </w:p>
    <w:p w14:paraId="509FDAED" w14:textId="77777777" w:rsidR="00F012AC" w:rsidRDefault="00F012AC">
      <w:pPr>
        <w:pStyle w:val="normal1"/>
        <w:jc w:val="both"/>
        <w:rPr>
          <w:b/>
          <w:bCs/>
        </w:rPr>
      </w:pPr>
    </w:p>
    <w:p w14:paraId="1F9E89A5" w14:textId="77777777" w:rsidR="00F012AC" w:rsidRDefault="00DD296D">
      <w:pPr>
        <w:pStyle w:val="normal1"/>
        <w:jc w:val="both"/>
      </w:pPr>
      <w:r>
        <w:t>Os dados regionais derivados do instrumento HMI foram submetidos a filtros de integridade baseados nos metadados da qualidade do sensor. Observações sinalizadas com defeitos de calibração ou eclipses (</w:t>
      </w:r>
      <w:r>
        <w:rPr>
          <w:rFonts w:ascii="Courier" w:eastAsia="Courier" w:hAnsi="Courier" w:cs="Courier"/>
          <w:shd w:val="clear" w:color="auto" w:fill="F4F4F4"/>
        </w:rPr>
        <w:t>QUALITY != 0</w:t>
      </w:r>
      <w:r>
        <w:t>), bem como entradas com parâmetros essenciais nulos ou valores infinitos, foram descartadas.</w:t>
      </w:r>
    </w:p>
    <w:p w14:paraId="201346BA" w14:textId="77777777" w:rsidR="00F012AC" w:rsidRDefault="00F012AC">
      <w:pPr>
        <w:pStyle w:val="normal1"/>
        <w:jc w:val="both"/>
      </w:pPr>
    </w:p>
    <w:p w14:paraId="1E8D017F" w14:textId="77777777" w:rsidR="00F012AC" w:rsidRDefault="00DD296D">
      <w:pPr>
        <w:pStyle w:val="normal1"/>
        <w:jc w:val="both"/>
      </w:pPr>
      <w:r>
        <w:t>Além disso, conforme preconizado pela literatura base, aplicou-se filtro de efeito de projeção para neutralizar distorções geométricas. Como a acurácia dos parâmetros do vetor de campo magnético degrada severamente conforme a região rotaciona para as bordas do disco solar, foram preservados exclusivamente os magnetogramas cujo centro ponderado do fluxo (</w:t>
      </w:r>
      <w:r>
        <w:rPr>
          <w:rFonts w:ascii="Courier" w:eastAsia="Courier" w:hAnsi="Courier" w:cs="Courier"/>
          <w:shd w:val="clear" w:color="auto" w:fill="F4F4F4"/>
        </w:rPr>
        <w:t>LON_FWT</w:t>
      </w:r>
      <w:r>
        <w:t>) estivesse contido no intervalo de ± 70° em relação ao meridiano central. O fluxo de raios-X, por tratar-se de uma medição da irradiância de disco total (</w:t>
      </w:r>
      <w:r>
        <w:rPr>
          <w:i/>
          <w:iCs/>
        </w:rPr>
        <w:t>full-disk</w:t>
      </w:r>
      <w:r>
        <w:t>), foi mantido isento de recortes espaciais diretos.</w:t>
      </w:r>
    </w:p>
    <w:p w14:paraId="227F3A42" w14:textId="77777777" w:rsidR="00F012AC" w:rsidRDefault="00F012AC">
      <w:pPr>
        <w:pStyle w:val="normal1"/>
        <w:jc w:val="both"/>
      </w:pPr>
    </w:p>
    <w:p w14:paraId="05EAB6A5" w14:textId="77777777" w:rsidR="00F012AC" w:rsidRDefault="00DD296D">
      <w:pPr>
        <w:pStyle w:val="normal1"/>
        <w:jc w:val="both"/>
        <w:rPr>
          <w:b/>
          <w:bCs/>
        </w:rPr>
      </w:pPr>
      <w:r>
        <w:rPr>
          <w:b/>
          <w:bCs/>
        </w:rPr>
        <w:t>2.2.3 Padronização de Rótulos e Associação de Regiões Ativas</w:t>
      </w:r>
    </w:p>
    <w:p w14:paraId="186D820E" w14:textId="77777777" w:rsidR="00F012AC" w:rsidRDefault="00F012AC">
      <w:pPr>
        <w:pStyle w:val="normal1"/>
        <w:jc w:val="both"/>
        <w:rPr>
          <w:b/>
          <w:bCs/>
        </w:rPr>
      </w:pPr>
    </w:p>
    <w:p w14:paraId="3C2309B6" w14:textId="77777777" w:rsidR="00F012AC" w:rsidRDefault="00DD296D">
      <w:pPr>
        <w:pStyle w:val="normal1"/>
        <w:jc w:val="both"/>
      </w:pPr>
      <w:r>
        <w:t xml:space="preserve">Para a elaboração da variável resposta (alvo), a classe GOES das explosões foi convertida em uma escala contínua logarítmica de base 10 (ex: M1.5 convertida para -4.82). Historicamente, os catálogos operacionais emitidos pela SWPC antes do satélite GOES-16 recebiam a aplicação de um fator de escala de 0.7. Para corrigir essa distorção e alinhar todas as anotações ao nível atual de </w:t>
      </w:r>
      <w:r>
        <w:rPr>
          <w:i/>
          <w:iCs/>
        </w:rPr>
        <w:t>Science-Quality</w:t>
      </w:r>
      <w:r>
        <w:t>, os fluxos registrados antes de dezembro de 2019 nas listas operacionais receberam a adição aritmética corretiva de |log</w:t>
      </w:r>
      <w:r>
        <w:rPr>
          <w:vertAlign w:val="subscript"/>
        </w:rPr>
        <w:t>10</w:t>
      </w:r>
      <w:r>
        <w:t>(0.7)|, anulando a discrepância nas classes reportadas.</w:t>
      </w:r>
    </w:p>
    <w:p w14:paraId="27384E8E" w14:textId="77777777" w:rsidR="00F012AC" w:rsidRDefault="00F012AC">
      <w:pPr>
        <w:pStyle w:val="normal1"/>
        <w:jc w:val="both"/>
      </w:pPr>
    </w:p>
    <w:p w14:paraId="362A6358" w14:textId="77777777" w:rsidR="00F012AC" w:rsidRDefault="00DD296D">
      <w:pPr>
        <w:pStyle w:val="normal1"/>
        <w:jc w:val="both"/>
      </w:pPr>
      <w:r>
        <w:t>Finalmente, foi projetado um algoritmo de correspondência (</w:t>
      </w:r>
      <w:r>
        <w:rPr>
          <w:i/>
          <w:iCs/>
        </w:rPr>
        <w:t>matching cascade</w:t>
      </w:r>
      <w:r>
        <w:t xml:space="preserve">) para atribuir as explosões de raios-X em escala global às suas respectivas Regiões Ativas originadoras. O pareamento operou de forma hierárquica: inicialmente, buscou-se a correspondência nos catálogos FTP da SWPC utilizando uma margem de tolerância de ± 15 minutos para o pico de tempo e um delta de 0.3 na intensidade logarítmica. Para </w:t>
      </w:r>
      <w:r>
        <w:rPr>
          <w:i/>
          <w:iCs/>
        </w:rPr>
        <w:t>flares</w:t>
      </w:r>
      <w:r>
        <w:t xml:space="preserve"> não mapeados, adotou-se o resgate geométrico: as coordenadas fotossféricas Stonyhurst dos relatórios SRS foram convertidas para o sistema helio projetivo cartesiano (HPC) e cruzadas com as localizações </w:t>
      </w:r>
      <w:r>
        <w:lastRenderedPageBreak/>
        <w:t xml:space="preserve">exatas extraídas da base </w:t>
      </w:r>
      <w:r>
        <w:rPr>
          <w:i/>
          <w:iCs/>
        </w:rPr>
        <w:t>Science-Quality</w:t>
      </w:r>
      <w:r>
        <w:t xml:space="preserve"> a partir de 2017. Associações cujo cálculo de distância Euclidiana mostraram-se inferiores ao limiar seguro de 250 </w:t>
      </w:r>
      <w:r>
        <w:rPr>
          <w:i/>
          <w:iCs/>
        </w:rPr>
        <w:t>arcsec</w:t>
      </w:r>
      <w:r>
        <w:t xml:space="preserve"> foram consolidadas. O catálogo SolarSoft (SSW) foi acionado apenas como recurso final. Esta estratégia restritiva resultou em uma taxonomia robusta, associando inequivocamente os eventos explosivos globais às suas fontes magnéticas localizadas, sem introdução de premissas falsas à etapa preditiva.</w:t>
      </w:r>
    </w:p>
    <w:p w14:paraId="133204EF" w14:textId="77777777" w:rsidR="00F012AC" w:rsidRDefault="00F012AC">
      <w:pPr>
        <w:pStyle w:val="normal1"/>
        <w:spacing w:after="240"/>
        <w:jc w:val="both"/>
      </w:pPr>
    </w:p>
    <w:p w14:paraId="00F3EFC3" w14:textId="77777777" w:rsidR="00F012AC" w:rsidRDefault="00DD296D">
      <w:pPr>
        <w:pStyle w:val="Heading3"/>
        <w:jc w:val="both"/>
      </w:pPr>
      <w:r>
        <w:t xml:space="preserve">2.3 Engenharia de </w:t>
      </w:r>
      <w:r>
        <w:rPr>
          <w:i/>
          <w:iCs/>
        </w:rPr>
        <w:t>Features</w:t>
      </w:r>
      <w:r>
        <w:t xml:space="preserve"> e Rotulagem</w:t>
      </w:r>
    </w:p>
    <w:p w14:paraId="2941C264" w14:textId="77777777" w:rsidR="00F012AC" w:rsidRDefault="00DD296D">
      <w:pPr>
        <w:pStyle w:val="normal1"/>
        <w:jc w:val="both"/>
      </w:pPr>
      <w:r>
        <w:t>A estruturação das matrizes de treinamento e a delimitação do horizonte preditivo obedeceram a um arranjo de janelas deslizantes (</w:t>
      </w:r>
      <w:r>
        <w:rPr>
          <w:i/>
          <w:iCs/>
        </w:rPr>
        <w:t>sliding windows</w:t>
      </w:r>
      <w:r>
        <w:t>). Operacionalizou-se a extração de preditores baseada em um histórico de observação das 24 horas pregressas, com as matrizes transladando temporalmente a uma cadência de avanço de 1 hora (</w:t>
      </w:r>
      <w:r>
        <w:rPr>
          <w:i/>
          <w:iCs/>
        </w:rPr>
        <w:t>stride</w:t>
      </w:r>
      <w:r>
        <w:t xml:space="preserve"> de 1h). Esse particionamento simula um cenário operacional de </w:t>
      </w:r>
      <w:r>
        <w:rPr>
          <w:i/>
          <w:iCs/>
        </w:rPr>
        <w:t>forecasting</w:t>
      </w:r>
      <w:r>
        <w:t xml:space="preserve">, onde a cada nova hora consolida-se um bloco informacional retrospectivo de 24 horas para inferir o limiar máximo de atividade (a variável resposta) das 24 horas subsequentes. Para preservar a causalidade e a densidade dos dados, períodos iniciais de observação com acumulação parcial (inferior a 24 horas) foram classificados como estágio de </w:t>
      </w:r>
      <w:r>
        <w:rPr>
          <w:i/>
          <w:iCs/>
        </w:rPr>
        <w:t>burn-in</w:t>
      </w:r>
      <w:r>
        <w:t xml:space="preserve"> e sumariamente descartados das </w:t>
      </w:r>
      <w:r>
        <w:rPr>
          <w:i/>
          <w:iCs/>
        </w:rPr>
        <w:t>runs</w:t>
      </w:r>
      <w:r>
        <w:t xml:space="preserve"> de continuidade.</w:t>
      </w:r>
    </w:p>
    <w:p w14:paraId="5ACB32CC" w14:textId="77777777" w:rsidR="00F012AC" w:rsidRDefault="00DD296D">
      <w:pPr>
        <w:pStyle w:val="normal1"/>
        <w:jc w:val="both"/>
      </w:pPr>
      <w:r>
        <w:t xml:space="preserve">Para assegurar o rigor metodológico ao comparar domínios com naturezas de dados díspares, instituiu-se que o princípio da isonomia científica recairia sobre o alvo preditivo e o recorte cronológico de teste, e não na imposição do mesmo vetor de variáveis de entrada. Assim, a engenharia de </w:t>
      </w:r>
      <w:r>
        <w:rPr>
          <w:i/>
          <w:iCs/>
        </w:rPr>
        <w:t>features</w:t>
      </w:r>
      <w:r>
        <w:t xml:space="preserve"> foi desenhada especificamente para extrair a melhor representatividade de cada família de dados:</w:t>
      </w:r>
    </w:p>
    <w:p w14:paraId="4068917E" w14:textId="77777777" w:rsidR="00F012AC" w:rsidRDefault="00DD296D">
      <w:pPr>
        <w:pStyle w:val="normal1"/>
        <w:numPr>
          <w:ilvl w:val="0"/>
          <w:numId w:val="2"/>
        </w:numPr>
        <w:jc w:val="both"/>
      </w:pPr>
      <w:r>
        <w:rPr>
          <w:b/>
          <w:bCs/>
        </w:rPr>
        <w:t>Família X-Ray (Série Temporal Global):</w:t>
      </w:r>
      <w:r>
        <w:t xml:space="preserve"> Focada na dinâmica de fluxo contínuo. As características extraídas englobam estatísticas de estado baseadas em janelas rolantes (médias, máximos e desvio padrão em blocos de 1h a 24h), derivadas temporais absolutas destinadas a capturar gradientes abruptos de irradiação, e métricas de recorrência que contabilizam a contagem de deflagrações prévias (Classes C, M e X) nas últimas 24 a 72 horas para fornecer ao modelo o histórico da instabilidade coronal global.</w:t>
      </w:r>
    </w:p>
    <w:p w14:paraId="06A2549C" w14:textId="77777777" w:rsidR="00F012AC" w:rsidRDefault="00DD296D">
      <w:pPr>
        <w:pStyle w:val="normal1"/>
        <w:numPr>
          <w:ilvl w:val="0"/>
          <w:numId w:val="2"/>
        </w:numPr>
        <w:jc w:val="both"/>
      </w:pPr>
      <w:r>
        <w:rPr>
          <w:b/>
          <w:bCs/>
        </w:rPr>
        <w:t>Família Mag (Magnetogramas Regionais):</w:t>
      </w:r>
      <w:r>
        <w:t xml:space="preserve"> Focada na topologia física de uma Região Ativa (AR) isolada. Visando a independência de escala — essencial para evitar que manchas volumetricamente grandes sobreponham a relevância magnética intrínseca de manchas compactas —, as propriedades extensivas do SHARP foram transformadas em características intensivas. Efetuou-se a normalização de variáveis como a energia livre total (</w:t>
      </w:r>
      <w:r>
        <w:rPr>
          <w:rFonts w:ascii="Courier" w:eastAsia="Courier" w:hAnsi="Courier" w:cs="Courier"/>
          <w:shd w:val="clear" w:color="auto" w:fill="F4F4F4"/>
        </w:rPr>
        <w:t>TOTPOT</w:t>
      </w:r>
      <w:r>
        <w:t>) e a injeção de corrente vertical (</w:t>
      </w:r>
      <w:r>
        <w:rPr>
          <w:rFonts w:ascii="Courier" w:eastAsia="Courier" w:hAnsi="Courier" w:cs="Courier"/>
          <w:shd w:val="clear" w:color="auto" w:fill="F4F4F4"/>
        </w:rPr>
        <w:t>TOTUSJZ</w:t>
      </w:r>
      <w:r>
        <w:t>) mediante a sua divisão pela área da região magnética (</w:t>
      </w:r>
      <w:r>
        <w:rPr>
          <w:rFonts w:ascii="Courier" w:eastAsia="Courier" w:hAnsi="Courier" w:cs="Courier"/>
          <w:shd w:val="clear" w:color="auto" w:fill="F4F4F4"/>
        </w:rPr>
        <w:t>AREA_ACR</w:t>
      </w:r>
      <w:r>
        <w:t>), concebendo características fundamentadas em densidade magnética. Gradientes de longo prazo (variação na evolução em blocos de 6h e 24h) também foram consolidados.</w:t>
      </w:r>
    </w:p>
    <w:p w14:paraId="1C94A33D" w14:textId="77777777" w:rsidR="00F012AC" w:rsidRDefault="00F012AC">
      <w:pPr>
        <w:pStyle w:val="normal1"/>
        <w:ind w:left="600"/>
        <w:jc w:val="both"/>
      </w:pPr>
    </w:p>
    <w:p w14:paraId="0D472857" w14:textId="77777777" w:rsidR="00F012AC" w:rsidRDefault="00DD296D">
      <w:pPr>
        <w:pStyle w:val="normal1"/>
        <w:jc w:val="both"/>
      </w:pPr>
      <w:r>
        <w:rPr>
          <w:b/>
          <w:bCs/>
        </w:rPr>
        <w:t xml:space="preserve">2.3.1 Matriz de Rótulos e Estratégia de </w:t>
      </w:r>
      <w:r>
        <w:rPr>
          <w:b/>
          <w:bCs/>
          <w:i/>
          <w:iCs/>
        </w:rPr>
        <w:t>Surrogate</w:t>
      </w:r>
    </w:p>
    <w:p w14:paraId="7DE34886" w14:textId="77777777" w:rsidR="00F012AC" w:rsidRDefault="00F012AC">
      <w:pPr>
        <w:pStyle w:val="normal1"/>
        <w:jc w:val="both"/>
        <w:rPr>
          <w:b/>
          <w:bCs/>
          <w:i/>
          <w:iCs/>
        </w:rPr>
      </w:pPr>
    </w:p>
    <w:p w14:paraId="1362425B" w14:textId="77777777" w:rsidR="00F012AC" w:rsidRDefault="00DD296D">
      <w:pPr>
        <w:pStyle w:val="normal1"/>
        <w:jc w:val="both"/>
      </w:pPr>
      <w:r>
        <w:t>A rotulagem baseou-se na identificação transversal do evento explosivo de maior severidade (pico radiativo na classe GOES) compreendido no horizonte preditivo das 24 horas seguintes a cada amostra ‘</w:t>
      </w:r>
      <w:r>
        <w:rPr>
          <w:i/>
          <w:iCs/>
        </w:rPr>
        <w:t>stridada’</w:t>
      </w:r>
      <w:r>
        <w:t xml:space="preserve">. Para o modelo fundamentado em Magnetogramas Regionais, a acoplagem das explosões às suas matrizes preditivas lidou com uma anomalia persistente de truncamento numérico introduzida historicamente pela SWPC (ex: registro da AR </w:t>
      </w:r>
      <w:r>
        <w:rPr>
          <w:rFonts w:ascii="Courier" w:eastAsia="Courier" w:hAnsi="Courier" w:cs="Courier"/>
          <w:shd w:val="clear" w:color="auto" w:fill="F4F4F4"/>
        </w:rPr>
        <w:t xml:space="preserve">11158 </w:t>
      </w:r>
      <w:r>
        <w:t xml:space="preserve">sob a notação encurtada de </w:t>
      </w:r>
      <w:r>
        <w:rPr>
          <w:rFonts w:ascii="Courier" w:eastAsia="Courier" w:hAnsi="Courier" w:cs="Courier"/>
          <w:shd w:val="clear" w:color="auto" w:fill="F4F4F4"/>
        </w:rPr>
        <w:t>1158</w:t>
      </w:r>
      <w:r>
        <w:t>). A validação algorítmica superou a colisão de cardinalidade empregando busca binária atrelada à salvaguarda hierárquica do carimbo de tempo, restringindo as ocorrências cruzadas exclusivamente ao limite da janela preditiva, inviabilizando vazamentos temporais (</w:t>
      </w:r>
      <w:r>
        <w:rPr>
          <w:i/>
          <w:iCs/>
        </w:rPr>
        <w:t>data leakage</w:t>
      </w:r>
      <w:r>
        <w:t>) entre anomalias de décadas distintas.</w:t>
      </w:r>
    </w:p>
    <w:p w14:paraId="3B985255" w14:textId="77777777" w:rsidR="00F012AC" w:rsidRDefault="00F012AC">
      <w:pPr>
        <w:pStyle w:val="normal1"/>
        <w:jc w:val="both"/>
      </w:pPr>
    </w:p>
    <w:p w14:paraId="5D9B6656" w14:textId="77777777" w:rsidR="00F012AC" w:rsidRDefault="00DD296D">
      <w:pPr>
        <w:pStyle w:val="normal1"/>
        <w:jc w:val="both"/>
      </w:pPr>
      <w:r>
        <w:t>A pesquisa utiliza uma classificação binária para prever eventos severos de clima espacial. Nessa modelagem, a Classe Positiva (estado de alerta) é formada exclusivamente por explosões de alta intensidade (Classes M e X). Para definir a Classe Negativa (estado de calmaria), adotou-se a estratégia de modelo substitutivo (Surrogate Model), baseada nas recomendações de Hu et al. (2026). A literatura demonstra que, durante os picos do ciclo solar, a intensa radiação de fundo ofusca e prejudica a detecção de explosões menores (Classe B). Para lidar com essa perda de dados, agrupamos os períodos sem explosões junto aos registros de explosões fracas (Classes A e B) em uma única categoria de não-evento. Essa união fornece ao modelo um volume robusto de amostras para que ele aprenda a reconhecer o comportamento basal e não-destrutivo do Sol.</w:t>
      </w:r>
    </w:p>
    <w:p w14:paraId="2DB1DAD1" w14:textId="77777777" w:rsidR="00F012AC" w:rsidRDefault="00F012AC">
      <w:pPr>
        <w:pStyle w:val="normal1"/>
        <w:spacing w:after="240"/>
        <w:jc w:val="both"/>
      </w:pPr>
    </w:p>
    <w:p w14:paraId="1B245B25" w14:textId="77777777" w:rsidR="00F012AC" w:rsidRDefault="00DD296D">
      <w:pPr>
        <w:pStyle w:val="Heading3"/>
        <w:jc w:val="both"/>
      </w:pPr>
      <w:r>
        <w:t>2.4 Arquitetura Solarfall</w:t>
      </w:r>
    </w:p>
    <w:p w14:paraId="5CC95E66" w14:textId="77777777" w:rsidR="00F012AC" w:rsidRDefault="00DD296D">
      <w:pPr>
        <w:pStyle w:val="normal1"/>
        <w:jc w:val="both"/>
      </w:pPr>
      <w:r>
        <w:t xml:space="preserve">Para a resolução do problema preditivo, foi idealizada e desenvolvida uma arquitetura original intitulada </w:t>
      </w:r>
      <w:r>
        <w:rPr>
          <w:b/>
          <w:bCs/>
        </w:rPr>
        <w:t>Solarfall</w:t>
      </w:r>
      <w:r>
        <w:t>. Em contraposição ao uso de um modelo modelo de classificação, a Solarfall adota uma estratégia de modelagem em cascata (hierárquica). Esta abordagem divide a complexidade da detecção de explosões solares em um funil de quatro estágios de classificação binária. Ao isolar os domínios de decisão, cada especialista é treinado com um subconjunto de dados mais balanceado e específico, permitindo que o algoritmo foque somente nos padrões físicos que diferenciam classes particulares.</w:t>
      </w:r>
    </w:p>
    <w:p w14:paraId="34376598" w14:textId="77777777" w:rsidR="00F012AC" w:rsidRDefault="00DD296D">
      <w:pPr>
        <w:pStyle w:val="normal1"/>
        <w:jc w:val="both"/>
      </w:pPr>
      <w:r>
        <w:t>A arquitetura opera sequencialmente através dos seguintes especialistas:</w:t>
      </w:r>
    </w:p>
    <w:p w14:paraId="4C413955" w14:textId="77777777" w:rsidR="00F012AC" w:rsidRDefault="00DD296D">
      <w:pPr>
        <w:pStyle w:val="normal1"/>
        <w:numPr>
          <w:ilvl w:val="0"/>
          <w:numId w:val="3"/>
        </w:numPr>
        <w:jc w:val="both"/>
      </w:pPr>
      <w:r>
        <w:rPr>
          <w:b/>
          <w:bCs/>
        </w:rPr>
        <w:t>Gatekeeper:</w:t>
      </w:r>
      <w:r>
        <w:t xml:space="preserve"> O primeiro estágio da cascata. Treinado para separar o estado de calmaria (ausência de </w:t>
      </w:r>
      <w:r>
        <w:rPr>
          <w:i/>
          <w:iCs/>
        </w:rPr>
        <w:t>flares</w:t>
      </w:r>
      <w:r>
        <w:t xml:space="preserve"> e explosões fracas das classes A e B) do estado de alerta (explosões relevantes das classes C, M e X). O foco deste modelo é a maximização da métrica de </w:t>
      </w:r>
      <w:r>
        <w:rPr>
          <w:i/>
          <w:iCs/>
        </w:rPr>
        <w:t>Recall</w:t>
      </w:r>
      <w:r>
        <w:t>, garantindo a captura de todos os potenciais eventos severos, mesmo que isso acarrete a aprovação de falsos positivos para as etapas subsequentes.</w:t>
      </w:r>
    </w:p>
    <w:p w14:paraId="7D4145CC" w14:textId="77777777" w:rsidR="00F012AC" w:rsidRDefault="00DD296D">
      <w:pPr>
        <w:pStyle w:val="normal1"/>
        <w:numPr>
          <w:ilvl w:val="0"/>
          <w:numId w:val="3"/>
        </w:numPr>
        <w:jc w:val="both"/>
      </w:pPr>
      <w:r>
        <w:rPr>
          <w:b/>
          <w:bCs/>
        </w:rPr>
        <w:t>Great Filter:</w:t>
      </w:r>
      <w:r>
        <w:t xml:space="preserve"> O segundo estágio compartilha o mesmo escopo de decisão do </w:t>
      </w:r>
      <w:r>
        <w:rPr>
          <w:i/>
          <w:iCs/>
        </w:rPr>
        <w:t>Gatekeeper</w:t>
      </w:r>
      <w:r>
        <w:t xml:space="preserve"> (Calmaria vs. Alerta), contudo, é configurado com foco oposto: a limpeza de ruído. Sua função é atuar como um filtro de precisão, reavaliando as amostras aprovadas pelo primeiro estágio e eliminando os alarmes falsos e eventos de baixo impacto.</w:t>
      </w:r>
    </w:p>
    <w:p w14:paraId="4C1F8DBB" w14:textId="77777777" w:rsidR="00F012AC" w:rsidRDefault="00DD296D">
      <w:pPr>
        <w:pStyle w:val="normal1"/>
        <w:numPr>
          <w:ilvl w:val="0"/>
          <w:numId w:val="3"/>
        </w:numPr>
        <w:jc w:val="both"/>
      </w:pPr>
      <w:r>
        <w:rPr>
          <w:b/>
          <w:bCs/>
        </w:rPr>
        <w:t>Specialist 910:</w:t>
      </w:r>
      <w:r>
        <w:t xml:space="preserve"> O terceiro estágio atua sobre os dados classificados como alertas reais. Sua missão é separar as explosões de médio impacto (Classe C) de eventos severos (Classes M e X).</w:t>
      </w:r>
    </w:p>
    <w:p w14:paraId="718D2B0D" w14:textId="77777777" w:rsidR="00F012AC" w:rsidRDefault="00DD296D">
      <w:pPr>
        <w:pStyle w:val="normal1"/>
        <w:numPr>
          <w:ilvl w:val="0"/>
          <w:numId w:val="3"/>
        </w:numPr>
        <w:jc w:val="both"/>
      </w:pPr>
      <w:r>
        <w:rPr>
          <w:b/>
          <w:bCs/>
        </w:rPr>
        <w:t>Specialist MX:</w:t>
      </w:r>
      <w:r>
        <w:t xml:space="preserve"> O quarto e último estágio é dedicado à separação de eventos extremos. Seu objetivo deve exigir precisão para diferenciar tempestades severas (M) de eventos de magnitude catastrófica (X).</w:t>
      </w:r>
    </w:p>
    <w:p w14:paraId="4FB9960C" w14:textId="77777777" w:rsidR="00F012AC" w:rsidRDefault="00DD296D">
      <w:pPr>
        <w:pStyle w:val="normal1"/>
        <w:jc w:val="both"/>
      </w:pPr>
      <w:r>
        <w:t>Em arquiteturas de classificação estruturadas em cascatas, como a Solarfall, existe uma limitação própria: os erros cometidos pelos primeiros classificadores (</w:t>
      </w:r>
      <w:r>
        <w:rPr>
          <w:i/>
          <w:iCs/>
        </w:rPr>
        <w:t>upstream</w:t>
      </w:r>
      <w:r>
        <w:t>) propagam-se e contaminam as matrizes de decisão dos estágios subsequentes (</w:t>
      </w:r>
      <w:r>
        <w:rPr>
          <w:i/>
          <w:iCs/>
        </w:rPr>
        <w:t>downstream</w:t>
      </w:r>
      <w:r>
        <w:t>) (LI; JI, 2014). Diante disso, o treinamento dos especialistas mais profundos (como o Specialist MX) impõe um dilema entre utilizar uma matriz de dados "limpa" ou "condicionada".</w:t>
      </w:r>
    </w:p>
    <w:p w14:paraId="1DBE1BCF" w14:textId="77777777" w:rsidR="00F012AC" w:rsidRDefault="00DD296D">
      <w:pPr>
        <w:pStyle w:val="normal1"/>
        <w:jc w:val="both"/>
      </w:pPr>
      <w:r>
        <w:t>Se o modelo final fosse treinado com os dados perfeitos (o Ground Truth contendo apenas eventos severos reais das classes M e X), o algoritmo trabalharia da forma ideal. Contudo, a literatura demonstra que essa abordagem gera um grande Viés de Exposição. Em um cenário operacional (teste/produção), o modelo provavelmente receberá Falsos Positivos provenientes das etapas anteriores (como explosões de classe C classificadas incorretamente pelo Gatekeeper). Por nunca ter sido exposto a esse ruído durante o treinamento, o algoritmo torna-se frágil e incapaz de filtrá-lo, resultando em um colapso preditivo conhecido como Propagação de Erros em Cascata (RANZATO et al., 2016).</w:t>
      </w:r>
    </w:p>
    <w:p w14:paraId="213D98B0" w14:textId="77777777" w:rsidR="00F012AC" w:rsidRDefault="00DD296D">
      <w:pPr>
        <w:pStyle w:val="normal1"/>
        <w:jc w:val="both"/>
      </w:pPr>
      <w:r>
        <w:t xml:space="preserve">Para solucionar essa vulnerabilidade, optou-se pelo treinamento condicionado à cascata </w:t>
      </w:r>
      <w:r>
        <w:lastRenderedPageBreak/>
        <w:t>(treinamento "sujo"). Os especialistas intermediários e finais foram treinados estritamente sobre a distribuição residual — as instâncias que efetivamente sobreviveram aos cortes do estágio anterior, englobando tanto o sinal verdadeiro quanto os Falsos Positivos autênticos. Ao forçar a exposição do algoritmo aos erros anteriores à fase de aprendizado, o modelo sacrifica a distribuição original em prol da robustez sistêmica. O especialista aprende ativamente a reconhecer a assinatura matemática dos erros cometidos por seus antecessores, atuando como um filtro corretivo que quebra o viés de exposição e protege o rigor da decisão final. Todos os modelos especialistas que compõem a arquitetura Solarfall foram desenvolvidos tendo como método principal o algoritmo XGBoost (</w:t>
      </w:r>
      <w:r>
        <w:rPr>
          <w:i/>
          <w:iCs/>
        </w:rPr>
        <w:t>eXtreme Gradient Boosting</w:t>
      </w:r>
      <w:r>
        <w:t xml:space="preserve">). A escolha por um método de </w:t>
      </w:r>
      <w:r>
        <w:rPr>
          <w:i/>
          <w:iCs/>
        </w:rPr>
        <w:t>ensemble learning</w:t>
      </w:r>
      <w:r>
        <w:t xml:space="preserve"> fundamentado em árvores de decisão (TBMs - </w:t>
      </w:r>
      <w:r>
        <w:rPr>
          <w:i/>
          <w:iCs/>
        </w:rPr>
        <w:t>Tree-Based Models</w:t>
      </w:r>
      <w:r>
        <w:t xml:space="preserve">), em detrimento de abordagens de </w:t>
      </w:r>
      <w:r>
        <w:rPr>
          <w:i/>
          <w:iCs/>
        </w:rPr>
        <w:t>Deep Learning</w:t>
      </w:r>
      <w:r>
        <w:t xml:space="preserve"> (Redes Neurais Profundas), foi motivada por uma análise de trabalhos relevantes da área. Inicialmente, estudos empíricos abrangentes validaram a relevância dos TBMs, sugerindo que, para dados tabulares heterogêneos, os modelos baseados em árvores superam arquiteturas profundas tanto em desempenho quanto em eficiência de convergência (Grinsztajn </w:t>
      </w:r>
      <w:r>
        <w:rPr>
          <w:i/>
          <w:iCs/>
        </w:rPr>
        <w:t>et al.</w:t>
      </w:r>
      <w:r>
        <w:t>, 2022).</w:t>
      </w:r>
    </w:p>
    <w:p w14:paraId="53174C29" w14:textId="77777777" w:rsidR="00F012AC" w:rsidRDefault="00DD296D">
      <w:pPr>
        <w:pStyle w:val="normal1"/>
        <w:jc w:val="both"/>
      </w:pPr>
      <w:r>
        <w:t xml:space="preserve">A partir de 2023, o cenário mudou com o surgimento de arquiteturas de Deep Learning projetadas especificamente para o domínio tabular. Destacam-se o TabR, que introduziu mecanismos similares à vizinhança para as redes neurais (Gorishniy </w:t>
      </w:r>
      <w:r>
        <w:rPr>
          <w:i/>
          <w:iCs/>
        </w:rPr>
        <w:t>et al.</w:t>
      </w:r>
      <w:r>
        <w:t>, 2023), e o TabM, que utilizou conjuntos (</w:t>
      </w:r>
      <w:r>
        <w:rPr>
          <w:i/>
          <w:iCs/>
        </w:rPr>
        <w:t>ensembles</w:t>
      </w:r>
      <w:r>
        <w:t xml:space="preserve">) de forma eficiente para aumentar a robustez do aprendizado (Gorishniy </w:t>
      </w:r>
      <w:r>
        <w:rPr>
          <w:i/>
          <w:iCs/>
        </w:rPr>
        <w:t>et al.</w:t>
      </w:r>
      <w:r>
        <w:t xml:space="preserve">, 2025). O marco histórico mais recente foi a introdução de modelos fundacionais baseados em </w:t>
      </w:r>
      <w:r>
        <w:rPr>
          <w:i/>
          <w:iCs/>
        </w:rPr>
        <w:t>In-Context Learning</w:t>
      </w:r>
      <w:r>
        <w:t xml:space="preserve">, como o TabPFN, que demonstrou que o </w:t>
      </w:r>
      <w:r>
        <w:rPr>
          <w:i/>
          <w:iCs/>
        </w:rPr>
        <w:t>Deep Learning</w:t>
      </w:r>
      <w:r>
        <w:t xml:space="preserve"> pode superar as árvores de decisão em regimes de dados de pequeno porte ao mimetizar a forma como as árvores processam as informações (Hollmann </w:t>
      </w:r>
      <w:r>
        <w:rPr>
          <w:i/>
          <w:iCs/>
        </w:rPr>
        <w:t>et al.</w:t>
      </w:r>
      <w:r>
        <w:t xml:space="preserve">, 2025; McElfresh </w:t>
      </w:r>
      <w:r>
        <w:rPr>
          <w:i/>
          <w:iCs/>
        </w:rPr>
        <w:t>et al.</w:t>
      </w:r>
      <w:r>
        <w:t>, 2024).</w:t>
      </w:r>
    </w:p>
    <w:p w14:paraId="3FD1B1E3" w14:textId="77777777" w:rsidR="00F012AC" w:rsidRDefault="00DD296D">
      <w:pPr>
        <w:pStyle w:val="normal1"/>
        <w:jc w:val="both"/>
      </w:pPr>
      <w:r>
        <w:t xml:space="preserve">Apesar desses avanços, a superioridade entre as abordagens tornou-se dependente das propriedades da base de dados, observando-se uma inversão na lógica de escala. Enquanto as redes neurais modernas tornaram-se líderes em pequenos volumes, os modelos baseados em árvores permanecem como o padrão-ouro para dados massivos do mundo real (Borisov </w:t>
      </w:r>
      <w:r>
        <w:rPr>
          <w:i/>
          <w:iCs/>
        </w:rPr>
        <w:t>et al.</w:t>
      </w:r>
      <w:r>
        <w:t xml:space="preserve">, 2022; McElfresh </w:t>
      </w:r>
      <w:r>
        <w:rPr>
          <w:i/>
          <w:iCs/>
        </w:rPr>
        <w:t>et al.</w:t>
      </w:r>
      <w:r>
        <w:t xml:space="preserve">, 2024). Isso ocorre porque o custo computacional e de memória das novas arquiteturas neurais de alto desempenho cresce de forma proibitiva em grandes bases de dados, cenário no qual algoritmos de </w:t>
      </w:r>
      <w:r>
        <w:rPr>
          <w:i/>
          <w:iCs/>
        </w:rPr>
        <w:t>boosting</w:t>
      </w:r>
      <w:r>
        <w:t xml:space="preserve"> como o XGBoost mantêm uma estabilidade operacional e um custo-benefício superiores (Hollmann </w:t>
      </w:r>
      <w:r>
        <w:rPr>
          <w:i/>
          <w:iCs/>
        </w:rPr>
        <w:t>et al.</w:t>
      </w:r>
      <w:r>
        <w:t>, 2025).</w:t>
      </w:r>
    </w:p>
    <w:p w14:paraId="6AA22801" w14:textId="77777777" w:rsidR="00F012AC" w:rsidRDefault="00DD296D">
      <w:pPr>
        <w:pStyle w:val="normal1"/>
        <w:jc w:val="both"/>
      </w:pPr>
      <w:r>
        <w:t xml:space="preserve">Adicionalmente, surge uma lacuna crítica quando o domínio de aplicação envolve a previsão de séries temporais. O sucesso recente do </w:t>
      </w:r>
      <w:r>
        <w:rPr>
          <w:i/>
          <w:iCs/>
        </w:rPr>
        <w:t>Deep Learning</w:t>
      </w:r>
      <w:r>
        <w:t xml:space="preserve"> tabular baseou-se em tratar os dados independentemente de sua posição na tabela, desconsiderando a ordem das linhas. No entanto, em problemas orientados por séries temporais, a sequência cronológica é a informação fundamental. A conversão de séries temporais para o formato de tabelas estáticas pode retirar a capacidade dessas novas arquiteturas neurais de capturar dependências de longo prazo, fazendo com que busquem padrões em relações onde existe apenas ruído (Zeng </w:t>
      </w:r>
      <w:r>
        <w:rPr>
          <w:i/>
          <w:iCs/>
        </w:rPr>
        <w:t>et al.</w:t>
      </w:r>
      <w:r>
        <w:t>, 2022).</w:t>
      </w:r>
    </w:p>
    <w:p w14:paraId="69E5A6B2" w14:textId="77777777" w:rsidR="00F012AC" w:rsidRDefault="00DD296D">
      <w:pPr>
        <w:pStyle w:val="normal1"/>
        <w:jc w:val="both"/>
      </w:pPr>
      <w:r>
        <w:t xml:space="preserve">Dessa forma, embora modelos recentes de </w:t>
      </w:r>
      <w:r>
        <w:rPr>
          <w:i/>
          <w:iCs/>
        </w:rPr>
        <w:t>Deep Learning</w:t>
      </w:r>
      <w:r>
        <w:t xml:space="preserve"> (como TabR e TabPFN) tenham alcançado o relevantes resultados em dados tabulares estáticos ao tratarem as informações de maneira independente da sua posição, essa mesma característica limita a captura de eventos temporais, que dependem diretamente da sequência em que ocorrem. Por outro lado, os TBMs preservam a capacidade de isolar ruídos de forma eficiente sem sofrer com o sobreajuste (</w:t>
      </w:r>
      <w:r>
        <w:rPr>
          <w:i/>
          <w:iCs/>
        </w:rPr>
        <w:t>overfitting</w:t>
      </w:r>
      <w:r>
        <w:t>) focado em padrões falsos ou irrelevantes.</w:t>
      </w:r>
    </w:p>
    <w:p w14:paraId="2A38EFEE" w14:textId="77777777" w:rsidR="00F012AC" w:rsidRDefault="00DD296D">
      <w:pPr>
        <w:pStyle w:val="normal1"/>
        <w:jc w:val="both"/>
      </w:pPr>
      <w:r>
        <w:t>A adoção do XGBoost para o motor da arquitetura Solarfall permanece, portanto, respaldada por quatro vantagens técnicas diretamente alinhadas às necessidades deste projeto:</w:t>
      </w:r>
    </w:p>
    <w:p w14:paraId="65593B33" w14:textId="77777777" w:rsidR="00F012AC" w:rsidRDefault="00DD296D">
      <w:pPr>
        <w:pStyle w:val="normal1"/>
        <w:numPr>
          <w:ilvl w:val="0"/>
          <w:numId w:val="4"/>
        </w:numPr>
        <w:jc w:val="both"/>
      </w:pPr>
      <w:r>
        <w:rPr>
          <w:b/>
          <w:bCs/>
        </w:rPr>
        <w:t>Gerenciamento Nativo de Desbalanceamento:</w:t>
      </w:r>
      <w:r>
        <w:t xml:space="preserve"> A ocorrência de </w:t>
      </w:r>
      <w:r>
        <w:rPr>
          <w:i/>
          <w:iCs/>
        </w:rPr>
        <w:t>flares</w:t>
      </w:r>
      <w:r>
        <w:t xml:space="preserve"> severos constitui um evento raro. O XGBoost permite a mitigação nativa deste desbalanceamento através de parâmetros diretos (como o</w:t>
      </w:r>
      <w:r>
        <w:rPr>
          <w:color w:val="000000"/>
        </w:rPr>
        <w:t xml:space="preserve"> </w:t>
      </w:r>
      <w:r>
        <w:rPr>
          <w:rFonts w:ascii="Courier" w:eastAsia="Courier" w:hAnsi="Courier" w:cs="Courier"/>
          <w:shd w:val="clear" w:color="auto" w:fill="F4F4F4"/>
        </w:rPr>
        <w:t>scale_pos_weight</w:t>
      </w:r>
      <w:r>
        <w:t>), essenciais para forçar o aprendizado de classes minoritárias.</w:t>
      </w:r>
    </w:p>
    <w:p w14:paraId="2B410725" w14:textId="77777777" w:rsidR="00F012AC" w:rsidRDefault="00DD296D">
      <w:pPr>
        <w:pStyle w:val="normal1"/>
        <w:numPr>
          <w:ilvl w:val="0"/>
          <w:numId w:val="4"/>
        </w:numPr>
        <w:jc w:val="both"/>
      </w:pPr>
      <w:r>
        <w:rPr>
          <w:b/>
          <w:bCs/>
        </w:rPr>
        <w:t>Interpretabilidade:</w:t>
      </w:r>
      <w:r>
        <w:t xml:space="preserve"> Sendo o escopo primário um trabalho científico, o algoritmo permite a </w:t>
      </w:r>
      <w:r>
        <w:lastRenderedPageBreak/>
        <w:t>extração da importância das características (</w:t>
      </w:r>
      <w:r>
        <w:rPr>
          <w:i/>
          <w:iCs/>
        </w:rPr>
        <w:t>feature importance</w:t>
      </w:r>
      <w:r>
        <w:t>). Diferente da maioria das redes neurais, o XGBoost permite auditar quais variáveis físicas influenciaram a predição.</w:t>
      </w:r>
    </w:p>
    <w:p w14:paraId="78BBD454" w14:textId="77777777" w:rsidR="00F012AC" w:rsidRDefault="00DD296D">
      <w:pPr>
        <w:pStyle w:val="normal1"/>
        <w:numPr>
          <w:ilvl w:val="0"/>
          <w:numId w:val="4"/>
        </w:numPr>
        <w:jc w:val="both"/>
      </w:pPr>
      <w:r>
        <w:rPr>
          <w:b/>
          <w:bCs/>
        </w:rPr>
        <w:t>Robustez Vetorial:</w:t>
      </w:r>
      <w:r>
        <w:t xml:space="preserve"> Por se basear em árvores de decisão e divisões ortogonais, o modelo dispensa o pré-processamento estrito de normalização ou padronização de </w:t>
      </w:r>
      <w:r>
        <w:rPr>
          <w:i/>
          <w:iCs/>
        </w:rPr>
        <w:t>features</w:t>
      </w:r>
      <w:r>
        <w:t>, operando de forma estável mesmo quando alimentado por variáveis com escalas de grandeza discrepantes.</w:t>
      </w:r>
    </w:p>
    <w:p w14:paraId="58CD9C11" w14:textId="77777777" w:rsidR="00F012AC" w:rsidRDefault="00DD296D">
      <w:pPr>
        <w:pStyle w:val="normal1"/>
        <w:numPr>
          <w:ilvl w:val="0"/>
          <w:numId w:val="4"/>
        </w:numPr>
        <w:jc w:val="both"/>
      </w:pPr>
      <w:r>
        <w:rPr>
          <w:b/>
          <w:bCs/>
        </w:rPr>
        <w:t>Escalabilidade Computacional:</w:t>
      </w:r>
      <w:r>
        <w:t xml:space="preserve"> A implementação nativa em C++ oferece suporte a paralelismo e processamento via GPU, permitindo o treinamento iterativo rápido em matrizes de alta dimensionalidade que abrangem a escala de múltiplos anos de observação solar.</w:t>
      </w:r>
    </w:p>
    <w:p w14:paraId="62E91443" w14:textId="77777777" w:rsidR="00F012AC" w:rsidRDefault="00F012AC">
      <w:pPr>
        <w:pStyle w:val="normal1"/>
        <w:spacing w:after="240"/>
        <w:jc w:val="both"/>
      </w:pPr>
    </w:p>
    <w:p w14:paraId="22BB313F" w14:textId="77777777" w:rsidR="00F012AC" w:rsidRDefault="00DD296D">
      <w:pPr>
        <w:pStyle w:val="Heading3"/>
        <w:jc w:val="both"/>
      </w:pPr>
      <w:r>
        <w:t>2.5 Treinamento da Família X-Ray</w:t>
      </w:r>
    </w:p>
    <w:p w14:paraId="025D0EBD" w14:textId="77777777" w:rsidR="00F012AC" w:rsidRDefault="00DD296D">
      <w:pPr>
        <w:pStyle w:val="normal1"/>
        <w:jc w:val="both"/>
      </w:pPr>
      <w:r>
        <w:t>A metodologia de treinamento para os modelos fundamentados na série temporal global de raios-X foi padronizada para testar os limites da modelagem baseada em inércia. Esta abordagem obedece à lógica de que o histórico recente da radiação coronal (Efeito Passado) possui capacidade estatística de prever erupções iminentes (Efeito Futuro). O processo foi estruturado de forma a respeitar as dependências temporais intrínsecas aos dados de clima espacial.</w:t>
      </w:r>
    </w:p>
    <w:p w14:paraId="470B1BC3" w14:textId="77777777" w:rsidR="00F012AC" w:rsidRDefault="00F012AC">
      <w:pPr>
        <w:pStyle w:val="normal1"/>
        <w:jc w:val="both"/>
      </w:pPr>
    </w:p>
    <w:p w14:paraId="1034DD0A" w14:textId="77777777" w:rsidR="00F012AC" w:rsidRDefault="00DD296D">
      <w:pPr>
        <w:pStyle w:val="normal1"/>
        <w:jc w:val="both"/>
      </w:pPr>
      <w:r>
        <w:rPr>
          <w:b/>
          <w:bCs/>
        </w:rPr>
        <w:t>2.5.1 Particionamento Cronológico e Prevenção de Vazamento</w:t>
      </w:r>
    </w:p>
    <w:p w14:paraId="571080E7" w14:textId="77777777" w:rsidR="00F012AC" w:rsidRDefault="00F012AC">
      <w:pPr>
        <w:pStyle w:val="normal1"/>
        <w:jc w:val="both"/>
      </w:pPr>
    </w:p>
    <w:p w14:paraId="2F2E0791" w14:textId="77777777" w:rsidR="00F012AC" w:rsidRDefault="00DD296D">
      <w:pPr>
        <w:pStyle w:val="normal1"/>
        <w:jc w:val="both"/>
      </w:pPr>
      <w:r>
        <w:t xml:space="preserve">A performance de modelos de </w:t>
      </w:r>
      <w:r>
        <w:rPr>
          <w:i/>
          <w:iCs/>
        </w:rPr>
        <w:t>machine learning</w:t>
      </w:r>
      <w:r>
        <w:t xml:space="preserve"> aplicados à previsão de explosões solares é estritamente dependente da estratégia de divisão das amostras de treino, validação e teste. Conforme evidenciado por Hu </w:t>
      </w:r>
      <w:r>
        <w:rPr>
          <w:i/>
          <w:iCs/>
        </w:rPr>
        <w:t>et al.</w:t>
      </w:r>
      <w:r>
        <w:t xml:space="preserve"> (2026), o desempenho dos preditores é mais limitado pelo </w:t>
      </w:r>
      <w:r>
        <w:rPr>
          <w:i/>
          <w:iCs/>
        </w:rPr>
        <w:t>design</w:t>
      </w:r>
      <w:r>
        <w:t xml:space="preserve"> da separação dos dados (como a adoção de uma divisão cronológica em oposição à divisão aleatória) do que pela escolha metodológica do algoritmo em si. Adicionalmente, a literatura demonstra que a eficácia preditiva varia drasticamente dependendo da fase do ciclo solar analisada (mínimo, evolução ou máximo).</w:t>
      </w:r>
    </w:p>
    <w:p w14:paraId="13E523DD" w14:textId="77777777" w:rsidR="00F012AC" w:rsidRDefault="00DD296D">
      <w:pPr>
        <w:pStyle w:val="normal1"/>
        <w:jc w:val="both"/>
      </w:pPr>
      <w:r>
        <w:t>Para contemplar essas exigências físicas e metodológicas, o conjunto de dados foi submetido a um particionamento estritamente cronológico em blocos (</w:t>
      </w:r>
      <w:r>
        <w:rPr>
          <w:i/>
          <w:iCs/>
        </w:rPr>
        <w:t>Block-Chronological Split</w:t>
      </w:r>
      <w:r>
        <w:t xml:space="preserve">). Essa abordagem é crucial para mimetizar um ambiente operacional de </w:t>
      </w:r>
      <w:r>
        <w:rPr>
          <w:i/>
          <w:iCs/>
        </w:rPr>
        <w:t>forecasting</w:t>
      </w:r>
      <w:r>
        <w:t xml:space="preserve"> autêntico e prevenir o vazamento de informações (</w:t>
      </w:r>
      <w:r>
        <w:rPr>
          <w:i/>
          <w:iCs/>
        </w:rPr>
        <w:t>data leakage</w:t>
      </w:r>
      <w:r>
        <w:t xml:space="preserve">) do conjunto de treinamento para o de testes (HU </w:t>
      </w:r>
      <w:r>
        <w:rPr>
          <w:i/>
          <w:iCs/>
        </w:rPr>
        <w:t>et al.</w:t>
      </w:r>
      <w:r>
        <w:t>, 2026). O particionamento garantiu que a arquitetura aprendesse com a diversidade de comportamentos do Sol sem se enviesar por uma única fase de atividade:</w:t>
      </w:r>
    </w:p>
    <w:p w14:paraId="589D951F" w14:textId="77777777" w:rsidR="00F012AC" w:rsidRDefault="00F012AC">
      <w:pPr>
        <w:pStyle w:val="normal1"/>
        <w:jc w:val="both"/>
      </w:pPr>
    </w:p>
    <w:p w14:paraId="306EBD2D" w14:textId="77777777" w:rsidR="00F012AC" w:rsidRDefault="00DD296D">
      <w:pPr>
        <w:pStyle w:val="normal1"/>
        <w:numPr>
          <w:ilvl w:val="0"/>
          <w:numId w:val="5"/>
        </w:numPr>
        <w:jc w:val="both"/>
      </w:pPr>
      <w:r>
        <w:rPr>
          <w:b/>
          <w:bCs/>
        </w:rPr>
        <w:t>Treinamento:</w:t>
      </w:r>
      <w:r>
        <w:t xml:space="preserve"> Englobou a maior parcela do Ciclo Solar 24, misturando intencionalmente suas fases de ascensão, mínimo e máximo (anos de 2010, 2011, 2013 a 2016, 2018 e 2019). Esta agregação garante que o modelo identifique os padrões precursores de explosões independentemente do nível de radiação basal da estrela naquele ano.</w:t>
      </w:r>
    </w:p>
    <w:p w14:paraId="235C24F1" w14:textId="77777777" w:rsidR="00F012AC" w:rsidRDefault="00DD296D">
      <w:pPr>
        <w:pStyle w:val="normal1"/>
        <w:numPr>
          <w:ilvl w:val="0"/>
          <w:numId w:val="5"/>
        </w:numPr>
        <w:jc w:val="both"/>
      </w:pPr>
      <w:r>
        <w:rPr>
          <w:b/>
          <w:bCs/>
        </w:rPr>
        <w:t>Validação:</w:t>
      </w:r>
      <w:r>
        <w:t xml:space="preserve"> Selecionada de forma representativa para a calibração de hiperparâmetros e otimização de limiares, amostrando um ano de alta atividade (2012) e um ano de declínio rumo ao mínimo solar (2017).</w:t>
      </w:r>
    </w:p>
    <w:p w14:paraId="2101F0DE" w14:textId="77777777" w:rsidR="00F012AC" w:rsidRDefault="00DD296D">
      <w:pPr>
        <w:pStyle w:val="normal1"/>
        <w:numPr>
          <w:ilvl w:val="0"/>
          <w:numId w:val="5"/>
        </w:numPr>
        <w:jc w:val="both"/>
      </w:pPr>
      <w:r>
        <w:rPr>
          <w:b/>
          <w:bCs/>
        </w:rPr>
        <w:t>Teste:</w:t>
      </w:r>
      <w:r>
        <w:t xml:space="preserve"> O Ciclo Solar 25 foi isolado e mantido intocado (2020 a 2024). Isso permite avaliar a arquitetura de forma puramente </w:t>
      </w:r>
      <w:r>
        <w:rPr>
          <w:i/>
          <w:iCs/>
        </w:rPr>
        <w:t>Out-of-Sample</w:t>
      </w:r>
      <w:r>
        <w:t xml:space="preserve"> e averiguar a sua robustez ao longo das diferentes fases contínuas da atividade solar recente, desde o mínimo (2020-2021), passando pela fase de evolução (2022), até o máximo solar (2023-2024).</w:t>
      </w:r>
    </w:p>
    <w:p w14:paraId="62823AC8" w14:textId="77777777" w:rsidR="00F012AC" w:rsidRDefault="00DD296D">
      <w:pPr>
        <w:pStyle w:val="normal1"/>
        <w:jc w:val="both"/>
      </w:pPr>
      <w:r>
        <w:rPr>
          <w:rFonts w:ascii="Arial Unicode MS" w:eastAsia="Arial Unicode MS" w:hAnsi="Arial Unicode MS" w:cs="Arial Unicode MS"/>
        </w:rPr>
        <w:t xml:space="preserve">Por fim, para suprimir definitivamente qualquer possibilidade de contaminação cruzada nas fronteiras de transição entre os blocos (Treino ↔ Validação ↔ Teste), aplicou-se um algoritmo de </w:t>
      </w:r>
      <w:r>
        <w:rPr>
          <w:i/>
          <w:iCs/>
        </w:rPr>
        <w:t>Purge Gap</w:t>
      </w:r>
      <w:r>
        <w:t xml:space="preserve"> simétrico. Uma janela temporal estrita de 24 horas foi expurgada tanto do final do bloco anterior quanto do início do bloco subsequente em cada ponto de corte cronológico. Esta </w:t>
      </w:r>
      <w:r>
        <w:lastRenderedPageBreak/>
        <w:t>técnica isola o alvo preditivo (</w:t>
      </w:r>
      <w:r>
        <w:rPr>
          <w:i/>
          <w:iCs/>
        </w:rPr>
        <w:t>target</w:t>
      </w:r>
      <w:r>
        <w:t>), que mapeia a explosão no futuro, das matrizes de características (</w:t>
      </w:r>
      <w:r>
        <w:rPr>
          <w:i/>
          <w:iCs/>
        </w:rPr>
        <w:t>features</w:t>
      </w:r>
      <w:r>
        <w:t>), que carregam o acúmulo da inércia física do passado.</w:t>
      </w:r>
    </w:p>
    <w:p w14:paraId="3915E518" w14:textId="77777777" w:rsidR="00F012AC" w:rsidRDefault="00F012AC">
      <w:pPr>
        <w:pStyle w:val="normal1"/>
        <w:jc w:val="both"/>
      </w:pPr>
    </w:p>
    <w:p w14:paraId="1802ACC7" w14:textId="77777777" w:rsidR="00F012AC" w:rsidRDefault="00DD296D">
      <w:pPr>
        <w:pStyle w:val="normal1"/>
        <w:jc w:val="both"/>
      </w:pPr>
      <w:r>
        <w:rPr>
          <w:b/>
          <w:bCs/>
        </w:rPr>
        <w:t>2.5.2 Seleção Automática de Atributos e Redução Dimensional</w:t>
      </w:r>
    </w:p>
    <w:p w14:paraId="39AB06B7" w14:textId="77777777" w:rsidR="00F012AC" w:rsidRDefault="00F012AC">
      <w:pPr>
        <w:pStyle w:val="normal1"/>
        <w:jc w:val="both"/>
        <w:rPr>
          <w:b/>
          <w:bCs/>
        </w:rPr>
      </w:pPr>
    </w:p>
    <w:p w14:paraId="712D6BB3" w14:textId="77777777" w:rsidR="00F012AC" w:rsidRDefault="00DD296D">
      <w:pPr>
        <w:pStyle w:val="normal1"/>
        <w:jc w:val="both"/>
      </w:pPr>
      <w:r>
        <w:t xml:space="preserve">Dada a alta dimensionalidade vetorial resultante da etapa de engenharia de </w:t>
      </w:r>
      <w:r>
        <w:rPr>
          <w:i/>
          <w:iCs/>
        </w:rPr>
        <w:t>features</w:t>
      </w:r>
      <w:r>
        <w:t>, a retenção indiscriminada de todas as variáveis geradas pode levar o algoritmo à "maldição da dimensionalidade", degradando a eficiência computacional e aumentando severamente a suscetibilidade do modelo ao sobreajuste (</w:t>
      </w:r>
      <w:r>
        <w:rPr>
          <w:i/>
          <w:iCs/>
        </w:rPr>
        <w:t>overfitting</w:t>
      </w:r>
      <w:r>
        <w:t xml:space="preserve">). Para mitigar esse risco estrutural, cada especialista da cascata executou uma etapa preparatória intitulada </w:t>
      </w:r>
      <w:r>
        <w:rPr>
          <w:i/>
          <w:iCs/>
        </w:rPr>
        <w:t>Quick Scan</w:t>
      </w:r>
      <w:r>
        <w:t xml:space="preserve"> (</w:t>
      </w:r>
      <w:r>
        <w:rPr>
          <w:i/>
          <w:iCs/>
        </w:rPr>
        <w:t>Discovery Mode</w:t>
      </w:r>
      <w:r>
        <w:t>).</w:t>
      </w:r>
    </w:p>
    <w:p w14:paraId="7689AE55" w14:textId="77777777" w:rsidR="00F012AC" w:rsidRDefault="00F012AC">
      <w:pPr>
        <w:pStyle w:val="normal1"/>
        <w:jc w:val="both"/>
      </w:pPr>
    </w:p>
    <w:p w14:paraId="1AF1D9E8" w14:textId="77777777" w:rsidR="00F012AC" w:rsidRDefault="00DD296D">
      <w:pPr>
        <w:pStyle w:val="normal1"/>
        <w:jc w:val="both"/>
      </w:pPr>
      <w:r>
        <w:t xml:space="preserve">O </w:t>
      </w:r>
      <w:r>
        <w:rPr>
          <w:i/>
          <w:iCs/>
        </w:rPr>
        <w:t>Quick Scan</w:t>
      </w:r>
      <w:r>
        <w:t xml:space="preserve"> implementa a técnica de seleção de características embutida (</w:t>
      </w:r>
      <w:r>
        <w:rPr>
          <w:i/>
          <w:iCs/>
        </w:rPr>
        <w:t>Embedded Feature Selection</w:t>
      </w:r>
      <w:r>
        <w:t>), utilizando um modelo preliminar do próprio algoritmo XGBoost para auditar as variáveis. Diferente de filtros estatísticos simples que avaliam as variáveis isoladamente, o método embutido avalia a utilidade da característica no contexto real de treinamento. O algoritmo ranqueia os preditores calculando o seu Ganho de Informação (</w:t>
      </w:r>
      <w:r>
        <w:rPr>
          <w:i/>
          <w:iCs/>
        </w:rPr>
        <w:t>Information Gain</w:t>
      </w:r>
      <w:r>
        <w:t xml:space="preserve">), métrica que quantifica a redução da impureza (melhoria na precisão) gerada sempre que a referida </w:t>
      </w:r>
      <w:r>
        <w:rPr>
          <w:i/>
          <w:iCs/>
        </w:rPr>
        <w:t>feature</w:t>
      </w:r>
      <w:r>
        <w:t xml:space="preserve"> é selecionada para ramificar os nós das árvores de decisão (CHEN; GUESTRIN, 2016).</w:t>
      </w:r>
    </w:p>
    <w:p w14:paraId="4B4169D4" w14:textId="77777777" w:rsidR="00F012AC" w:rsidRDefault="00DD296D">
      <w:pPr>
        <w:pStyle w:val="normal1"/>
        <w:jc w:val="both"/>
      </w:pPr>
      <w:r>
        <w:t>Para o corte de retenção, estipulou-se o limiar de 95% da importância cumulativa. A adoção deste parâmetro fundamenta-se em heurísticas consolidadas de aprendizado de máquina, operando sob uma lógica metodologicamente análoga ao critério de retenção de "variância explicada" empregado na Análise de Componentes Principais (PCA). O objetivo do limiar de 95% é atuar como um filtro de parcimônia: ele preserva o subconjunto de variáveis responsável por compor a quase totalidade do poder preditivo do modelo, e descarta sumariamente a "cauda longa" de atributos de baixo impacto. Essa remoção cirúrgica garante que os algoritmos de otimização Bayesiana subsequentes aloquem seu esforço computacional apenas em variáveis com relevância física e matemática comprovada, garantindo a generalização do modelo diante de dados não vistos.</w:t>
      </w:r>
    </w:p>
    <w:p w14:paraId="2785CDF9" w14:textId="77777777" w:rsidR="00F012AC" w:rsidRDefault="00F012AC">
      <w:pPr>
        <w:pStyle w:val="normal1"/>
        <w:jc w:val="both"/>
      </w:pPr>
    </w:p>
    <w:p w14:paraId="533B88C5" w14:textId="77777777" w:rsidR="00F012AC" w:rsidRDefault="00DD296D">
      <w:pPr>
        <w:pStyle w:val="normal1"/>
        <w:jc w:val="both"/>
        <w:rPr>
          <w:b/>
          <w:bCs/>
        </w:rPr>
      </w:pPr>
      <w:r>
        <w:rPr>
          <w:b/>
          <w:bCs/>
        </w:rPr>
        <w:t>2.5.3 Treinamento Condicionado</w:t>
      </w:r>
    </w:p>
    <w:p w14:paraId="2DFADA10" w14:textId="77777777" w:rsidR="00F012AC" w:rsidRDefault="00F012AC">
      <w:pPr>
        <w:pStyle w:val="normal1"/>
        <w:jc w:val="both"/>
        <w:rPr>
          <w:b/>
          <w:bCs/>
        </w:rPr>
      </w:pPr>
    </w:p>
    <w:p w14:paraId="0B8C7241" w14:textId="77777777" w:rsidR="00F012AC" w:rsidRDefault="00DD296D">
      <w:pPr>
        <w:pStyle w:val="normal1"/>
        <w:jc w:val="both"/>
      </w:pPr>
      <w:r>
        <w:t>Conforme fundamentado na Seção 2.4, a operacionalização do treinamento para os modelos mais profundos da cascata (</w:t>
      </w:r>
      <w:r>
        <w:rPr>
          <w:i/>
          <w:iCs/>
        </w:rPr>
        <w:t>Great Filter, Specialist 910</w:t>
      </w:r>
      <w:r>
        <w:t xml:space="preserve"> e </w:t>
      </w:r>
      <w:r>
        <w:rPr>
          <w:i/>
          <w:iCs/>
        </w:rPr>
        <w:t>Specialist MX</w:t>
      </w:r>
      <w:r>
        <w:t>) seguiu rigorosamente a abordagem de treinamento condicionado. Na prática, a matriz de treinamento de cada especialista foi filtrada para conter exclusivamente as instâncias que sobreviveram às classificações da etapa anterior. Ao herdar os falsos positivos reais gerados pelos seus antecessores, o treinamento garantiu que cada algoritmo aprendesse a diferenciar o sinal do ruído no exato contexto dinâmico em que operará em produção, mitigando a propagação de erros sistêmicos.</w:t>
      </w:r>
    </w:p>
    <w:p w14:paraId="2607E44F" w14:textId="77777777" w:rsidR="00F012AC" w:rsidRDefault="00F012AC">
      <w:pPr>
        <w:pStyle w:val="normal1"/>
        <w:jc w:val="both"/>
      </w:pPr>
    </w:p>
    <w:p w14:paraId="17CE631F" w14:textId="77777777" w:rsidR="00F012AC" w:rsidRDefault="00DD296D">
      <w:pPr>
        <w:pStyle w:val="normal1"/>
        <w:jc w:val="both"/>
        <w:rPr>
          <w:b/>
          <w:bCs/>
        </w:rPr>
      </w:pPr>
      <w:r>
        <w:rPr>
          <w:b/>
          <w:bCs/>
        </w:rPr>
        <w:t>2.5.4 Soft Buffer Training</w:t>
      </w:r>
    </w:p>
    <w:p w14:paraId="63BD6D7B" w14:textId="77777777" w:rsidR="00F012AC" w:rsidRDefault="00F012AC">
      <w:pPr>
        <w:pStyle w:val="normal1"/>
        <w:jc w:val="both"/>
        <w:rPr>
          <w:b/>
          <w:bCs/>
        </w:rPr>
      </w:pPr>
    </w:p>
    <w:p w14:paraId="751E03FD" w14:textId="77777777" w:rsidR="00F012AC" w:rsidRDefault="00DD296D">
      <w:pPr>
        <w:pStyle w:val="normal1"/>
        <w:jc w:val="both"/>
      </w:pPr>
      <w:r>
        <w:t xml:space="preserve">A categorização de fenômenos astrofísicos contínuos (como a irradiância solar) em classes discretas e arbitrárias (A, B, C, M, X) introduz um desafio estatístico conhecido como Ambiguidade de Rótulo Inerente (Inherent Label Ambiguity) ou Ruído de Fronteira (Boundary Noise). Amostras localizadas imediatamente abaixo ou acima dos limiares de corte físicos possuem dinâmicas quase idênticas, mas recebem rótulos de classe distintos. A literatura demonstra que algoritmos baseados em boosting tendem a colapsar ou sofrer superajuste severo (overfitting) nessas regiões, Isso ocorre porque o modelo gasta muita capacidade computacional e profundidade de árvore tentando separar pontos que, por natureza, são ambíguos. (LONG; </w:t>
      </w:r>
      <w:r>
        <w:lastRenderedPageBreak/>
        <w:t>SERVEDIO, 2010).</w:t>
      </w:r>
    </w:p>
    <w:p w14:paraId="1B8BE7DD" w14:textId="77777777" w:rsidR="00F012AC" w:rsidRDefault="00DD296D">
      <w:pPr>
        <w:pStyle w:val="normal1"/>
        <w:jc w:val="both"/>
      </w:pPr>
      <w:r>
        <w:t>Para mitigar essa vulnerabilidade e estabilizar as superfícies de decisão, idealizou-se uma técnica de Soft Buffer Training, fundamentada nos princípios de Regularização por Ponderação de Instâncias (Instance-Weighted Learning) (FRIEDMAN; HASTIE; TIBSHIRANI, 2000). O método consiste em isolar as faixas críticas de transição — especificamente o intervalo entre 10</w:t>
      </w:r>
      <w:r>
        <w:rPr>
          <w:vertAlign w:val="superscript"/>
        </w:rPr>
        <w:t>-6</w:t>
      </w:r>
      <w:r>
        <w:t xml:space="preserve"> e 10</w:t>
      </w:r>
      <w:r>
        <w:rPr>
          <w:vertAlign w:val="superscript"/>
        </w:rPr>
        <w:t>-5</w:t>
      </w:r>
      <w:r>
        <w:rPr>
          <w:rFonts w:ascii="Arial Unicode MS" w:eastAsia="Arial Unicode MS" w:hAnsi="Arial Unicode MS" w:cs="Arial Unicode MS"/>
        </w:rPr>
        <w:t xml:space="preserve"> W/m² (separação B → C no Great Filter) e entre 10</w:t>
      </w:r>
      <w:r>
        <w:rPr>
          <w:vertAlign w:val="superscript"/>
        </w:rPr>
        <w:t>-5</w:t>
      </w:r>
      <w:r>
        <w:t xml:space="preserve"> e 10</w:t>
      </w:r>
      <w:r>
        <w:rPr>
          <w:vertAlign w:val="superscript"/>
        </w:rPr>
        <w:t>-4</w:t>
      </w:r>
      <w:r>
        <w:rPr>
          <w:rFonts w:ascii="Arial Unicode MS" w:eastAsia="Arial Unicode MS" w:hAnsi="Arial Unicode MS" w:cs="Arial Unicode MS"/>
        </w:rPr>
        <w:t xml:space="preserve"> W/m² (separação C → M no Specialist 910) — e aplicar um fator de amortecimento (sample weight) de 0.2 diretamente na função de perda do XGBoost.</w:t>
      </w:r>
    </w:p>
    <w:p w14:paraId="614AD2F0" w14:textId="77777777" w:rsidR="00F012AC" w:rsidRDefault="00DD296D">
      <w:pPr>
        <w:pStyle w:val="normal1"/>
        <w:jc w:val="both"/>
      </w:pPr>
      <w:r>
        <w:t>Ao reduzir o peso matemático das instâncias limítrofes, o algoritmo é instruído a priorizar o cálculo de seus gradientes nos exemplos prototípicos e inequívocos de cada classe. A definição do valor de amortecimento em 0.2 foi estabelecida de forma heurística por meio dos resultados experimentais obtidos na fase de calibração, procedimento alinhado às práticas recomendadas para o ajuste de hiperparâmetros de suavização em ambientes de alta incerteza de dados (BISHOP, 2006). Como resultado, o Soft Buffer Training impede que flutuações radiativas limiares distorçam as fronteiras de decisão, garantindo uma transição estável e ampliando a capacidade de generalização da arquitetura Solarfall.</w:t>
      </w:r>
    </w:p>
    <w:p w14:paraId="0E8B303C" w14:textId="77777777" w:rsidR="00F012AC" w:rsidRDefault="00F012AC">
      <w:pPr>
        <w:pStyle w:val="normal1"/>
        <w:jc w:val="both"/>
      </w:pPr>
    </w:p>
    <w:p w14:paraId="0CC6289E" w14:textId="77777777" w:rsidR="00F012AC" w:rsidRDefault="00DD296D">
      <w:pPr>
        <w:pStyle w:val="normal1"/>
        <w:jc w:val="both"/>
      </w:pPr>
      <w:r>
        <w:rPr>
          <w:b/>
          <w:bCs/>
        </w:rPr>
        <w:t>2.5.5 Otimização Bayesiana e Calibração de Limiares</w:t>
      </w:r>
    </w:p>
    <w:p w14:paraId="2910FF6E" w14:textId="77777777" w:rsidR="00F012AC" w:rsidRDefault="00DD296D">
      <w:pPr>
        <w:pStyle w:val="normal1"/>
        <w:jc w:val="both"/>
      </w:pPr>
      <w:r>
        <w:t xml:space="preserve">A busca pela arquitetura ideal de hiperparâmetros de cada especialista foi conduzida via otimização Bayesiana através do </w:t>
      </w:r>
      <w:r>
        <w:rPr>
          <w:i/>
          <w:iCs/>
        </w:rPr>
        <w:t>framework</w:t>
      </w:r>
      <w:r>
        <w:t xml:space="preserve"> Optuna, alocando os </w:t>
      </w:r>
      <w:r>
        <w:rPr>
          <w:i/>
          <w:iCs/>
        </w:rPr>
        <w:t>arrays</w:t>
      </w:r>
      <w:r>
        <w:t xml:space="preserve"> preditivos diretamente em memória de vídeo (VRAM) por meio da biblioteca CuPy para aceleração em GPU.</w:t>
      </w:r>
    </w:p>
    <w:p w14:paraId="0C23E420" w14:textId="77777777" w:rsidR="00F012AC" w:rsidRDefault="00DD296D">
      <w:pPr>
        <w:pStyle w:val="normal1"/>
        <w:jc w:val="both"/>
      </w:pPr>
      <w:r>
        <w:t>Concluída a otimização da árvore, o limiar de decisão probabilístico (padrão em 0.5) foi descartado e substituído por uma calibração dinâmica ancorada na missão estratégica de cada especialista.</w:t>
      </w:r>
    </w:p>
    <w:p w14:paraId="57F345D6" w14:textId="77777777" w:rsidR="00F012AC" w:rsidRDefault="00DD296D">
      <w:pPr>
        <w:pStyle w:val="normal1"/>
        <w:numPr>
          <w:ilvl w:val="0"/>
          <w:numId w:val="6"/>
        </w:numPr>
        <w:jc w:val="both"/>
      </w:pPr>
      <w:r>
        <w:rPr>
          <w:b/>
          <w:bCs/>
        </w:rPr>
        <w:t>Gatekeeper:</w:t>
      </w:r>
      <w:r>
        <w:t xml:space="preserve"> Otimizado buscando o ponto de equilíbrio de Recall arbitrado por um beta=2.0 (F2-Score).</w:t>
      </w:r>
    </w:p>
    <w:p w14:paraId="2ACB1502" w14:textId="77777777" w:rsidR="00F012AC" w:rsidRDefault="00DD296D">
      <w:pPr>
        <w:pStyle w:val="normal1"/>
        <w:numPr>
          <w:ilvl w:val="0"/>
          <w:numId w:val="6"/>
        </w:numPr>
        <w:jc w:val="both"/>
      </w:pPr>
      <w:r>
        <w:rPr>
          <w:b/>
          <w:bCs/>
        </w:rPr>
        <w:t>Great Filter:</w:t>
      </w:r>
      <w:r>
        <w:rPr>
          <w:rFonts w:ascii="Arial Unicode MS" w:eastAsia="Arial Unicode MS" w:hAnsi="Arial Unicode MS" w:cs="Arial Unicode MS"/>
        </w:rPr>
        <w:t xml:space="preserve"> Calibrado sob o rigor do beta=1.0 (F1-Score), atribuindo peso estatístico rigorosamente igual para a Precisão e o Recall na zona de transição B → C.</w:t>
      </w:r>
    </w:p>
    <w:p w14:paraId="4BF1C7A4" w14:textId="77777777" w:rsidR="00F012AC" w:rsidRDefault="00DD296D">
      <w:pPr>
        <w:pStyle w:val="normal1"/>
        <w:numPr>
          <w:ilvl w:val="0"/>
          <w:numId w:val="6"/>
        </w:numPr>
        <w:jc w:val="both"/>
      </w:pPr>
      <w:r>
        <w:rPr>
          <w:b/>
          <w:bCs/>
        </w:rPr>
        <w:t>Specialist 910:</w:t>
      </w:r>
      <w:r>
        <w:t xml:space="preserve"> Otimizado com beta=2.0 e com uma restrição severa na inflação de penalidades para as classes minoritárias (parâmetro</w:t>
      </w:r>
      <w:r>
        <w:rPr>
          <w:color w:val="000000"/>
        </w:rPr>
        <w:br/>
      </w:r>
      <w:r>
        <w:rPr>
          <w:rFonts w:ascii="Courier" w:eastAsia="Courier" w:hAnsi="Courier" w:cs="Courier"/>
          <w:shd w:val="clear" w:color="auto" w:fill="F4F4F4"/>
        </w:rPr>
        <w:t>scale_pos_weight</w:t>
      </w:r>
      <w:r>
        <w:t>estritamente contido entre 0.5 e 2.0 vezes a proporção de desbalanceamento). O modelo foca em isolar inequivocamente anomalias de inércia moderada (C) das severas (M/X).</w:t>
      </w:r>
    </w:p>
    <w:p w14:paraId="1584B739" w14:textId="77777777" w:rsidR="00F012AC" w:rsidRDefault="00DD296D">
      <w:pPr>
        <w:pStyle w:val="normal1"/>
        <w:numPr>
          <w:ilvl w:val="0"/>
          <w:numId w:val="6"/>
        </w:numPr>
        <w:jc w:val="both"/>
      </w:pPr>
      <w:r>
        <w:rPr>
          <w:b/>
          <w:bCs/>
        </w:rPr>
        <w:t>Specialist MX:</w:t>
      </w:r>
      <w:r>
        <w:t xml:space="preserve"> Implementado como um regressor puro (</w:t>
      </w:r>
      <w:r>
        <w:rPr>
          <w:color w:val="000000"/>
        </w:rPr>
        <w:br/>
      </w:r>
      <w:r>
        <w:rPr>
          <w:rFonts w:ascii="Courier" w:eastAsia="Courier" w:hAnsi="Courier" w:cs="Courier"/>
          <w:shd w:val="clear" w:color="auto" w:fill="F4F4F4"/>
        </w:rPr>
        <w:t>reg:squarederror</w:t>
      </w:r>
      <w:r>
        <w:t>) treinado para prever o logaritmo da magnitude do fluxo sob um hard cutoff físico de 10</w:t>
      </w:r>
      <w:r>
        <w:rPr>
          <w:vertAlign w:val="superscript"/>
        </w:rPr>
        <w:t>-4</w:t>
      </w:r>
      <w:r>
        <w:rPr>
          <w:rFonts w:ascii="Arial Unicode MS" w:eastAsia="Arial Unicode MS" w:hAnsi="Arial Unicode MS" w:cs="Arial Unicode MS"/>
        </w:rPr>
        <w:t xml:space="preserve"> W/m². Foi neste estágio profundo que ocorreu o colapso metodológico da abordagem inercial. Incapaz de observar as pré-condições físicas locais que disparam eventos extremos, o algoritmo convergiu para um comportamento análogo a um "modelo de persistência". Cego para transições abruptas de estado, o modelo apresentou métricas de Recall próximas a zero para deflagrações de Classe X, demonstrando que a abordagem "Efeito → Efeito" atinge um teto de aprendizado intransponível diante de eventos catastróficos.</w:t>
      </w:r>
    </w:p>
    <w:p w14:paraId="1F75B49D" w14:textId="77777777" w:rsidR="00F012AC" w:rsidRDefault="00F012AC">
      <w:pPr>
        <w:pStyle w:val="normal1"/>
        <w:spacing w:after="240"/>
        <w:jc w:val="both"/>
      </w:pPr>
    </w:p>
    <w:p w14:paraId="019EB9A4" w14:textId="77777777" w:rsidR="00F012AC" w:rsidRDefault="00DD296D">
      <w:pPr>
        <w:pStyle w:val="Heading3"/>
        <w:jc w:val="both"/>
      </w:pPr>
      <w:r>
        <w:t>2.6 Treinamento da Família Mag Regional</w:t>
      </w:r>
    </w:p>
    <w:p w14:paraId="41446A72" w14:textId="77777777" w:rsidR="00F012AC" w:rsidRDefault="00DD296D">
      <w:pPr>
        <w:pStyle w:val="normal1"/>
        <w:jc w:val="both"/>
      </w:pPr>
      <w:r>
        <w:rPr>
          <w:rFonts w:ascii="Arial Unicode MS" w:eastAsia="Arial Unicode MS" w:hAnsi="Arial Unicode MS" w:cs="Arial Unicode MS"/>
        </w:rPr>
        <w:t xml:space="preserve">A limitação observada na inércia radiativa impulsionou o desenvolvimento da Família Mag Regional, ancorada na filosofia oposta: a modelagem preditiva baseada em Causa → Efeito. Esta vertente foca na topologia física de regiões ativas isoladas, operando sob a premissa de que distorções no vetor de campo magnético e acúmulos de energia livre (Causa) são indicadores </w:t>
      </w:r>
      <w:r>
        <w:rPr>
          <w:rFonts w:ascii="Arial Unicode MS" w:eastAsia="Arial Unicode MS" w:hAnsi="Arial Unicode MS" w:cs="Arial Unicode MS"/>
        </w:rPr>
        <w:lastRenderedPageBreak/>
        <w:t>precisos das tempestades solares futuras (Efeito).</w:t>
      </w:r>
    </w:p>
    <w:p w14:paraId="78B47526" w14:textId="77777777" w:rsidR="00F012AC" w:rsidRDefault="00DD296D">
      <w:pPr>
        <w:pStyle w:val="normal1"/>
        <w:jc w:val="both"/>
      </w:pPr>
      <w:r>
        <w:t>A metodologia de treinamento preservou a esteira operacional estabelecida para a Família X-Ray (Seleção via Quick Scan, otimização com aceleração via CuPy e treinamento condicionado em cascata), aplicando os rigorosos ajustes espaço-temporais discutidos a seguir.</w:t>
      </w:r>
    </w:p>
    <w:p w14:paraId="3DFF2106" w14:textId="77777777" w:rsidR="00F012AC" w:rsidRDefault="00DD296D">
      <w:pPr>
        <w:pStyle w:val="normal1"/>
        <w:numPr>
          <w:ilvl w:val="0"/>
          <w:numId w:val="7"/>
        </w:numPr>
        <w:jc w:val="both"/>
      </w:pPr>
      <w:r>
        <w:rPr>
          <w:b/>
          <w:bCs/>
        </w:rPr>
        <w:t>Seleção Automática de Atributos (</w:t>
      </w:r>
      <w:r>
        <w:rPr>
          <w:b/>
          <w:bCs/>
          <w:i/>
          <w:iCs/>
        </w:rPr>
        <w:t>Quick Scan</w:t>
      </w:r>
      <w:r>
        <w:rPr>
          <w:b/>
          <w:bCs/>
        </w:rPr>
        <w:t>):</w:t>
      </w:r>
      <w:r>
        <w:t xml:space="preserve"> Assim como no domínio de raios-X, as matrizes topológicas regionais de alta dimensionalidade foram inicialmente submetidas ao crivo do </w:t>
      </w:r>
      <w:r>
        <w:rPr>
          <w:i/>
          <w:iCs/>
        </w:rPr>
        <w:t>Quick Scan</w:t>
      </w:r>
      <w:r>
        <w:t xml:space="preserve">. Retendo-se exclusivamente o subconjunto de </w:t>
      </w:r>
      <w:r>
        <w:rPr>
          <w:i/>
          <w:iCs/>
        </w:rPr>
        <w:t>features</w:t>
      </w:r>
      <w:r>
        <w:t xml:space="preserve"> responsável por 95% da importância cumulativa preditiva, garantiu-se a redução dimensional e a filtragem de ruído antes do treinamento definitivo.</w:t>
      </w:r>
    </w:p>
    <w:p w14:paraId="7FA2C482" w14:textId="77777777" w:rsidR="00F012AC" w:rsidRDefault="00DD296D">
      <w:pPr>
        <w:pStyle w:val="normal1"/>
        <w:numPr>
          <w:ilvl w:val="0"/>
          <w:numId w:val="7"/>
        </w:numPr>
        <w:jc w:val="both"/>
      </w:pPr>
      <w:r>
        <w:rPr>
          <w:b/>
          <w:bCs/>
        </w:rPr>
        <w:t>Otimização Bayesiana e Aceleração em GPU:</w:t>
      </w:r>
      <w:r>
        <w:t xml:space="preserve"> A busca pelos hiperparâmetros ideais seguiu conduzida pelo </w:t>
      </w:r>
      <w:r>
        <w:rPr>
          <w:i/>
          <w:iCs/>
        </w:rPr>
        <w:t>framework</w:t>
      </w:r>
      <w:r>
        <w:t xml:space="preserve"> Optuna, maximizando a métrica PR AUC no conjunto de validação sob processamento vetorial via CuPy.</w:t>
      </w:r>
    </w:p>
    <w:p w14:paraId="2259AD8F" w14:textId="77777777" w:rsidR="00F012AC" w:rsidRDefault="00DD296D">
      <w:pPr>
        <w:pStyle w:val="normal1"/>
        <w:numPr>
          <w:ilvl w:val="0"/>
          <w:numId w:val="7"/>
        </w:numPr>
        <w:jc w:val="both"/>
      </w:pPr>
      <w:r>
        <w:rPr>
          <w:b/>
          <w:bCs/>
        </w:rPr>
        <w:t>Treinamento Condicionado à Cascata:</w:t>
      </w:r>
      <w:r>
        <w:t xml:space="preserve"> Os modelos mais profundos continuaram a ser treinados sobre os resíduos (sinal + falsos positivos) aprovados pelos modelos antecessores.</w:t>
      </w:r>
    </w:p>
    <w:p w14:paraId="65640404" w14:textId="77777777" w:rsidR="00F012AC" w:rsidRDefault="00DD296D">
      <w:pPr>
        <w:pStyle w:val="normal1"/>
        <w:jc w:val="both"/>
      </w:pPr>
      <w:r>
        <w:t>Contudo, a transição de um domínio de dados globais e unidimensionais (raios-X) para matrizes que descrevem a complexidade topológica tridimensional de regiões ativas isoladas exigiu adaptações arquiteturais estritas no tratamento e balanceamento dos dados, conforme detalhado a seguir.</w:t>
      </w:r>
    </w:p>
    <w:p w14:paraId="48FAE8B7" w14:textId="77777777" w:rsidR="00F012AC" w:rsidRDefault="00F012AC">
      <w:pPr>
        <w:pStyle w:val="normal1"/>
        <w:jc w:val="both"/>
      </w:pPr>
    </w:p>
    <w:p w14:paraId="5CBE9776" w14:textId="77777777" w:rsidR="00F012AC" w:rsidRDefault="00DD296D">
      <w:pPr>
        <w:pStyle w:val="normal1"/>
        <w:jc w:val="both"/>
      </w:pPr>
      <w:r>
        <w:rPr>
          <w:b/>
          <w:bCs/>
        </w:rPr>
        <w:t>2.6.1 Particionamento Espaço-Temporal (</w:t>
      </w:r>
      <w:r>
        <w:rPr>
          <w:b/>
          <w:bCs/>
          <w:i/>
          <w:iCs/>
        </w:rPr>
        <w:t>Group-Based Split</w:t>
      </w:r>
      <w:r>
        <w:rPr>
          <w:b/>
          <w:bCs/>
        </w:rPr>
        <w:t>)</w:t>
      </w:r>
    </w:p>
    <w:p w14:paraId="16C561B0" w14:textId="77777777" w:rsidR="00F012AC" w:rsidRDefault="00F012AC">
      <w:pPr>
        <w:pStyle w:val="normal1"/>
        <w:jc w:val="both"/>
        <w:rPr>
          <w:b/>
          <w:bCs/>
        </w:rPr>
      </w:pPr>
    </w:p>
    <w:p w14:paraId="2D414BEB" w14:textId="77777777" w:rsidR="00F012AC" w:rsidRDefault="00DD296D">
      <w:pPr>
        <w:pStyle w:val="normal1"/>
        <w:jc w:val="both"/>
      </w:pPr>
      <w:r>
        <w:t>A aplicação do particionamento cronológico simples, utilizado na Família X-Ray, é inadequada para dados regionais. Dividir a linha do tempo de forma cega poderia fragmentar o histórico de vida de uma mesma mancha solar, alocando os primeiros dias de sua evolução no conjunto de treinamento e seus dias finais no conjunto de teste. Esse particionamento fragmentado geraria um grave vazamento de dados espaciais (</w:t>
      </w:r>
      <w:r>
        <w:rPr>
          <w:i/>
          <w:iCs/>
        </w:rPr>
        <w:t>Spatial Data Leakage</w:t>
      </w:r>
      <w:r>
        <w:t>), permitindo que o modelo memorizasse a assinatura magnética idiossincrática daquela mancha específica em vez de generalizar as leis da física solar.</w:t>
      </w:r>
    </w:p>
    <w:p w14:paraId="3D0A4BF1" w14:textId="77777777" w:rsidR="00F012AC" w:rsidRDefault="00DD296D">
      <w:pPr>
        <w:pStyle w:val="normal1"/>
        <w:jc w:val="both"/>
      </w:pPr>
      <w:r>
        <w:t xml:space="preserve">Para assegurar o rigor do isolamento </w:t>
      </w:r>
      <w:r>
        <w:rPr>
          <w:i/>
          <w:iCs/>
        </w:rPr>
        <w:t>Out-of-Sample</w:t>
      </w:r>
      <w:r>
        <w:t>, adotou-se o método de Particionamento Cronológico Agrupado (</w:t>
      </w:r>
      <w:r>
        <w:rPr>
          <w:i/>
          <w:iCs/>
        </w:rPr>
        <w:t>Group-Based Chronological Split</w:t>
      </w:r>
      <w:r>
        <w:t>). O algoritmo agrupou as amostras pelo identificador único da região magnética (</w:t>
      </w:r>
      <w:r>
        <w:rPr>
          <w:rFonts w:ascii="Courier" w:eastAsia="Courier" w:hAnsi="Courier" w:cs="Courier"/>
          <w:shd w:val="clear" w:color="auto" w:fill="F4F4F4"/>
        </w:rPr>
        <w:t xml:space="preserve">REGION_ID </w:t>
      </w:r>
      <w:r>
        <w:t>/ HARP) e baseou a divisão cronológica estritamente no ano de "nascimento" (primeira observação) de cada região. Dessa forma, garantiu-se que toda a evolução temporal de uma dada mancha solar ficasse confinada a um único subconjunto (Treino, Validação ou Teste), dispensando a necessidade de expurgos de lacunas temporais.</w:t>
      </w:r>
    </w:p>
    <w:p w14:paraId="4F1020A9" w14:textId="77777777" w:rsidR="00F012AC" w:rsidRDefault="00F012AC">
      <w:pPr>
        <w:pStyle w:val="normal1"/>
        <w:jc w:val="both"/>
      </w:pPr>
    </w:p>
    <w:p w14:paraId="38C1D181" w14:textId="77777777" w:rsidR="00F012AC" w:rsidRDefault="00DD296D">
      <w:pPr>
        <w:pStyle w:val="normal1"/>
        <w:jc w:val="both"/>
      </w:pPr>
      <w:r>
        <w:rPr>
          <w:b/>
          <w:bCs/>
        </w:rPr>
        <w:t xml:space="preserve">2.6.2 A Incompatibilidade do </w:t>
      </w:r>
      <w:r>
        <w:rPr>
          <w:b/>
          <w:bCs/>
          <w:i/>
          <w:iCs/>
        </w:rPr>
        <w:t>Soft Buffer</w:t>
      </w:r>
      <w:r>
        <w:rPr>
          <w:b/>
          <w:bCs/>
        </w:rPr>
        <w:t xml:space="preserve"> com a Topologia Magnética</w:t>
      </w:r>
    </w:p>
    <w:p w14:paraId="7E8F2118" w14:textId="77777777" w:rsidR="00F012AC" w:rsidRDefault="00F012AC">
      <w:pPr>
        <w:pStyle w:val="normal1"/>
        <w:jc w:val="both"/>
        <w:rPr>
          <w:b/>
          <w:bCs/>
        </w:rPr>
      </w:pPr>
    </w:p>
    <w:p w14:paraId="53F590C0" w14:textId="77777777" w:rsidR="00F012AC" w:rsidRDefault="00DD296D">
      <w:pPr>
        <w:pStyle w:val="normal1"/>
        <w:jc w:val="both"/>
      </w:pPr>
      <w:r>
        <w:t xml:space="preserve">Durante a experimentação do </w:t>
      </w:r>
      <w:r>
        <w:rPr>
          <w:i/>
          <w:iCs/>
        </w:rPr>
        <w:t>Great Filter</w:t>
      </w:r>
      <w:r>
        <w:t xml:space="preserve"> regional, constatou-se empiricamente uma incompatibilidade entre a técnica de </w:t>
      </w:r>
      <w:r>
        <w:rPr>
          <w:i/>
          <w:iCs/>
        </w:rPr>
        <w:t>Soft Buffer Training</w:t>
      </w:r>
      <w:r>
        <w:t xml:space="preserve"> (Seção 2.5.4) e as propriedades extensivas e intensivas do campo magnético. Ao aplicar um fator de amortecimento de 0.2 nas instâncias limítrofes entre calmaria e alerta, o desempenho do classificador sofreu um colapso matemático, com a métrica de </w:t>
      </w:r>
      <w:r>
        <w:rPr>
          <w:i/>
          <w:iCs/>
        </w:rPr>
        <w:t>True Skill Statistic</w:t>
      </w:r>
      <w:r>
        <w:t xml:space="preserve"> (TSS) despencando de 0.51 para 0.15.</w:t>
      </w:r>
    </w:p>
    <w:p w14:paraId="0EBEF97C" w14:textId="77777777" w:rsidR="00F012AC" w:rsidRDefault="00DD296D">
      <w:pPr>
        <w:pStyle w:val="normal1"/>
        <w:jc w:val="both"/>
      </w:pPr>
      <w:r>
        <w:t>Esse fenômeno é justificado pela diferença na natureza do dado. Enquanto o fluxo radiativo de raios-X apenas quantifica o efeito final de uma explosão, as métricas magnéticas (como energia livre, densidade de helicidade e cisalhamento) mapeiam as pré-condições de instabilidade (</w:t>
      </w:r>
      <w:r>
        <w:rPr>
          <w:i/>
          <w:iCs/>
        </w:rPr>
        <w:t>causa</w:t>
      </w:r>
      <w:r>
        <w:t>). A transição de um estado topológico estável para um estado eruptivo é um processo altamente não-linear. Ao amortecer os pesos matemáticos exatamente na "zona cinzenta" da transição magnética, o modelo era impedido de mapear a fronteira crítica que determina o gatilho (</w:t>
      </w:r>
      <w:r>
        <w:rPr>
          <w:i/>
          <w:iCs/>
        </w:rPr>
        <w:t>onset</w:t>
      </w:r>
      <w:r>
        <w:t xml:space="preserve">) de uma explosão. Consequentemente, o </w:t>
      </w:r>
      <w:r>
        <w:rPr>
          <w:i/>
          <w:iCs/>
        </w:rPr>
        <w:t>Soft Buffer</w:t>
      </w:r>
      <w:r>
        <w:t xml:space="preserve"> foi desativado para o treinamento </w:t>
      </w:r>
      <w:r>
        <w:lastRenderedPageBreak/>
        <w:t>fundamentado em magnetogramas, submetendo os modelos à atenção plena (peso 1.0) sobre todas as instâncias limítrofes.</w:t>
      </w:r>
    </w:p>
    <w:p w14:paraId="4F75B475" w14:textId="77777777" w:rsidR="00F012AC" w:rsidRDefault="00F012AC">
      <w:pPr>
        <w:pStyle w:val="normal1"/>
        <w:jc w:val="both"/>
      </w:pPr>
    </w:p>
    <w:p w14:paraId="7198BEFF" w14:textId="77777777" w:rsidR="00F012AC" w:rsidRDefault="00DD296D">
      <w:pPr>
        <w:pStyle w:val="normal1"/>
        <w:jc w:val="both"/>
      </w:pPr>
      <w:r>
        <w:rPr>
          <w:b/>
          <w:bCs/>
        </w:rPr>
        <w:t>2.6.3 Otimização Bayesiana e Calibração de Limiares</w:t>
      </w:r>
    </w:p>
    <w:p w14:paraId="0BE43C51" w14:textId="77777777" w:rsidR="00F012AC" w:rsidRDefault="00DD296D">
      <w:pPr>
        <w:pStyle w:val="normal1"/>
        <w:jc w:val="both"/>
      </w:pPr>
      <w:r>
        <w:t>A busca pelos hiperparâmetros e limiares de decisão ideais para cada especialista da Família Mag Regional foi conduzida de maneira semelhante ao da Família Xray Global, detalhada da seção 2.5.5.</w:t>
      </w:r>
    </w:p>
    <w:p w14:paraId="4DEAB6AF" w14:textId="77777777" w:rsidR="00F012AC" w:rsidRDefault="00DD296D">
      <w:pPr>
        <w:pStyle w:val="normal1"/>
        <w:numPr>
          <w:ilvl w:val="0"/>
          <w:numId w:val="8"/>
        </w:numPr>
        <w:jc w:val="both"/>
      </w:pPr>
      <w:r>
        <w:rPr>
          <w:b/>
          <w:bCs/>
        </w:rPr>
        <w:t>Gatekeeper:</w:t>
      </w:r>
      <w:r>
        <w:t xml:space="preserve"> O espaço de busca algorítmica para o balanceamento de classes foi delimitado entre 0.5 e 2.0 vezes a proporção natural de desbalanceamento do conjunto de treinamento. O limiar de decisão probabilístico foi estabelecido exigindo um </w:t>
      </w:r>
      <w:r>
        <w:rPr>
          <w:i/>
          <w:iCs/>
        </w:rPr>
        <w:t>Recall</w:t>
      </w:r>
      <w:r>
        <w:t xml:space="preserve"> alvo fixado em 95%, porém arbitrado matematicamente por um F2-Score (</w:t>
      </w:r>
      <w:r>
        <w:rPr>
          <w:color w:val="000000"/>
        </w:rPr>
        <w:br/>
      </w:r>
      <w:r>
        <w:rPr>
          <w:rFonts w:ascii="Courier" w:eastAsia="Courier" w:hAnsi="Courier" w:cs="Courier"/>
          <w:shd w:val="clear" w:color="auto" w:fill="F4F4F4"/>
        </w:rPr>
        <w:t>beta=2.0</w:t>
      </w:r>
      <w:r>
        <w:t>). Esta limitação forçou o modelo a suprimir calmarias inofensivas precocemente, rejeitando o comportamento de hiper-sensibilidade.</w:t>
      </w:r>
    </w:p>
    <w:p w14:paraId="406F2773" w14:textId="77777777" w:rsidR="00F012AC" w:rsidRDefault="00DD296D">
      <w:pPr>
        <w:pStyle w:val="normal1"/>
        <w:numPr>
          <w:ilvl w:val="0"/>
          <w:numId w:val="8"/>
        </w:numPr>
        <w:jc w:val="both"/>
      </w:pPr>
      <w:r>
        <w:rPr>
          <w:b/>
          <w:bCs/>
        </w:rPr>
        <w:t>Great Filter:</w:t>
      </w:r>
      <w:r>
        <w:t xml:space="preserve"> Mantendo o espaço de penalidade Bayesiana entre 0.5 e 2.0 vezes a proporção original de desbalanceamento. Sem a especificação de um Recall alvo, o algoritmo buscou a fronteira de decisão natural que maximiza o equilíbrio.</w:t>
      </w:r>
    </w:p>
    <w:p w14:paraId="03493262" w14:textId="77777777" w:rsidR="00F012AC" w:rsidRDefault="00DD296D">
      <w:pPr>
        <w:pStyle w:val="normal1"/>
        <w:numPr>
          <w:ilvl w:val="0"/>
          <w:numId w:val="8"/>
        </w:numPr>
        <w:jc w:val="both"/>
      </w:pPr>
      <w:r>
        <w:rPr>
          <w:b/>
          <w:bCs/>
        </w:rPr>
        <w:t>Specialist 910:</w:t>
      </w:r>
      <w:r>
        <w:t xml:space="preserve"> Estruturado para atuar como o elemento cético da rede, a sobreposição das instâncias de Falsos Positivos da Classe C foi controlada limitando a penalidade do otimizador Bayesiano a um intervalo entre 1.0 e 2.5 vezes o fator de desbalanceamento. A calibração final adotou um F1.5-Score (</w:t>
      </w:r>
      <w:r>
        <w:rPr>
          <w:color w:val="000000"/>
        </w:rPr>
        <w:br/>
      </w:r>
      <w:r>
        <w:rPr>
          <w:rFonts w:ascii="Courier" w:eastAsia="Courier" w:hAnsi="Courier" w:cs="Courier"/>
          <w:shd w:val="clear" w:color="auto" w:fill="F4F4F4"/>
        </w:rPr>
        <w:t>beta=1.5</w:t>
      </w:r>
      <w:r>
        <w:t>) isento de restrições prévias de retenção, penalizando o alarmismo e exigindo assinaturas topológicas inequivocamente eruptivas para o acionamento preditivo de ameaças severas.</w:t>
      </w:r>
    </w:p>
    <w:p w14:paraId="2A1E97A5" w14:textId="77777777" w:rsidR="00F012AC" w:rsidRDefault="00DD296D">
      <w:pPr>
        <w:pStyle w:val="normal1"/>
        <w:numPr>
          <w:ilvl w:val="0"/>
          <w:numId w:val="8"/>
        </w:numPr>
        <w:jc w:val="both"/>
      </w:pPr>
      <w:r>
        <w:rPr>
          <w:b/>
          <w:bCs/>
        </w:rPr>
        <w:t>Specialist MX:</w:t>
      </w:r>
      <w:r>
        <w:t xml:space="preserve"> Implementado integralmente sob o objetivo de regressão contínua (</w:t>
      </w:r>
      <w:r>
        <w:rPr>
          <w:rFonts w:ascii="Courier" w:eastAsia="Courier" w:hAnsi="Courier" w:cs="Courier"/>
          <w:shd w:val="clear" w:color="auto" w:fill="F4F4F4"/>
        </w:rPr>
        <w:t>reg:squarederror</w:t>
      </w:r>
      <w:r>
        <w:t xml:space="preserve">) minimizando a métrica RMSE para prever as flutuações extremas do fluxo. Para viabilizar a rastreabilidade avaliativa do otimizador no espaço de classificação da cascata (PR-AUC), as predições de validação foram convertidas dinamicamente por meio de uma função de pseudo-probabilidade logística ancorada na física matemática do fenômeno radiativo (k=10, com ponto de inflexão em -4.0). O limite de alerta catastrófico final, isento de calibração estatística flexível, foi imposto através de um </w:t>
      </w:r>
      <w:r>
        <w:rPr>
          <w:i/>
          <w:iCs/>
        </w:rPr>
        <w:t>hard cutoff</w:t>
      </w:r>
      <w:r>
        <w:t xml:space="preserve"> fixado na lei radiativa em 10</w:t>
      </w:r>
      <w:r>
        <w:rPr>
          <w:vertAlign w:val="superscript"/>
        </w:rPr>
        <w:t>-4</w:t>
      </w:r>
      <w:r>
        <w:t xml:space="preserve"> W/m².</w:t>
      </w:r>
    </w:p>
    <w:p w14:paraId="72AC57B4" w14:textId="77777777" w:rsidR="00F012AC" w:rsidRDefault="00F012AC">
      <w:pPr>
        <w:pStyle w:val="normal1"/>
        <w:spacing w:after="240"/>
        <w:jc w:val="both"/>
      </w:pPr>
    </w:p>
    <w:p w14:paraId="58AD7F2A" w14:textId="77777777" w:rsidR="00F012AC" w:rsidRDefault="00DD296D">
      <w:pPr>
        <w:pStyle w:val="Heading3"/>
        <w:jc w:val="both"/>
      </w:pPr>
      <w:r>
        <w:t>2.7 Integração e Tomada de Decisão (</w:t>
      </w:r>
      <w:r>
        <w:rPr>
          <w:i/>
          <w:iCs/>
        </w:rPr>
        <w:t>Meta Model</w:t>
      </w:r>
      <w:r>
        <w:t>)</w:t>
      </w:r>
    </w:p>
    <w:p w14:paraId="12F441F5" w14:textId="77777777" w:rsidR="00F012AC" w:rsidRDefault="00DD296D">
      <w:pPr>
        <w:pStyle w:val="normal1"/>
        <w:jc w:val="both"/>
      </w:pPr>
      <w:r>
        <w:t>O objetivo derradeiro da pesquisa era investigar a eficácia de um sistema de arbitragem que consumisse as predições emitidas pela análise de índices preditivos de raios-X combinadas a índices preditivos de magnetogramas, para proferir um veredito integrado.</w:t>
      </w:r>
    </w:p>
    <w:p w14:paraId="3F93035C" w14:textId="77777777" w:rsidR="00F012AC" w:rsidRDefault="00F012AC">
      <w:pPr>
        <w:pStyle w:val="normal1"/>
        <w:jc w:val="both"/>
      </w:pPr>
    </w:p>
    <w:p w14:paraId="05F4B279" w14:textId="77777777" w:rsidR="00F012AC" w:rsidRDefault="00DD296D">
      <w:pPr>
        <w:pStyle w:val="normal1"/>
        <w:jc w:val="both"/>
        <w:rPr>
          <w:b/>
          <w:bCs/>
        </w:rPr>
      </w:pPr>
      <w:r>
        <w:rPr>
          <w:b/>
          <w:bCs/>
        </w:rPr>
        <w:t>2.7.1 Adaptação Permissiva dos Especialistas (Rede de Conselheiros)</w:t>
      </w:r>
    </w:p>
    <w:p w14:paraId="176F7B77" w14:textId="77777777" w:rsidR="00F012AC" w:rsidRDefault="00F012AC">
      <w:pPr>
        <w:pStyle w:val="normal1"/>
        <w:jc w:val="both"/>
        <w:rPr>
          <w:b/>
          <w:bCs/>
        </w:rPr>
      </w:pPr>
    </w:p>
    <w:p w14:paraId="2AE03DDA" w14:textId="77777777" w:rsidR="00F012AC" w:rsidRDefault="00DD296D">
      <w:pPr>
        <w:pStyle w:val="normal1"/>
        <w:jc w:val="both"/>
      </w:pPr>
      <w:r>
        <w:t xml:space="preserve">Para que o </w:t>
      </w:r>
      <w:r>
        <w:rPr>
          <w:i/>
          <w:iCs/>
        </w:rPr>
        <w:t>Meta Model</w:t>
      </w:r>
      <w:r>
        <w:t xml:space="preserve"> pudesse atuar plenamente como juiz da arquitetura combinada, exigiu-se a distorção intencional do comportamento individual das famílias base. Quando treinadas para alimentar a integração, a autonomia dos modelos (descrita nas subseções 2.5.5 e 2.6.3) foi substituída por uma calibração orientada ao metamodel. O objetivo prático foi transformar os classificadores em "conselheiros", encarregando o </w:t>
      </w:r>
      <w:r>
        <w:rPr>
          <w:i/>
          <w:iCs/>
        </w:rPr>
        <w:t>Metamodel</w:t>
      </w:r>
      <w:r>
        <w:t xml:space="preserve"> de tomar decisões.</w:t>
      </w:r>
    </w:p>
    <w:p w14:paraId="77B1A1D1" w14:textId="77777777" w:rsidR="00F012AC" w:rsidRDefault="00F012AC">
      <w:pPr>
        <w:pStyle w:val="normal1"/>
        <w:jc w:val="both"/>
      </w:pPr>
    </w:p>
    <w:p w14:paraId="7499D605" w14:textId="77777777" w:rsidR="00F012AC" w:rsidRDefault="00DD296D">
      <w:pPr>
        <w:pStyle w:val="normal1"/>
        <w:jc w:val="both"/>
      </w:pPr>
      <w:r>
        <w:rPr>
          <w:b/>
          <w:bCs/>
        </w:rPr>
        <w:t>I. Adaptações na Família Global X-Ray</w:t>
      </w:r>
    </w:p>
    <w:p w14:paraId="4CB46AD6" w14:textId="77777777" w:rsidR="00F012AC" w:rsidRDefault="00DD296D">
      <w:pPr>
        <w:pStyle w:val="normal1"/>
        <w:numPr>
          <w:ilvl w:val="0"/>
          <w:numId w:val="9"/>
        </w:numPr>
        <w:jc w:val="both"/>
      </w:pPr>
      <w:r>
        <w:rPr>
          <w:b/>
          <w:bCs/>
        </w:rPr>
        <w:t>Gatekeeper:</w:t>
      </w:r>
      <w:r>
        <w:t xml:space="preserve"> O limiar foi rebaixado e ancorado em um </w:t>
      </w:r>
      <w:r>
        <w:rPr>
          <w:rFonts w:ascii="Courier" w:eastAsia="Courier" w:hAnsi="Courier" w:cs="Courier"/>
          <w:shd w:val="clear" w:color="auto" w:fill="F4F4F4"/>
        </w:rPr>
        <w:t xml:space="preserve">beta=4.0 </w:t>
      </w:r>
      <w:r>
        <w:t xml:space="preserve">com </w:t>
      </w:r>
      <w:r>
        <w:rPr>
          <w:i/>
          <w:iCs/>
        </w:rPr>
        <w:t>Recall</w:t>
      </w:r>
      <w:r>
        <w:t xml:space="preserve"> forçado a 99%.</w:t>
      </w:r>
    </w:p>
    <w:p w14:paraId="407378AC" w14:textId="77777777" w:rsidR="00F012AC" w:rsidRDefault="00DD296D">
      <w:pPr>
        <w:pStyle w:val="normal1"/>
        <w:numPr>
          <w:ilvl w:val="0"/>
          <w:numId w:val="9"/>
        </w:numPr>
        <w:jc w:val="both"/>
      </w:pPr>
      <w:r>
        <w:rPr>
          <w:b/>
          <w:bCs/>
        </w:rPr>
        <w:lastRenderedPageBreak/>
        <w:t>Great Filter:</w:t>
      </w:r>
      <w:r>
        <w:t xml:space="preserve"> O otimizador Bayesiano recebeu autorização para inflar pesadamente as classes minoritárias (o </w:t>
      </w:r>
      <w:r>
        <w:rPr>
          <w:rFonts w:ascii="Courier" w:eastAsia="Courier" w:hAnsi="Courier" w:cs="Courier"/>
          <w:shd w:val="clear" w:color="auto" w:fill="F4F4F4"/>
        </w:rPr>
        <w:t xml:space="preserve">scale_pos_weight </w:t>
      </w:r>
      <w:r>
        <w:t xml:space="preserve">foi expandido para um teto de até 3.0 vezes a proporção de desbalanceamento), visando compensar a mudança de covariável. O limite foi ajustado a um </w:t>
      </w:r>
      <w:r>
        <w:rPr>
          <w:i/>
          <w:iCs/>
        </w:rPr>
        <w:t>Recall</w:t>
      </w:r>
      <w:r>
        <w:t xml:space="preserve"> alvo de 95% via</w:t>
      </w:r>
      <w:r>
        <w:rPr>
          <w:color w:val="000000"/>
        </w:rPr>
        <w:t xml:space="preserve"> </w:t>
      </w:r>
      <w:r>
        <w:rPr>
          <w:rFonts w:ascii="Courier" w:eastAsia="Courier" w:hAnsi="Courier" w:cs="Courier"/>
          <w:shd w:val="clear" w:color="auto" w:fill="F4F4F4"/>
        </w:rPr>
        <w:t>beta=1.5</w:t>
      </w:r>
      <w:r>
        <w:t>.</w:t>
      </w:r>
    </w:p>
    <w:p w14:paraId="28E92BAA" w14:textId="77777777" w:rsidR="00F012AC" w:rsidRDefault="00DD296D">
      <w:pPr>
        <w:pStyle w:val="normal1"/>
        <w:numPr>
          <w:ilvl w:val="0"/>
          <w:numId w:val="9"/>
        </w:numPr>
        <w:jc w:val="both"/>
      </w:pPr>
      <w:r>
        <w:rPr>
          <w:b/>
          <w:bCs/>
        </w:rPr>
        <w:t>Specialist 910:</w:t>
      </w:r>
      <w:r>
        <w:t xml:space="preserve"> Para forçar a inércia a apontar riscos severos, o espaço de busca sofreu hiperinflação algorítmica. O </w:t>
      </w:r>
      <w:r>
        <w:rPr>
          <w:rFonts w:ascii="Courier" w:eastAsia="Courier" w:hAnsi="Courier" w:cs="Courier"/>
          <w:shd w:val="clear" w:color="auto" w:fill="F4F4F4"/>
        </w:rPr>
        <w:t xml:space="preserve">scale_pos_weight </w:t>
      </w:r>
      <w:r>
        <w:t>operou no extremo de 2.0 a 6.0 vezes o desbalanceamento natural. Calibrado por um F4-Score (</w:t>
      </w:r>
      <w:r>
        <w:rPr>
          <w:rFonts w:ascii="Courier" w:eastAsia="Courier" w:hAnsi="Courier" w:cs="Courier"/>
          <w:shd w:val="clear" w:color="auto" w:fill="F4F4F4"/>
        </w:rPr>
        <w:t>beta=4.0</w:t>
      </w:r>
      <w:r>
        <w:t xml:space="preserve">) e </w:t>
      </w:r>
      <w:r>
        <w:rPr>
          <w:i/>
          <w:iCs/>
        </w:rPr>
        <w:t>Recall</w:t>
      </w:r>
      <w:r>
        <w:t xml:space="preserve"> forçado em 95%, o modelo foi treinado para assumir postura marcadamente alarmista, disparando probabilidade de risco extremo perante perturbações medianas.</w:t>
      </w:r>
    </w:p>
    <w:p w14:paraId="143CCFAF" w14:textId="77777777" w:rsidR="00F012AC" w:rsidRDefault="00F012AC">
      <w:pPr>
        <w:pStyle w:val="normal1"/>
        <w:ind w:left="600"/>
        <w:jc w:val="both"/>
      </w:pPr>
    </w:p>
    <w:p w14:paraId="7BF82584" w14:textId="77777777" w:rsidR="00F012AC" w:rsidRDefault="00DD296D">
      <w:pPr>
        <w:pStyle w:val="normal1"/>
        <w:jc w:val="both"/>
      </w:pPr>
      <w:r>
        <w:rPr>
          <w:b/>
          <w:bCs/>
        </w:rPr>
        <w:t>II. Adaptações na Família Mag Regional (O Ceticismo)</w:t>
      </w:r>
    </w:p>
    <w:p w14:paraId="79C43AF3" w14:textId="77777777" w:rsidR="00F012AC" w:rsidRDefault="00DD296D">
      <w:pPr>
        <w:pStyle w:val="normal1"/>
        <w:numPr>
          <w:ilvl w:val="0"/>
          <w:numId w:val="10"/>
        </w:numPr>
        <w:jc w:val="both"/>
      </w:pPr>
      <w:r>
        <w:rPr>
          <w:b/>
          <w:bCs/>
        </w:rPr>
        <w:t>Gatekeeper:</w:t>
      </w:r>
      <w:r>
        <w:t xml:space="preserve"> Analogamente à família global, assumiu hiper-sensibilidade com</w:t>
      </w:r>
      <w:r>
        <w:rPr>
          <w:color w:val="000000"/>
        </w:rPr>
        <w:br/>
      </w:r>
      <w:r>
        <w:rPr>
          <w:rFonts w:ascii="Courier" w:eastAsia="Courier" w:hAnsi="Courier" w:cs="Courier"/>
          <w:shd w:val="clear" w:color="auto" w:fill="F4F4F4"/>
        </w:rPr>
        <w:t>beta=4.0</w:t>
      </w:r>
      <w:r>
        <w:t xml:space="preserve">e </w:t>
      </w:r>
      <w:r>
        <w:rPr>
          <w:i/>
          <w:iCs/>
        </w:rPr>
        <w:t>Recall</w:t>
      </w:r>
      <w:r>
        <w:t xml:space="preserve"> de 99%, permitindo o avanço de topologias magnéticas de transição.</w:t>
      </w:r>
    </w:p>
    <w:p w14:paraId="7816822C" w14:textId="77777777" w:rsidR="00F012AC" w:rsidRDefault="00DD296D">
      <w:pPr>
        <w:pStyle w:val="normal1"/>
        <w:numPr>
          <w:ilvl w:val="0"/>
          <w:numId w:val="10"/>
        </w:numPr>
        <w:jc w:val="both"/>
      </w:pPr>
      <w:r>
        <w:rPr>
          <w:b/>
          <w:bCs/>
        </w:rPr>
        <w:t>Great Filter:</w:t>
      </w:r>
      <w:r>
        <w:t xml:space="preserve"> Otimizado com espaço conservador (0.5 a 2.0), mantendo a busca do equilíbrio natural sem fixar métricas de </w:t>
      </w:r>
      <w:r>
        <w:rPr>
          <w:i/>
          <w:iCs/>
        </w:rPr>
        <w:t>Recall</w:t>
      </w:r>
      <w:r>
        <w:t>.</w:t>
      </w:r>
    </w:p>
    <w:p w14:paraId="128CC29B" w14:textId="77777777" w:rsidR="00F012AC" w:rsidRDefault="00DD296D">
      <w:pPr>
        <w:pStyle w:val="normal1"/>
        <w:numPr>
          <w:ilvl w:val="0"/>
          <w:numId w:val="10"/>
        </w:numPr>
        <w:jc w:val="both"/>
      </w:pPr>
      <w:r>
        <w:rPr>
          <w:b/>
          <w:bCs/>
        </w:rPr>
        <w:t>Specialist 910:</w:t>
      </w:r>
      <w:r>
        <w:t xml:space="preserve"> Posicionado diametralmente em relação ao modelo global equivalente. Seu espaço de busca Bayesiana para o balanceamento de classes minoritárias foi rebaixado para o intervalo entre 0.5 e 1.5, atuando sob uma calibração puramente matemática sem subordinação ao </w:t>
      </w:r>
      <w:r>
        <w:rPr>
          <w:i/>
          <w:iCs/>
        </w:rPr>
        <w:t>Recall</w:t>
      </w:r>
      <w:r>
        <w:t>. A missão topológica não era capturar todos os eventos, mas agir como a restrição cética da rede diante do alarmismo inercial da Família I.</w:t>
      </w:r>
    </w:p>
    <w:p w14:paraId="3D126816" w14:textId="77777777" w:rsidR="00F012AC" w:rsidRDefault="00DD296D">
      <w:pPr>
        <w:pStyle w:val="normal1"/>
        <w:jc w:val="both"/>
        <w:rPr>
          <w:b/>
          <w:bCs/>
        </w:rPr>
      </w:pPr>
      <w:r>
        <w:rPr>
          <w:b/>
          <w:bCs/>
        </w:rPr>
        <w:t>2.7.2 Alinhamento Espaço-Temporal e Matriz de Inteligência</w:t>
      </w:r>
    </w:p>
    <w:p w14:paraId="062FDB2E" w14:textId="77777777" w:rsidR="00F012AC" w:rsidRDefault="00F012AC">
      <w:pPr>
        <w:pStyle w:val="normal1"/>
        <w:jc w:val="both"/>
        <w:rPr>
          <w:b/>
          <w:bCs/>
        </w:rPr>
      </w:pPr>
    </w:p>
    <w:p w14:paraId="74F81640" w14:textId="77777777" w:rsidR="00F012AC" w:rsidRDefault="00DD296D">
      <w:pPr>
        <w:pStyle w:val="normal1"/>
        <w:jc w:val="both"/>
      </w:pPr>
      <w:r>
        <w:t>A matriz de meta-treinamento foi construída por intersecção cronológica (</w:t>
      </w:r>
      <w:r>
        <w:rPr>
          <w:rFonts w:ascii="Courier" w:eastAsia="Courier" w:hAnsi="Courier" w:cs="Courier"/>
          <w:shd w:val="clear" w:color="auto" w:fill="F4F4F4"/>
        </w:rPr>
        <w:t xml:space="preserve">T_REC_round </w:t>
      </w:r>
      <w:r>
        <w:t xml:space="preserve">regional associado ao </w:t>
      </w:r>
      <w:r>
        <w:rPr>
          <w:rFonts w:ascii="Courier" w:eastAsia="Courier" w:hAnsi="Courier" w:cs="Courier"/>
          <w:shd w:val="clear" w:color="auto" w:fill="F4F4F4"/>
        </w:rPr>
        <w:t xml:space="preserve">time </w:t>
      </w:r>
      <w:r>
        <w:t xml:space="preserve">global). O vetor de inteligência englobou as opiniões logísticas (pseudo-probabilidades do </w:t>
      </w:r>
      <w:r>
        <w:rPr>
          <w:rFonts w:ascii="Courier" w:eastAsia="Courier" w:hAnsi="Courier" w:cs="Courier"/>
          <w:shd w:val="clear" w:color="auto" w:fill="F4F4F4"/>
        </w:rPr>
        <w:t>predict_proba</w:t>
      </w:r>
      <w:r>
        <w:t>) das cascatas conselheiras, combinadas com o contexto situacional macroscópico (</w:t>
      </w:r>
      <w:r>
        <w:rPr>
          <w:rFonts w:ascii="Courier" w:eastAsia="Courier" w:hAnsi="Courier" w:cs="Courier"/>
          <w:shd w:val="clear" w:color="auto" w:fill="F4F4F4"/>
        </w:rPr>
        <w:t xml:space="preserve">xrsb_flux_mean </w:t>
      </w:r>
      <w:r>
        <w:t xml:space="preserve">e contagem de manchas ativas </w:t>
      </w:r>
      <w:r>
        <w:rPr>
          <w:rFonts w:ascii="Courier" w:eastAsia="Courier" w:hAnsi="Courier" w:cs="Courier"/>
          <w:shd w:val="clear" w:color="auto" w:fill="F4F4F4"/>
        </w:rPr>
        <w:t>num_active_spots</w:t>
      </w:r>
      <w:r>
        <w:t>).</w:t>
      </w:r>
    </w:p>
    <w:p w14:paraId="6C7A8B56" w14:textId="77777777" w:rsidR="00F012AC" w:rsidRDefault="00F012AC">
      <w:pPr>
        <w:pStyle w:val="normal1"/>
        <w:jc w:val="both"/>
      </w:pPr>
    </w:p>
    <w:p w14:paraId="34404646" w14:textId="77777777" w:rsidR="00F012AC" w:rsidRDefault="00DD296D">
      <w:pPr>
        <w:pStyle w:val="normal1"/>
        <w:jc w:val="both"/>
        <w:rPr>
          <w:b/>
          <w:bCs/>
        </w:rPr>
      </w:pPr>
      <w:r>
        <w:rPr>
          <w:b/>
          <w:bCs/>
        </w:rPr>
        <w:t>2.7.3 Restrições Arquiteturais do Meta Model</w:t>
      </w:r>
    </w:p>
    <w:p w14:paraId="20D4B1CA" w14:textId="77777777" w:rsidR="00F012AC" w:rsidRDefault="00F012AC">
      <w:pPr>
        <w:pStyle w:val="normal1"/>
        <w:jc w:val="both"/>
        <w:rPr>
          <w:b/>
          <w:bCs/>
        </w:rPr>
      </w:pPr>
    </w:p>
    <w:p w14:paraId="1AB55B5E" w14:textId="77777777" w:rsidR="00F012AC" w:rsidRDefault="00DD296D">
      <w:pPr>
        <w:pStyle w:val="normal1"/>
        <w:jc w:val="both"/>
      </w:pPr>
      <w:r>
        <w:t>Sob a governança do algoritmo XGBoost, a modelagem exigiu restrições drásticas para coibir o superajuste (</w:t>
      </w:r>
      <w:r>
        <w:rPr>
          <w:i/>
          <w:iCs/>
        </w:rPr>
        <w:t>overfitting</w:t>
      </w:r>
      <w:r>
        <w:t>) inerente à absorção de predições enviesadas. A profundidade máxima (</w:t>
      </w:r>
      <w:r>
        <w:rPr>
          <w:rFonts w:ascii="Courier" w:eastAsia="Courier" w:hAnsi="Courier" w:cs="Courier"/>
          <w:shd w:val="clear" w:color="auto" w:fill="F4F4F4"/>
        </w:rPr>
        <w:t>max_depth</w:t>
      </w:r>
      <w:r>
        <w:t>) foi suprimida para o limite estrito entre 2 e 4 nós, associada a agressivas regularizações L1 (</w:t>
      </w:r>
      <w:r>
        <w:rPr>
          <w:rFonts w:ascii="Courier" w:eastAsia="Courier" w:hAnsi="Courier" w:cs="Courier"/>
          <w:shd w:val="clear" w:color="auto" w:fill="F4F4F4"/>
        </w:rPr>
        <w:t>alpha</w:t>
      </w:r>
      <w:r>
        <w:t>) e L2 (</w:t>
      </w:r>
      <w:r>
        <w:rPr>
          <w:rFonts w:ascii="Courier" w:eastAsia="Courier" w:hAnsi="Courier" w:cs="Courier"/>
          <w:shd w:val="clear" w:color="auto" w:fill="F4F4F4"/>
        </w:rPr>
        <w:t>lambda</w:t>
      </w:r>
      <w:r>
        <w:t>). Esta arquitetura parcimoniosa obrigou o juiz a ponderar estritamente entre a "Causa" (ceticismo magnético) e o "Efeito" (alarmismo radiativo) com base no cenário operacional do Ciclo Solar.</w:t>
      </w:r>
    </w:p>
    <w:p w14:paraId="3A7ED57A" w14:textId="77777777" w:rsidR="00F012AC" w:rsidRDefault="00F012AC">
      <w:pPr>
        <w:pStyle w:val="normal1"/>
        <w:jc w:val="both"/>
      </w:pPr>
    </w:p>
    <w:p w14:paraId="2ED0893B" w14:textId="77777777" w:rsidR="00F012AC" w:rsidRDefault="00DD296D">
      <w:pPr>
        <w:pStyle w:val="normal1"/>
        <w:jc w:val="both"/>
        <w:rPr>
          <w:b/>
          <w:bCs/>
        </w:rPr>
      </w:pPr>
      <w:r>
        <w:rPr>
          <w:b/>
          <w:bCs/>
        </w:rPr>
        <w:t>2.7.4 Validação Cruzada Espacial e Calibração Honesta</w:t>
      </w:r>
    </w:p>
    <w:p w14:paraId="112D6318" w14:textId="77777777" w:rsidR="00F012AC" w:rsidRDefault="00F012AC">
      <w:pPr>
        <w:pStyle w:val="normal1"/>
        <w:jc w:val="both"/>
        <w:rPr>
          <w:b/>
          <w:bCs/>
        </w:rPr>
      </w:pPr>
    </w:p>
    <w:p w14:paraId="153F4E36" w14:textId="77777777" w:rsidR="00F012AC" w:rsidRDefault="00DD296D">
      <w:pPr>
        <w:pStyle w:val="normal1"/>
        <w:jc w:val="both"/>
      </w:pPr>
      <w:r>
        <w:t>Operou-se uma Validação Cruzada por Grupos em 5 partições (</w:t>
      </w:r>
      <w:r>
        <w:rPr>
          <w:i/>
          <w:iCs/>
        </w:rPr>
        <w:t>GroupKFold</w:t>
      </w:r>
      <w:r>
        <w:t>), isoladas pela identificação da região magnética (</w:t>
      </w:r>
      <w:r>
        <w:rPr>
          <w:rFonts w:ascii="Courier" w:eastAsia="Courier" w:hAnsi="Courier" w:cs="Courier"/>
          <w:shd w:val="clear" w:color="auto" w:fill="F4F4F4"/>
        </w:rPr>
        <w:t>REGION_ID</w:t>
      </w:r>
      <w:r>
        <w:t xml:space="preserve">). O limiar de decisão integrado foi extraído sob vetor </w:t>
      </w:r>
      <w:r>
        <w:rPr>
          <w:i/>
          <w:iCs/>
        </w:rPr>
        <w:t>Out-Of-Fold</w:t>
      </w:r>
      <w:r>
        <w:t xml:space="preserve"> (OOF), consolidando o sistema prévio à sua avaliação de estresse sobre o Ciclo Solar 25.</w:t>
      </w:r>
    </w:p>
    <w:p w14:paraId="38A833D3" w14:textId="77777777" w:rsidR="00F012AC" w:rsidRDefault="00F012AC">
      <w:pPr>
        <w:pStyle w:val="normal1"/>
        <w:jc w:val="both"/>
      </w:pPr>
    </w:p>
    <w:p w14:paraId="27D90710" w14:textId="77777777" w:rsidR="00F012AC" w:rsidRDefault="00F012AC">
      <w:pPr>
        <w:pStyle w:val="normal1"/>
        <w:spacing w:after="225"/>
        <w:jc w:val="both"/>
      </w:pPr>
    </w:p>
    <w:p w14:paraId="4BF0A962" w14:textId="77777777" w:rsidR="00F012AC" w:rsidRDefault="00DD296D">
      <w:pPr>
        <w:pStyle w:val="Heading2"/>
        <w:jc w:val="both"/>
      </w:pPr>
      <w:r>
        <w:t>3. RESULTADOS ALCANÇADOS</w:t>
      </w:r>
    </w:p>
    <w:p w14:paraId="6A9EF3C2" w14:textId="77777777" w:rsidR="00F012AC" w:rsidRDefault="00DD296D">
      <w:pPr>
        <w:pStyle w:val="normal1"/>
        <w:jc w:val="both"/>
      </w:pPr>
      <w:r>
        <w:lastRenderedPageBreak/>
        <w:t>A avaliação da arquitetura preditiva Solarfall foi conduzida de forma operacional — ou seja, simulando as condições reais de um centro de monitoramento aeroespacial, onde o modelo realiza previsões contínuas a cada hora, baseando-se exclusivamente nos dados acumulados das 24 horas imediatamente anteriores, sem qualquer acesso a informações futuras ou rebalanceamento artificial das classes — sobre um conjunto de teste cego, englobando a totalidade do Ciclo Solar 25 (2020 a 2024). Neste trabalho, a previsão divide-se em duas frentes analíticas do comportamento do Sol (Tabela 1).</w:t>
      </w:r>
    </w:p>
    <w:p w14:paraId="6EFA4D8A" w14:textId="77777777" w:rsidR="00F012AC" w:rsidRDefault="00F012AC">
      <w:pPr>
        <w:pStyle w:val="normal1"/>
        <w:jc w:val="both"/>
      </w:pPr>
    </w:p>
    <w:p w14:paraId="137D8ED6" w14:textId="77777777" w:rsidR="00F012AC" w:rsidRDefault="00DD296D">
      <w:pPr>
        <w:pStyle w:val="normal1"/>
        <w:jc w:val="both"/>
      </w:pPr>
      <w:r>
        <w:rPr>
          <w:b/>
          <w:bCs/>
        </w:rPr>
        <w:t>Tabela 1:</w:t>
      </w:r>
      <w:r>
        <w:t xml:space="preserve"> Perspectivas de Modelagem Preditiva</w:t>
      </w:r>
    </w:p>
    <w:tbl>
      <w:tblPr>
        <w:tblStyle w:val="TableNormal0"/>
        <w:tblW w:w="9360" w:type="dxa"/>
        <w:tblInd w:w="0" w:type="dxa"/>
        <w:tblLayout w:type="fixed"/>
        <w:tblCellMar>
          <w:top w:w="75" w:type="dxa"/>
          <w:left w:w="75" w:type="dxa"/>
          <w:bottom w:w="75" w:type="dxa"/>
          <w:right w:w="75" w:type="dxa"/>
        </w:tblCellMar>
        <w:tblLook w:val="0600" w:firstRow="0" w:lastRow="0" w:firstColumn="0" w:lastColumn="0" w:noHBand="1" w:noVBand="1"/>
      </w:tblPr>
      <w:tblGrid>
        <w:gridCol w:w="3120"/>
        <w:gridCol w:w="3120"/>
        <w:gridCol w:w="3120"/>
      </w:tblGrid>
      <w:tr w:rsidR="00F012AC" w14:paraId="468A6C3F"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F0F0F0"/>
          </w:tcPr>
          <w:p w14:paraId="52DD6A34" w14:textId="77777777" w:rsidR="00F012AC" w:rsidRDefault="00DD296D">
            <w:pPr>
              <w:pStyle w:val="normal1"/>
              <w:jc w:val="both"/>
            </w:pPr>
            <w:r>
              <w:t>Perspectiva</w:t>
            </w:r>
          </w:p>
        </w:tc>
        <w:tc>
          <w:tcPr>
            <w:tcW w:w="3120" w:type="dxa"/>
            <w:tcBorders>
              <w:top w:val="single" w:sz="6" w:space="0" w:color="000000"/>
              <w:left w:val="single" w:sz="6" w:space="0" w:color="000000"/>
              <w:bottom w:val="single" w:sz="6" w:space="0" w:color="000000"/>
              <w:right w:val="single" w:sz="6" w:space="0" w:color="000000"/>
            </w:tcBorders>
            <w:shd w:val="clear" w:color="auto" w:fill="F0F0F0"/>
          </w:tcPr>
          <w:p w14:paraId="13402B27" w14:textId="77777777" w:rsidR="00F012AC" w:rsidRDefault="00DD296D">
            <w:pPr>
              <w:pStyle w:val="normal1"/>
              <w:jc w:val="both"/>
            </w:pPr>
            <w:r>
              <w:t>Lógica</w:t>
            </w:r>
          </w:p>
        </w:tc>
        <w:tc>
          <w:tcPr>
            <w:tcW w:w="3120" w:type="dxa"/>
            <w:tcBorders>
              <w:top w:val="single" w:sz="6" w:space="0" w:color="000000"/>
              <w:left w:val="single" w:sz="6" w:space="0" w:color="000000"/>
              <w:bottom w:val="single" w:sz="6" w:space="0" w:color="000000"/>
              <w:right w:val="single" w:sz="6" w:space="0" w:color="000000"/>
            </w:tcBorders>
            <w:shd w:val="clear" w:color="auto" w:fill="F0F0F0"/>
          </w:tcPr>
          <w:p w14:paraId="1FC43DFA" w14:textId="77777777" w:rsidR="00F012AC" w:rsidRDefault="00DD296D">
            <w:pPr>
              <w:pStyle w:val="normal1"/>
              <w:jc w:val="both"/>
            </w:pPr>
            <w:r>
              <w:t>Dados Utilizados</w:t>
            </w:r>
          </w:p>
        </w:tc>
      </w:tr>
      <w:tr w:rsidR="00F012AC" w14:paraId="2D7E09B2" w14:textId="77777777">
        <w:tc>
          <w:tcPr>
            <w:tcW w:w="3120" w:type="dxa"/>
            <w:tcBorders>
              <w:top w:val="single" w:sz="6" w:space="0" w:color="000000"/>
              <w:left w:val="single" w:sz="6" w:space="0" w:color="000000"/>
              <w:bottom w:val="single" w:sz="6" w:space="0" w:color="000000"/>
              <w:right w:val="single" w:sz="6" w:space="0" w:color="000000"/>
            </w:tcBorders>
          </w:tcPr>
          <w:p w14:paraId="47679137" w14:textId="77777777" w:rsidR="00F012AC" w:rsidRDefault="00DD296D">
            <w:pPr>
              <w:pStyle w:val="normal1"/>
              <w:jc w:val="both"/>
            </w:pPr>
            <w:r>
              <w:rPr>
                <w:rFonts w:ascii="Arial Unicode MS" w:eastAsia="Arial Unicode MS" w:hAnsi="Arial Unicode MS" w:cs="Arial Unicode MS"/>
                <w:b/>
                <w:bCs/>
              </w:rPr>
              <w:t>Efeito Passado → Efeito Futuro</w:t>
            </w:r>
          </w:p>
        </w:tc>
        <w:tc>
          <w:tcPr>
            <w:tcW w:w="3120" w:type="dxa"/>
            <w:tcBorders>
              <w:top w:val="single" w:sz="6" w:space="0" w:color="000000"/>
              <w:left w:val="single" w:sz="6" w:space="0" w:color="000000"/>
              <w:bottom w:val="single" w:sz="6" w:space="0" w:color="000000"/>
              <w:right w:val="single" w:sz="6" w:space="0" w:color="000000"/>
            </w:tcBorders>
          </w:tcPr>
          <w:p w14:paraId="6B3ACD22" w14:textId="77777777" w:rsidR="00F012AC" w:rsidRDefault="00DD296D">
            <w:pPr>
              <w:pStyle w:val="normal1"/>
              <w:jc w:val="both"/>
            </w:pPr>
            <w:r>
              <w:t>Séries Temporais</w:t>
            </w:r>
          </w:p>
        </w:tc>
        <w:tc>
          <w:tcPr>
            <w:tcW w:w="3120" w:type="dxa"/>
            <w:tcBorders>
              <w:top w:val="single" w:sz="6" w:space="0" w:color="000000"/>
              <w:left w:val="single" w:sz="6" w:space="0" w:color="000000"/>
              <w:bottom w:val="single" w:sz="6" w:space="0" w:color="000000"/>
              <w:right w:val="single" w:sz="6" w:space="0" w:color="000000"/>
            </w:tcBorders>
          </w:tcPr>
          <w:p w14:paraId="49DC8F9B" w14:textId="77777777" w:rsidR="00F012AC" w:rsidRDefault="00DD296D">
            <w:pPr>
              <w:pStyle w:val="normal1"/>
              <w:jc w:val="both"/>
            </w:pPr>
            <w:r>
              <w:rPr>
                <w:b/>
                <w:bCs/>
              </w:rPr>
              <w:t>Fluxo de Raios-X</w:t>
            </w:r>
            <w:r>
              <w:t xml:space="preserve"> passado para prever </w:t>
            </w:r>
            <w:r>
              <w:rPr>
                <w:b/>
                <w:bCs/>
              </w:rPr>
              <w:t>Fluxo de Raios-X</w:t>
            </w:r>
            <w:r>
              <w:t xml:space="preserve"> futuro.</w:t>
            </w:r>
          </w:p>
        </w:tc>
      </w:tr>
      <w:tr w:rsidR="00F012AC" w14:paraId="62350944" w14:textId="77777777">
        <w:tc>
          <w:tcPr>
            <w:tcW w:w="3120" w:type="dxa"/>
            <w:tcBorders>
              <w:top w:val="single" w:sz="6" w:space="0" w:color="000000"/>
              <w:left w:val="single" w:sz="6" w:space="0" w:color="000000"/>
              <w:bottom w:val="single" w:sz="6" w:space="0" w:color="000000"/>
              <w:right w:val="single" w:sz="6" w:space="0" w:color="000000"/>
            </w:tcBorders>
          </w:tcPr>
          <w:p w14:paraId="5746CA14" w14:textId="77777777" w:rsidR="00F012AC" w:rsidRDefault="00DD296D">
            <w:pPr>
              <w:pStyle w:val="normal1"/>
              <w:jc w:val="both"/>
            </w:pPr>
            <w:r>
              <w:rPr>
                <w:rFonts w:ascii="Arial Unicode MS" w:eastAsia="Arial Unicode MS" w:hAnsi="Arial Unicode MS" w:cs="Arial Unicode MS"/>
                <w:b/>
                <w:bCs/>
              </w:rPr>
              <w:t>Causa → Efeito</w:t>
            </w:r>
          </w:p>
        </w:tc>
        <w:tc>
          <w:tcPr>
            <w:tcW w:w="3120" w:type="dxa"/>
            <w:tcBorders>
              <w:top w:val="single" w:sz="6" w:space="0" w:color="000000"/>
              <w:left w:val="single" w:sz="6" w:space="0" w:color="000000"/>
              <w:bottom w:val="single" w:sz="6" w:space="0" w:color="000000"/>
              <w:right w:val="single" w:sz="6" w:space="0" w:color="000000"/>
            </w:tcBorders>
          </w:tcPr>
          <w:p w14:paraId="51C347FE" w14:textId="77777777" w:rsidR="00F012AC" w:rsidRDefault="00DD296D">
            <w:pPr>
              <w:pStyle w:val="normal1"/>
              <w:jc w:val="both"/>
            </w:pPr>
            <w:r>
              <w:t>Física Magnética</w:t>
            </w:r>
          </w:p>
        </w:tc>
        <w:tc>
          <w:tcPr>
            <w:tcW w:w="3120" w:type="dxa"/>
            <w:tcBorders>
              <w:top w:val="single" w:sz="6" w:space="0" w:color="000000"/>
              <w:left w:val="single" w:sz="6" w:space="0" w:color="000000"/>
              <w:bottom w:val="single" w:sz="6" w:space="0" w:color="000000"/>
              <w:right w:val="single" w:sz="6" w:space="0" w:color="000000"/>
            </w:tcBorders>
          </w:tcPr>
          <w:p w14:paraId="4BADB63C" w14:textId="77777777" w:rsidR="00F012AC" w:rsidRDefault="00DD296D">
            <w:pPr>
              <w:pStyle w:val="normal1"/>
              <w:jc w:val="both"/>
            </w:pPr>
            <w:r>
              <w:rPr>
                <w:b/>
                <w:bCs/>
              </w:rPr>
              <w:t>Magnetogramas</w:t>
            </w:r>
            <w:r>
              <w:t xml:space="preserve"> locais para prever </w:t>
            </w:r>
            <w:r>
              <w:rPr>
                <w:b/>
                <w:bCs/>
              </w:rPr>
              <w:t>Fluxo de Raios-X</w:t>
            </w:r>
            <w:r>
              <w:t xml:space="preserve"> futuro.</w:t>
            </w:r>
          </w:p>
        </w:tc>
      </w:tr>
    </w:tbl>
    <w:p w14:paraId="27B15E01" w14:textId="77777777" w:rsidR="00F012AC" w:rsidRDefault="00F012AC">
      <w:pPr>
        <w:pStyle w:val="normal1"/>
        <w:jc w:val="both"/>
      </w:pPr>
    </w:p>
    <w:p w14:paraId="5A702035" w14:textId="77777777" w:rsidR="00F012AC" w:rsidRDefault="00DD296D">
      <w:pPr>
        <w:pStyle w:val="normal1"/>
        <w:jc w:val="both"/>
      </w:pPr>
      <w:r>
        <w:t>O objetivo fundamental consistiu em investigar a eficácia estrutural de ambas as abordagens operando sob a mesma arquitetura hierárquica (em domínios isolados e, posteriormente, combinados), validando qual taxonomia é mais apta a lidar com a distribuição real e caótica dos dados astrofísicos no prever de tempestades severas (Classes M e X).</w:t>
      </w:r>
    </w:p>
    <w:p w14:paraId="1A9074E9" w14:textId="77777777" w:rsidR="00F012AC" w:rsidRDefault="00F012AC">
      <w:pPr>
        <w:pStyle w:val="normal1"/>
        <w:spacing w:after="240"/>
        <w:jc w:val="both"/>
      </w:pPr>
    </w:p>
    <w:p w14:paraId="32E1D873" w14:textId="77777777" w:rsidR="00F012AC" w:rsidRDefault="00DD296D">
      <w:pPr>
        <w:pStyle w:val="Heading3"/>
        <w:jc w:val="both"/>
      </w:pPr>
      <w:r>
        <w:rPr>
          <w:rFonts w:ascii="Arial Unicode MS" w:eastAsia="Arial Unicode MS" w:hAnsi="Arial Unicode MS" w:cs="Arial Unicode MS"/>
        </w:rPr>
        <w:t>3.1 Efeito Passado → Efeito Futuro</w:t>
      </w:r>
    </w:p>
    <w:p w14:paraId="1D398A66" w14:textId="77777777" w:rsidR="00F012AC" w:rsidRDefault="00DD296D">
      <w:pPr>
        <w:pStyle w:val="normal1"/>
        <w:jc w:val="both"/>
      </w:pPr>
      <w:r>
        <w:t>A primeira etapa de validação submeteu a Família Global (Raios-X) a um treinamento autônomo. O objetivo foi testar a hipótese de que a inércia da radiação coronal prévia é suficiente para prever deflagrações extremas. Para assegurar o rigor comparativo, a cascata foi calibrada sob um regime de punição de falsos positivos (</w:t>
      </w:r>
      <w:r>
        <w:rPr>
          <w:i/>
          <w:iCs/>
        </w:rPr>
        <w:t>F2-Score</w:t>
      </w:r>
      <w:r>
        <w:t xml:space="preserve"> e </w:t>
      </w:r>
      <w:r>
        <w:rPr>
          <w:i/>
          <w:iCs/>
        </w:rPr>
        <w:t>F1-Score</w:t>
      </w:r>
      <w:r>
        <w:t>).</w:t>
      </w:r>
    </w:p>
    <w:p w14:paraId="437F1DA2" w14:textId="77777777" w:rsidR="00F012AC" w:rsidRDefault="00DD296D">
      <w:pPr>
        <w:pStyle w:val="normal1"/>
        <w:jc w:val="both"/>
      </w:pPr>
      <w:r>
        <w:rPr>
          <w:rFonts w:ascii="Arial Unicode MS" w:eastAsia="Arial Unicode MS" w:hAnsi="Arial Unicode MS" w:cs="Arial Unicode MS"/>
        </w:rPr>
        <w:t>Os resultados demonstraram que, quando forçado matematicamente a manter a precisão e reduzir o comportamento alarmista, o modelo radiativo global perde drasticamente a sua sensibilidade preditiva para fenômenos abruptos. O colapso da abordagem "Efeito → Efeito" tornou-se evidente no último estágio da cascata (</w:t>
      </w:r>
      <w:r>
        <w:rPr>
          <w:i/>
          <w:iCs/>
        </w:rPr>
        <w:t>Specialist MX</w:t>
      </w:r>
      <w:r>
        <w:t xml:space="preserve">), cuja missão era separar explosões severas (Classe M) das raras explosões catastróficas (Classe X). Avaliando o fluxo contínuo, o modelo obteve um </w:t>
      </w:r>
      <w:r>
        <w:rPr>
          <w:i/>
          <w:iCs/>
        </w:rPr>
        <w:t>Recall</w:t>
      </w:r>
      <w:r>
        <w:t xml:space="preserve"> irrisório de </w:t>
      </w:r>
      <w:r>
        <w:rPr>
          <w:b/>
          <w:bCs/>
        </w:rPr>
        <w:t>0.03</w:t>
      </w:r>
      <w:r>
        <w:t xml:space="preserve"> para eventos de Classe X (resgatando apenas 3% das explosões extremas no conjunto de teste).</w:t>
      </w:r>
    </w:p>
    <w:p w14:paraId="7EA09AA0" w14:textId="77777777" w:rsidR="00F012AC" w:rsidRDefault="00DD296D">
      <w:pPr>
        <w:pStyle w:val="normal1"/>
        <w:jc w:val="both"/>
      </w:pPr>
      <w:r>
        <w:t>Esta falha técnica revela a seguinte limitação: séries temporais globais atuam de forma análoga a um "modelo de persistência". Sem a capacidade de observar a injeção local de energia (causa), o modelo atinge um teto de aprendizado em que não consegue prever transições abruptas de magnitude, nivelando por baixo os eventos extremos raros.</w:t>
      </w:r>
    </w:p>
    <w:p w14:paraId="7258F6F7" w14:textId="77777777" w:rsidR="00F012AC" w:rsidRDefault="00F012AC">
      <w:pPr>
        <w:pStyle w:val="normal1"/>
        <w:jc w:val="both"/>
      </w:pPr>
    </w:p>
    <w:p w14:paraId="5A0751E6" w14:textId="77777777" w:rsidR="00F012AC" w:rsidRDefault="00DD296D">
      <w:pPr>
        <w:pStyle w:val="normal1"/>
        <w:jc w:val="both"/>
      </w:pPr>
      <w:r>
        <w:rPr>
          <w:noProof/>
        </w:rPr>
        <w:lastRenderedPageBreak/>
        <w:drawing>
          <wp:inline distT="0" distB="0" distL="0" distR="0" wp14:anchorId="16B27F2E" wp14:editId="58C5C992">
            <wp:extent cx="5943600" cy="44450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bwMode="auto">
                    <a:xfrm>
                      <a:off x="0" y="0"/>
                      <a:ext cx="5943600" cy="4445000"/>
                    </a:xfrm>
                    <a:prstGeom prst="rect">
                      <a:avLst/>
                    </a:prstGeom>
                    <a:noFill/>
                  </pic:spPr>
                </pic:pic>
              </a:graphicData>
            </a:graphic>
          </wp:inline>
        </w:drawing>
      </w:r>
    </w:p>
    <w:p w14:paraId="65DDBB3F" w14:textId="77777777" w:rsidR="00F012AC" w:rsidRDefault="00DD296D">
      <w:pPr>
        <w:pStyle w:val="normal1"/>
        <w:jc w:val="both"/>
      </w:pPr>
      <w:r>
        <w:rPr>
          <w:i/>
          <w:iCs/>
        </w:rPr>
        <w:t>Figura 1: Matriz de erros do Specialist 910 fundamentado em inércia global de Raios-X (Família I). A ausência de parâmetros causais resulta em uma alta taxa de Falsos Positivos retidos na Classe C e omissões críticas nas faixas superiores.</w:t>
      </w:r>
    </w:p>
    <w:p w14:paraId="06653FCC" w14:textId="77777777" w:rsidR="00F012AC" w:rsidRDefault="00F012AC">
      <w:pPr>
        <w:pStyle w:val="normal1"/>
        <w:spacing w:after="240"/>
        <w:jc w:val="both"/>
        <w:rPr>
          <w:i/>
          <w:iCs/>
        </w:rPr>
      </w:pPr>
    </w:p>
    <w:p w14:paraId="754D3BC4" w14:textId="77777777" w:rsidR="00F012AC" w:rsidRDefault="00DD296D">
      <w:pPr>
        <w:pStyle w:val="Heading3"/>
        <w:jc w:val="both"/>
      </w:pPr>
      <w:r>
        <w:rPr>
          <w:rFonts w:ascii="Arial Unicode MS" w:eastAsia="Arial Unicode MS" w:hAnsi="Arial Unicode MS" w:cs="Arial Unicode MS"/>
        </w:rPr>
        <w:t>3.2 Análise da Abordagem 'Causa → Efeito'</w:t>
      </w:r>
    </w:p>
    <w:p w14:paraId="2EFAB30F" w14:textId="77777777" w:rsidR="00F012AC" w:rsidRDefault="00DD296D">
      <w:pPr>
        <w:pStyle w:val="normal1"/>
        <w:jc w:val="both"/>
      </w:pPr>
      <w:r>
        <w:t>Diante da limitação da abordagem por séries temporais globais radiativas, a pesquisa direcionou-se para a perspectiva causal. A Família Regional (Magnetogramas) foi avaliada de forma End-to-End, restringindo o aprendizado às características intensivas e topológicas da mancha solar isolada (como densidade de energia livre e torção magnética).</w:t>
      </w:r>
    </w:p>
    <w:p w14:paraId="62B40CCE" w14:textId="77777777" w:rsidR="00F012AC" w:rsidRDefault="00DD296D">
      <w:pPr>
        <w:pStyle w:val="normal1"/>
        <w:jc w:val="both"/>
      </w:pPr>
      <w:r>
        <w:t xml:space="preserve">A análise do escoamento de dados revelou uma atenuação do ruído espacial. Dos 158.906 registros magnéticos iniciais, o estágio </w:t>
      </w:r>
      <w:r>
        <w:rPr>
          <w:i/>
          <w:iCs/>
        </w:rPr>
        <w:t>Gatekeeper</w:t>
      </w:r>
      <w:r>
        <w:t xml:space="preserve"> reduziu o volume amostral em 77,3%, eliminando ativamente a calmaria e restringindo o escopo analítico. Ao final da triagem pelo </w:t>
      </w:r>
      <w:r>
        <w:rPr>
          <w:i/>
          <w:iCs/>
        </w:rPr>
        <w:t>Great Filter</w:t>
      </w:r>
      <w:r>
        <w:t xml:space="preserve">, o classificador profundo </w:t>
      </w:r>
      <w:r>
        <w:rPr>
          <w:i/>
          <w:iCs/>
        </w:rPr>
        <w:t>Specialist 910</w:t>
      </w:r>
      <w:r>
        <w:t xml:space="preserve"> atuou sobre um resíduo altamente purificado.</w:t>
      </w:r>
    </w:p>
    <w:p w14:paraId="305C2A2E" w14:textId="77777777" w:rsidR="00F012AC" w:rsidRDefault="00DD296D">
      <w:pPr>
        <w:pStyle w:val="normal1"/>
        <w:jc w:val="both"/>
      </w:pPr>
      <w:r>
        <w:t xml:space="preserve">A arquitetura causal demonstrou um salto de performance expressivo na métrica padrão-ouro para dados severamente desbalanceados, alcançando um </w:t>
      </w:r>
      <w:r>
        <w:rPr>
          <w:b/>
          <w:bCs/>
        </w:rPr>
        <w:t>PR-AUC de 0.462</w:t>
      </w:r>
      <w:r>
        <w:t xml:space="preserve">. A análise da matriz confirmou que o modelo consolidou uma Precisão de </w:t>
      </w:r>
      <w:r>
        <w:rPr>
          <w:b/>
          <w:bCs/>
        </w:rPr>
        <w:t>0.48</w:t>
      </w:r>
      <w:r>
        <w:t xml:space="preserve"> para a detecção isolada de eventos severos (Classes M e X). Em um ambiente operacional de </w:t>
      </w:r>
      <w:r>
        <w:rPr>
          <w:i/>
          <w:iCs/>
        </w:rPr>
        <w:t>Space Weather</w:t>
      </w:r>
      <w:r>
        <w:t>, este índice assegura que praticamente um a cada dois alarmes críticos disparados culminará em uma tempestade geomagnética real, suprimindo o efeito de "fadiga de alarme". Ao modelar as pré-condições físicas locais, a rede torna-se apta a detectar gatilhos eruptivos que permanecem invisíveis para o monitoramento de inércia global.</w:t>
      </w:r>
    </w:p>
    <w:p w14:paraId="5ACAFD67" w14:textId="77777777" w:rsidR="00F012AC" w:rsidRDefault="00F012AC">
      <w:pPr>
        <w:pStyle w:val="normal1"/>
        <w:jc w:val="both"/>
      </w:pPr>
    </w:p>
    <w:p w14:paraId="38683854" w14:textId="77777777" w:rsidR="00F012AC" w:rsidRDefault="00DD296D">
      <w:pPr>
        <w:pStyle w:val="normal1"/>
        <w:jc w:val="both"/>
      </w:pPr>
      <w:r>
        <w:rPr>
          <w:noProof/>
        </w:rPr>
        <w:drawing>
          <wp:inline distT="0" distB="0" distL="0" distR="0" wp14:anchorId="36D2D948" wp14:editId="51E66091">
            <wp:extent cx="5943600" cy="26289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6"/>
                    <a:stretch>
                      <a:fillRect/>
                    </a:stretch>
                  </pic:blipFill>
                  <pic:spPr bwMode="auto">
                    <a:xfrm>
                      <a:off x="0" y="0"/>
                      <a:ext cx="5943600" cy="2628900"/>
                    </a:xfrm>
                    <a:prstGeom prst="rect">
                      <a:avLst/>
                    </a:prstGeom>
                    <a:noFill/>
                  </pic:spPr>
                </pic:pic>
              </a:graphicData>
            </a:graphic>
          </wp:inline>
        </w:drawing>
      </w:r>
    </w:p>
    <w:p w14:paraId="1145B52D" w14:textId="77777777" w:rsidR="00F012AC" w:rsidRDefault="00DD296D">
      <w:pPr>
        <w:pStyle w:val="normal1"/>
        <w:jc w:val="both"/>
      </w:pPr>
      <w:r>
        <w:rPr>
          <w:noProof/>
        </w:rPr>
        <w:drawing>
          <wp:inline distT="0" distB="0" distL="0" distR="0" wp14:anchorId="0E138A79" wp14:editId="1EB3F7BC">
            <wp:extent cx="5943600" cy="44450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7"/>
                    <a:stretch>
                      <a:fillRect/>
                    </a:stretch>
                  </pic:blipFill>
                  <pic:spPr bwMode="auto">
                    <a:xfrm>
                      <a:off x="0" y="0"/>
                      <a:ext cx="5943600" cy="4445000"/>
                    </a:xfrm>
                    <a:prstGeom prst="rect">
                      <a:avLst/>
                    </a:prstGeom>
                    <a:noFill/>
                  </pic:spPr>
                </pic:pic>
              </a:graphicData>
            </a:graphic>
          </wp:inline>
        </w:drawing>
      </w:r>
    </w:p>
    <w:p w14:paraId="3A443DD7" w14:textId="77777777" w:rsidR="00F012AC" w:rsidRDefault="00DD296D">
      <w:pPr>
        <w:pStyle w:val="normal1"/>
        <w:jc w:val="both"/>
      </w:pPr>
      <w:r>
        <w:rPr>
          <w:rFonts w:ascii="Arial Unicode MS" w:eastAsia="Arial Unicode MS" w:hAnsi="Arial Unicode MS" w:cs="Arial Unicode MS"/>
          <w:i/>
          <w:iCs/>
        </w:rPr>
        <w:t>Figura 2: Desempenho da arquitetura fundamentada na causalidade magnética (Causa → Efeito). Observa-se a eliminação agressiva de 77,3% do ruído espacial sistêmico logo no primeiro estágio (esquerda), permitindo uma superfície de decisão limpa e cirúrgica para a previsão de eventos M e X (direita).</w:t>
      </w:r>
    </w:p>
    <w:p w14:paraId="67052750" w14:textId="77777777" w:rsidR="00F012AC" w:rsidRDefault="00F012AC">
      <w:pPr>
        <w:pStyle w:val="normal1"/>
        <w:spacing w:after="240"/>
        <w:jc w:val="both"/>
        <w:rPr>
          <w:i/>
          <w:iCs/>
        </w:rPr>
      </w:pPr>
    </w:p>
    <w:p w14:paraId="4BC20978" w14:textId="77777777" w:rsidR="00F012AC" w:rsidRDefault="00DD296D">
      <w:pPr>
        <w:pStyle w:val="Heading3"/>
        <w:jc w:val="both"/>
      </w:pPr>
      <w:r>
        <w:lastRenderedPageBreak/>
        <w:t>3.3 Tentativa de Integração e Efeito Âncora</w:t>
      </w:r>
    </w:p>
    <w:p w14:paraId="6DF21F87" w14:textId="77777777" w:rsidR="00F012AC" w:rsidRDefault="00DD296D">
      <w:pPr>
        <w:pStyle w:val="normal1"/>
        <w:jc w:val="both"/>
      </w:pPr>
      <w:r>
        <w:t>Com o domínio da causalidade local e o comportamento da inércia global mapeados, testou-se a hipótese final de que a integração de ambas as frentes preditivas geraria a taxonomia ideal. Contudo, ao submeter as decisões em cascata ao juiz final (</w:t>
      </w:r>
      <w:r>
        <w:rPr>
          <w:i/>
          <w:iCs/>
        </w:rPr>
        <w:t>Meta Model</w:t>
      </w:r>
      <w:r>
        <w:t xml:space="preserve">), a avaliação sobre o conjunto cego registrou um colapso arquitetural: as métricas da camada integradora despencaram para um </w:t>
      </w:r>
      <w:r>
        <w:rPr>
          <w:i/>
          <w:iCs/>
        </w:rPr>
        <w:t>True Skill Statistic</w:t>
      </w:r>
      <w:r>
        <w:t xml:space="preserve"> (TSS) e </w:t>
      </w:r>
      <w:r>
        <w:rPr>
          <w:i/>
          <w:iCs/>
        </w:rPr>
        <w:t>Heidke Skill Score</w:t>
      </w:r>
      <w:r>
        <w:t xml:space="preserve"> (HSS) iguais a </w:t>
      </w:r>
      <w:r>
        <w:rPr>
          <w:b/>
          <w:bCs/>
        </w:rPr>
        <w:t>0.000</w:t>
      </w:r>
      <w:r>
        <w:t xml:space="preserve">, com um F1-Score de </w:t>
      </w:r>
      <w:r>
        <w:rPr>
          <w:b/>
          <w:bCs/>
        </w:rPr>
        <w:t>0.087</w:t>
      </w:r>
      <w:r>
        <w:t>.</w:t>
      </w:r>
    </w:p>
    <w:p w14:paraId="7CB05D33" w14:textId="77777777" w:rsidR="00F012AC" w:rsidRDefault="00DD296D">
      <w:pPr>
        <w:pStyle w:val="normal1"/>
        <w:jc w:val="both"/>
      </w:pPr>
      <w:r>
        <w:t>A análise de ganho de importância (</w:t>
      </w:r>
      <w:r>
        <w:rPr>
          <w:i/>
          <w:iCs/>
        </w:rPr>
        <w:t>Information Gain</w:t>
      </w:r>
      <w:r>
        <w:t>) demonstra que o Juiz Final tentou ponderar fortemente as opiniões do magnetograma. Todavia, ocorreu a manifestação do "Efeito Âncora". O fluxo global de raios-X (representando múltiplas manchas simultâneas) atuou como uma severa variável de confusão (</w:t>
      </w:r>
      <w:r>
        <w:rPr>
          <w:i/>
          <w:iCs/>
        </w:rPr>
        <w:t>confounding variable</w:t>
      </w:r>
      <w:r>
        <w:rPr>
          <w:rFonts w:ascii="Arial Unicode MS" w:eastAsia="Arial Unicode MS" w:hAnsi="Arial Unicode MS" w:cs="Arial Unicode MS"/>
        </w:rPr>
        <w:t>) para a predição local. A sobreposição da inércia macroscópica em manchas topologicamente pacíficas forçou uma corrupção da superfície de decisão, comprovando que a tentativa de unir as abordagens "Causa → Efeito" com "Efeito → Efeito" introduz mais ruído cruzado espacial do que contexto analítico útil.</w:t>
      </w:r>
    </w:p>
    <w:p w14:paraId="14F461BE" w14:textId="77777777" w:rsidR="00F012AC" w:rsidRDefault="00DD296D">
      <w:pPr>
        <w:pStyle w:val="normal1"/>
        <w:jc w:val="both"/>
      </w:pPr>
      <w:r>
        <w:t>Diante do colapso no modelo integrador tardio (</w:t>
      </w:r>
      <w:r>
        <w:rPr>
          <w:i/>
          <w:iCs/>
        </w:rPr>
        <w:t>Soft Merge</w:t>
      </w:r>
      <w:r>
        <w:t xml:space="preserve">), uma alternativa metodológica teórica seria a adoção de um </w:t>
      </w:r>
      <w:r>
        <w:rPr>
          <w:i/>
          <w:iCs/>
        </w:rPr>
        <w:t>Hard Merge</w:t>
      </w:r>
      <w:r>
        <w:t xml:space="preserve"> (a concatenação precoce de todas as variáveis brutas em uma única matriz preditiva). No entanto, além das complexidades de engenharia — como a cardinalidade 1:N que injeta redundância, e a incompatibilidade das estratégias de </w:t>
      </w:r>
      <w:r>
        <w:rPr>
          <w:i/>
          <w:iCs/>
        </w:rPr>
        <w:t>Purge Gaps</w:t>
      </w:r>
      <w:r>
        <w:t xml:space="preserve"> com a preservação contínua da mancha —, o </w:t>
      </w:r>
      <w:r>
        <w:rPr>
          <w:i/>
          <w:iCs/>
        </w:rPr>
        <w:t>Hard Merge</w:t>
      </w:r>
      <w:r>
        <w:t xml:space="preserve"> provavelmente sofreria precocemente do mesmo vício estatístico: a árvore de decisão elegeria a inércia global aparente como fator de corte inicial, transferindo a contaminação espacial e o viés alarmista para a porta de entrada do sistema. Por isso, tal alternativa não foi contemplada por este trabalho, do mesmo modo, vale citá-la como um caminho metodológico possível.</w:t>
      </w:r>
    </w:p>
    <w:p w14:paraId="7E56855E" w14:textId="77777777" w:rsidR="00F012AC" w:rsidRDefault="00F012AC">
      <w:pPr>
        <w:pStyle w:val="normal1"/>
        <w:jc w:val="both"/>
      </w:pPr>
    </w:p>
    <w:p w14:paraId="58477510" w14:textId="77777777" w:rsidR="00F012AC" w:rsidRDefault="00F012AC">
      <w:pPr>
        <w:pStyle w:val="normal1"/>
        <w:jc w:val="both"/>
      </w:pPr>
    </w:p>
    <w:p w14:paraId="4862C1DA" w14:textId="77777777" w:rsidR="00F012AC" w:rsidRDefault="00DD296D">
      <w:pPr>
        <w:pStyle w:val="normal1"/>
        <w:jc w:val="both"/>
      </w:pPr>
      <w:r>
        <w:rPr>
          <w:noProof/>
        </w:rPr>
        <w:lastRenderedPageBreak/>
        <w:drawing>
          <wp:inline distT="0" distB="0" distL="0" distR="0" wp14:anchorId="7933AE7A" wp14:editId="4EB96D97">
            <wp:extent cx="5943600" cy="415290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8"/>
                    <a:stretch>
                      <a:fillRect/>
                    </a:stretch>
                  </pic:blipFill>
                  <pic:spPr bwMode="auto">
                    <a:xfrm>
                      <a:off x="0" y="0"/>
                      <a:ext cx="5943600" cy="4152900"/>
                    </a:xfrm>
                    <a:prstGeom prst="rect">
                      <a:avLst/>
                    </a:prstGeom>
                    <a:noFill/>
                  </pic:spPr>
                </pic:pic>
              </a:graphicData>
            </a:graphic>
          </wp:inline>
        </w:drawing>
      </w:r>
    </w:p>
    <w:p w14:paraId="0FB39646" w14:textId="77777777" w:rsidR="00F012AC" w:rsidRDefault="00DD296D">
      <w:pPr>
        <w:pStyle w:val="normal1"/>
        <w:jc w:val="both"/>
      </w:pPr>
      <w:r>
        <w:rPr>
          <w:i/>
          <w:iCs/>
        </w:rPr>
        <w:t>Figura 3: Curvas de Precisão-Recall (PR-AUC) plotadas sobre o conjunto cego do Ciclo Solar 25. A Família Regional baseada em magnetogramas isolados (linha azul tracejada) consolida-se como um relevante modelo atual. A tentativa de integração (linha verde) degrada o sistema para o mesmo patamar da inércia global subjacente.</w:t>
      </w:r>
    </w:p>
    <w:p w14:paraId="7798B93E" w14:textId="77777777" w:rsidR="00F012AC" w:rsidRDefault="00F012AC">
      <w:pPr>
        <w:pStyle w:val="normal1"/>
        <w:spacing w:after="240"/>
        <w:jc w:val="both"/>
        <w:rPr>
          <w:i/>
          <w:iCs/>
        </w:rPr>
      </w:pPr>
    </w:p>
    <w:p w14:paraId="39077A1B" w14:textId="77777777" w:rsidR="00F012AC" w:rsidRDefault="00DD296D">
      <w:pPr>
        <w:pStyle w:val="Heading3"/>
        <w:jc w:val="both"/>
      </w:pPr>
      <w:r>
        <w:t>3.4 Conclusão de Domínio</w:t>
      </w:r>
    </w:p>
    <w:p w14:paraId="6EE43DF0" w14:textId="77777777" w:rsidR="00F012AC" w:rsidRDefault="00DD296D">
      <w:pPr>
        <w:pStyle w:val="normal1"/>
        <w:jc w:val="both"/>
      </w:pPr>
      <w:r>
        <w:t xml:space="preserve">Os experimentos práticos e a falha de integração refutam a aplicabilidade de abordagens preditivas balizadas pela inércia temporal de radiação. A arquitetura </w:t>
      </w:r>
      <w:r>
        <w:rPr>
          <w:i/>
          <w:iCs/>
        </w:rPr>
        <w:t>Solarfall</w:t>
      </w:r>
      <w:r>
        <w:t xml:space="preserve"> mais atual reside no monitoramento de causa, isolado e autônomo, provido pelos magnetogramas fotosféricos (Família II).</w:t>
      </w:r>
    </w:p>
    <w:p w14:paraId="06FE129F" w14:textId="77777777" w:rsidR="00F012AC" w:rsidRDefault="00DD296D">
      <w:pPr>
        <w:pStyle w:val="normal1"/>
        <w:jc w:val="both"/>
      </w:pPr>
      <w:r>
        <w:t>Embora arquiteturas recentes frequentemente reportem F1-Scores superiores mediante a subamostragem matemática e manipulação de proporções em testes isolados, a abordagem de Múltiplos Estágios baseada em causalidade magnética provou-se formidável ao enfrentar, ininterruptamente, o fluxo caótico não-modificado de um ciclo solar inteiro. O resultado assegura que parâmetros originados na física (como a extração de densidade de corrente) mitigados por cascatas de restrição fornecem indicadores robustos para o combate aos riscos do clima espacial.</w:t>
      </w:r>
    </w:p>
    <w:p w14:paraId="5C1D05FF" w14:textId="2618E089" w:rsidR="00F012AC" w:rsidRDefault="00D06118">
      <w:pPr>
        <w:pStyle w:val="normal1"/>
        <w:jc w:val="both"/>
      </w:pPr>
      <w:r>
        <w:t xml:space="preserve">Mesmo que, </w:t>
      </w:r>
      <w:r w:rsidR="00DD296D">
        <w:t xml:space="preserve">modelos recentes na literatura, como a abordagem fundamentada em árvores de decisão de Bringewald &amp; Parisot (2025), reportem F1-Scores aparentemente superiores, tais resultados são frequentemente obtidos mediante o balanceamento artificial manipulado do conjunto de testes (forçando o pareamento exato de classes minoritárias e majoritárias, ex: 165 amostras por classe). A literatura de aprendizado de máquina adverte que métricas ancoradas em Precisão sofrem inflação matemática sistêmica sob distribuições forçadas, mascarando a </w:t>
      </w:r>
      <w:r w:rsidR="00DD296D">
        <w:lastRenderedPageBreak/>
        <w:t>degradação e o volume de falsos positivos gerados em cenários reais de implantação.</w:t>
      </w:r>
    </w:p>
    <w:p w14:paraId="607BF63B" w14:textId="77777777" w:rsidR="00F012AC" w:rsidRDefault="00DD296D">
      <w:pPr>
        <w:pStyle w:val="normal1"/>
        <w:jc w:val="both"/>
      </w:pPr>
      <w:r>
        <w:t xml:space="preserve">Em contrapartida, a arquitetura Solarfall foi submetida a uma validação </w:t>
      </w:r>
      <w:r>
        <w:rPr>
          <w:i/>
          <w:iCs/>
        </w:rPr>
        <w:t>out-of-sample</w:t>
      </w:r>
      <w:r>
        <w:t xml:space="preserve"> ininterrupta, enfrentando a realidade esmagadoramente desbalanceada da coroa solar sem ajustes corretivos na proporção das classes de teste. Mesmo operando neste ambiente agressivo, a Família II manteve métricas analíticas e um HSS estritamente competitivo com arquiteturas profundas complexas, como as CNNs distribuídas propostas por Francisco et al. (2025). O resultado consolida empiricamente que o monitoramento fundamentado na extração cirúrgica de energia livre local e na mitigação em múltiplos estágios fornece uma taxonomia preditiva mais resistente e fiel às necessidades autênticas dos centros de monitoramento aeroespacial.</w:t>
      </w:r>
    </w:p>
    <w:p w14:paraId="4E1A174E" w14:textId="77777777" w:rsidR="00D06118" w:rsidRDefault="00D06118">
      <w:pPr>
        <w:pStyle w:val="normal1"/>
        <w:jc w:val="both"/>
      </w:pPr>
    </w:p>
    <w:p w14:paraId="0EA2132C" w14:textId="77777777" w:rsidR="00F012AC" w:rsidRDefault="00DD296D">
      <w:pPr>
        <w:pStyle w:val="normal1"/>
        <w:jc w:val="both"/>
      </w:pPr>
      <w:r>
        <w:rPr>
          <w:b/>
          <w:bCs/>
        </w:rPr>
        <w:t>Impacto e Divulgação</w:t>
      </w:r>
    </w:p>
    <w:p w14:paraId="7AC63B60" w14:textId="77777777" w:rsidR="00F012AC" w:rsidRDefault="00DD296D">
      <w:pPr>
        <w:pStyle w:val="normal1"/>
        <w:jc w:val="both"/>
      </w:pPr>
      <w:r>
        <w:t xml:space="preserve">Os resultados obtidos fornecem uma forte base comprobatória de que parâmetros originados na física magnética (como densidade de corrente e energia livre em magnetogramas SHARP) são superiores a abordagens temporais radiativas para o </w:t>
      </w:r>
      <w:r>
        <w:rPr>
          <w:i/>
          <w:iCs/>
        </w:rPr>
        <w:t>forecasting</w:t>
      </w:r>
      <w:r>
        <w:t xml:space="preserve"> autêntico do clima espacial. O trabalho segue o cronograma estabelecido pelo plano de trabalho e encontra-se na fase de consolidação dos achados finais, com previsão de submissão do presente artigo científico para apresentação em congresso de Iniciação Científica, visando fomentar o debate na comunidade de astrofísica computacional.</w:t>
      </w:r>
    </w:p>
    <w:p w14:paraId="21E0BB27" w14:textId="77777777" w:rsidR="00F012AC" w:rsidRDefault="00F012AC">
      <w:pPr>
        <w:pStyle w:val="normal1"/>
        <w:spacing w:after="225"/>
        <w:jc w:val="both"/>
      </w:pPr>
    </w:p>
    <w:p w14:paraId="45788296" w14:textId="77777777" w:rsidR="00F012AC" w:rsidRDefault="00DD296D">
      <w:pPr>
        <w:pStyle w:val="Heading2"/>
        <w:jc w:val="both"/>
      </w:pPr>
      <w:r>
        <w:t>CONSIDERAÇÕES FINAIS</w:t>
      </w:r>
    </w:p>
    <w:p w14:paraId="3B368FE8" w14:textId="77777777" w:rsidR="00F012AC" w:rsidRDefault="00DD296D">
      <w:pPr>
        <w:pStyle w:val="normal1"/>
        <w:jc w:val="both"/>
      </w:pPr>
      <w:r>
        <w:t xml:space="preserve">A presente pesquisa cumpriu integralmente o plano de trabalho estabelecido, tendo como escopo investigativo primordial a identificação e a avaliação dos atributos físicos mais relevantes para a previsão de explosões solares severas. No decurso desta investigação, diante do desafio analítico imposto pelo severo desbalanceamento de classes e pela complexidade intrínseca aos dados astrofísicos, concebeu-se e desenvolveu-se a arquitetura hierárquica em cascata </w:t>
      </w:r>
      <w:r>
        <w:rPr>
          <w:i/>
          <w:iCs/>
        </w:rPr>
        <w:t>Solarfall</w:t>
      </w:r>
      <w:r>
        <w:t>. Essa abordagem metodológica provou-se altamente eficaz na redução de ruído sistêmico e na mitigação de falsos positivos, viabilizando uma análise comparativa justa e rigorosa entre os diferentes domínios de dados.</w:t>
      </w:r>
    </w:p>
    <w:p w14:paraId="373B81D6" w14:textId="77777777" w:rsidR="00F012AC" w:rsidRDefault="00DD296D">
      <w:pPr>
        <w:pStyle w:val="normal1"/>
        <w:jc w:val="both"/>
      </w:pPr>
      <w:r>
        <w:t>Contudo, a avaliação final dos resultados revelou o desfecho mais significativo do projeto, respondendo de forma direta ao objetivo inicial da pesquisa. A análise matemática refutou a hipótese de que um modelo integrador (</w:t>
      </w:r>
      <w:r>
        <w:rPr>
          <w:i/>
          <w:iCs/>
        </w:rPr>
        <w:t>Meta Model</w:t>
      </w:r>
      <w:r>
        <w:t>) superaria o desempenho de fontes isoladas, evidenciando que a união da intensidade de raios-X com a topologia local gerava um "Efeito Âncora" degradante. Em contrapartida, constatou-se que a modelagem fundamentada estritamente em magnetogramas regionais obteve resultados superiores a projetos relevantes com PR-AUC de 0.405.</w:t>
      </w:r>
    </w:p>
    <w:p w14:paraId="00F0BE52" w14:textId="77777777" w:rsidR="00F012AC" w:rsidRDefault="00DD296D">
      <w:pPr>
        <w:pStyle w:val="normal1"/>
        <w:jc w:val="both"/>
      </w:pPr>
      <w:r>
        <w:t>Essa descoberta estabelece que as pré-condições físicas locais de uma região ativa — quantificadas por parâmetros topológicos precisos, como densidade de corrente e energia livre — constituem os atributos mais relevantes e robustos para a previsão do clima espacial. A pesquisa demonstra empiricamente que a observação macroscópica generalista tende ao comportamento alarmista e atua como uma variável de confusão, enquanto o monitoramento magnético cirúrgico isola com exatidão os gatilhos físicos que antecedem eventos catastróficos.</w:t>
      </w:r>
    </w:p>
    <w:p w14:paraId="2EC1FF85" w14:textId="77777777" w:rsidR="00F012AC" w:rsidRDefault="00DD296D">
      <w:pPr>
        <w:pStyle w:val="normal1"/>
        <w:jc w:val="both"/>
      </w:pPr>
      <w:r>
        <w:t xml:space="preserve">Desta forma, o estudo consolida uma contribuição valiosa para a astrofísica computacional e para o desenvolvimento de </w:t>
      </w:r>
      <w:r>
        <w:rPr>
          <w:i/>
          <w:iCs/>
        </w:rPr>
        <w:t>pipelines</w:t>
      </w:r>
      <w:r>
        <w:t xml:space="preserve"> operacionais de </w:t>
      </w:r>
      <w:r>
        <w:rPr>
          <w:i/>
          <w:iCs/>
        </w:rPr>
        <w:t>Space Weather</w:t>
      </w:r>
      <w:r>
        <w:t xml:space="preserve">, fornecendo uma taxonomia clara sobre quais dados priorizar. Visando o avanço contínuo desta linha de pesquisa, sugere-se como trabalhos futuros a expansão do modelo regional para englobar as interações topológicas entre múltiplas manchas solares simultâneas. Adicionalmente, a aplicação das matrizes magnéticas validadas neste estudo em arquiteturas de </w:t>
      </w:r>
      <w:r>
        <w:rPr>
          <w:i/>
          <w:iCs/>
        </w:rPr>
        <w:t>Deep Learning</w:t>
      </w:r>
      <w:r>
        <w:t xml:space="preserve"> orientadas a </w:t>
      </w:r>
      <w:r>
        <w:lastRenderedPageBreak/>
        <w:t>grafos pode refinar a compreensão das dependências espaciais tridimensionais, aprimorando ainda mais a detecção autônoma de explosões solares.</w:t>
      </w:r>
    </w:p>
    <w:p w14:paraId="63745FD7" w14:textId="77777777" w:rsidR="00F012AC" w:rsidRDefault="00F012AC">
      <w:pPr>
        <w:pStyle w:val="normal1"/>
        <w:spacing w:after="225"/>
        <w:jc w:val="both"/>
      </w:pPr>
    </w:p>
    <w:p w14:paraId="028DAE3D" w14:textId="77777777" w:rsidR="00F012AC" w:rsidRDefault="00DD296D">
      <w:pPr>
        <w:pStyle w:val="Heading2"/>
        <w:jc w:val="both"/>
      </w:pPr>
      <w:r>
        <w:t>CONTRIBUIÇÕES - DEPOIMENTOS</w:t>
      </w:r>
    </w:p>
    <w:p w14:paraId="1061FDFB" w14:textId="77777777" w:rsidR="00F012AC" w:rsidRDefault="00DD296D">
      <w:pPr>
        <w:pStyle w:val="normal1"/>
        <w:jc w:val="both"/>
      </w:pPr>
      <w:r>
        <w:t>( X ) Permito que os depoimentos abaixo possam ser utilizados em comunicações do IFSP e também do GENE - Fundo Patrimonial do IFSP.</w:t>
      </w:r>
    </w:p>
    <w:p w14:paraId="1A5932EC" w14:textId="77777777" w:rsidR="00F012AC" w:rsidRDefault="00DD296D">
      <w:pPr>
        <w:pStyle w:val="normal1"/>
        <w:jc w:val="both"/>
      </w:pPr>
      <w:r>
        <w:rPr>
          <w:b/>
          <w:bCs/>
        </w:rPr>
        <w:t>1) O projeto foi importante para sua formação acadêmica? Se sim, deixe abaixo um depoimento sobre as contribuições do projeto para a sua formação acadêmica (máximo de 10 linhas)</w:t>
      </w:r>
    </w:p>
    <w:p w14:paraId="76DAF131" w14:textId="77777777" w:rsidR="003E55D7" w:rsidRDefault="003E55D7">
      <w:pPr>
        <w:pStyle w:val="normal1"/>
        <w:jc w:val="both"/>
      </w:pPr>
    </w:p>
    <w:p w14:paraId="6B033CB5" w14:textId="34FA0692" w:rsidR="00F012AC" w:rsidRDefault="003E55D7">
      <w:pPr>
        <w:pStyle w:val="normal1"/>
        <w:jc w:val="both"/>
      </w:pPr>
      <w:r w:rsidRPr="003E55D7">
        <w:t>Sim, considero que o projeto foi muito importante para minha formação acadêmica. Me ofereceu bagagem quanto a metodologia científica, me motivou a aprender diversos assuntos da engenharia de software que antes apenas conhecia superficialmente, como web scraping, deep learning, modelos de ML (machine learning) baseados em árvores de decisão, frameworks de tunagem de modelos de ML, otimização de desempenho via GPU. Além de todo o pipeline relacionado a um projeto de análise de dados robusto e complexo. Adicionalmente, me fez encarar uma área de difícil compreensão que eu nunca havia tomado contato, o clima espacial. Em 10 meses fui capaz de aprender o necessário para desenvolver meu trabalho neste ramo complexo da física, o que transformou-me em um profissional confiante e destemido a aprender a lidar com qualquer temática imaginável.</w:t>
      </w:r>
    </w:p>
    <w:p w14:paraId="763CD5B3" w14:textId="77777777" w:rsidR="00F012AC" w:rsidRDefault="00F012AC">
      <w:pPr>
        <w:pStyle w:val="normal1"/>
        <w:jc w:val="both"/>
      </w:pPr>
    </w:p>
    <w:p w14:paraId="16DF2E3D" w14:textId="77777777" w:rsidR="00F012AC" w:rsidRDefault="00DD296D">
      <w:pPr>
        <w:pStyle w:val="normal1"/>
        <w:jc w:val="both"/>
      </w:pPr>
      <w:r>
        <w:rPr>
          <w:b/>
          <w:bCs/>
        </w:rPr>
        <w:t>2) A Bolsa foi importante para sua permanência e dedicação ao curso? Se sim, deixe abaixo um breve depoimento (máximo de 10 linhas)</w:t>
      </w:r>
    </w:p>
    <w:p w14:paraId="0AFD9788" w14:textId="04235179" w:rsidR="00F012AC" w:rsidRDefault="00F012AC">
      <w:pPr>
        <w:pStyle w:val="normal1"/>
        <w:jc w:val="both"/>
      </w:pPr>
    </w:p>
    <w:p w14:paraId="19F03660" w14:textId="5BBC2867" w:rsidR="003E55D7" w:rsidRDefault="003E55D7">
      <w:pPr>
        <w:pStyle w:val="normal1"/>
        <w:jc w:val="both"/>
      </w:pPr>
      <w:r w:rsidRPr="003E55D7">
        <w:t>Ao curso não, tenho convicção de que continuaria minha graduação mesmo sem a bolsa de IC. Porém a bolsa foi essencial para minha permanência no trabalho científico, com a rotina corrida, provavelmente eu não teria motivação o suficiente para me dedicar a este projeto sem o auxílio da bolsa.</w:t>
      </w:r>
    </w:p>
    <w:p w14:paraId="3DAAE6D1" w14:textId="77777777" w:rsidR="00F012AC" w:rsidRDefault="00F012AC">
      <w:pPr>
        <w:pStyle w:val="normal1"/>
        <w:spacing w:after="225"/>
        <w:jc w:val="both"/>
      </w:pPr>
    </w:p>
    <w:p w14:paraId="6065B26C" w14:textId="77777777" w:rsidR="00F012AC" w:rsidRDefault="00DD296D">
      <w:pPr>
        <w:pStyle w:val="Heading2"/>
        <w:jc w:val="both"/>
      </w:pPr>
      <w:r>
        <w:t>REFERÊNCIAS BIBLIOGRÁFICAS</w:t>
      </w:r>
    </w:p>
    <w:p w14:paraId="387AB28D" w14:textId="77777777" w:rsidR="00F012AC" w:rsidRPr="00D06118" w:rsidRDefault="00DD296D">
      <w:pPr>
        <w:pStyle w:val="normal1"/>
        <w:jc w:val="both"/>
        <w:rPr>
          <w:lang w:val="en-US"/>
        </w:rPr>
      </w:pPr>
      <w:r>
        <w:t xml:space="preserve">BORISOV, V. </w:t>
      </w:r>
      <w:r>
        <w:rPr>
          <w:i/>
          <w:iCs/>
        </w:rPr>
        <w:t>et al</w:t>
      </w:r>
      <w:r>
        <w:t xml:space="preserve">. </w:t>
      </w:r>
      <w:r w:rsidRPr="00D06118">
        <w:rPr>
          <w:lang w:val="en-US"/>
        </w:rPr>
        <w:t xml:space="preserve">Deep Neural Networks and Tabular Data: A Survey. </w:t>
      </w:r>
      <w:r w:rsidRPr="00D06118">
        <w:rPr>
          <w:b/>
          <w:bCs/>
          <w:lang w:val="en-US"/>
        </w:rPr>
        <w:t>arXiv preprint</w:t>
      </w:r>
      <w:r w:rsidRPr="00D06118">
        <w:rPr>
          <w:lang w:val="en-US"/>
        </w:rPr>
        <w:t>, arXiv:2110.01889v3, p. 1-21, 2022.</w:t>
      </w:r>
    </w:p>
    <w:p w14:paraId="5620927A" w14:textId="77777777" w:rsidR="00F012AC" w:rsidRPr="00D06118" w:rsidRDefault="00DD296D">
      <w:pPr>
        <w:pStyle w:val="normal1"/>
        <w:jc w:val="both"/>
        <w:rPr>
          <w:lang w:val="en-US"/>
        </w:rPr>
      </w:pPr>
      <w:r w:rsidRPr="00D06118">
        <w:rPr>
          <w:lang w:val="en-US"/>
        </w:rPr>
        <w:t xml:space="preserve">GORISHNIY, Y. </w:t>
      </w:r>
      <w:r w:rsidRPr="00D06118">
        <w:rPr>
          <w:i/>
          <w:iCs/>
          <w:lang w:val="en-US"/>
        </w:rPr>
        <w:t>et al</w:t>
      </w:r>
      <w:r w:rsidRPr="00D06118">
        <w:rPr>
          <w:lang w:val="en-US"/>
        </w:rPr>
        <w:t xml:space="preserve">. TabR: Tabular Deep Learning Meets Nearest Neighbors in 2023. </w:t>
      </w:r>
      <w:r w:rsidRPr="00D06118">
        <w:rPr>
          <w:b/>
          <w:bCs/>
          <w:lang w:val="en-US"/>
        </w:rPr>
        <w:t>arXiv preprint</w:t>
      </w:r>
      <w:r w:rsidRPr="00D06118">
        <w:rPr>
          <w:lang w:val="en-US"/>
        </w:rPr>
        <w:t>, arXiv:2307.14338, 2023.</w:t>
      </w:r>
    </w:p>
    <w:p w14:paraId="3AA0488F" w14:textId="77777777" w:rsidR="00F012AC" w:rsidRPr="00D06118" w:rsidRDefault="00DD296D">
      <w:pPr>
        <w:pStyle w:val="normal1"/>
        <w:jc w:val="both"/>
        <w:rPr>
          <w:lang w:val="en-US"/>
        </w:rPr>
      </w:pPr>
      <w:r w:rsidRPr="00D06118">
        <w:rPr>
          <w:lang w:val="en-US"/>
        </w:rPr>
        <w:t xml:space="preserve">GORISHNIY, Y.; KOTELNIKOV, A.; BABENKO, A. TabM: Advancing Tabular Deep Learning with Parameter-Efficient Ensembling. In: </w:t>
      </w:r>
      <w:r w:rsidRPr="00D06118">
        <w:rPr>
          <w:b/>
          <w:bCs/>
          <w:lang w:val="en-US"/>
        </w:rPr>
        <w:t>The Thirteenth International Conference on Learning Representations (ICLR)</w:t>
      </w:r>
      <w:r w:rsidRPr="00D06118">
        <w:rPr>
          <w:lang w:val="en-US"/>
        </w:rPr>
        <w:t>. 2025.</w:t>
      </w:r>
    </w:p>
    <w:p w14:paraId="320C618E" w14:textId="77777777" w:rsidR="00F012AC" w:rsidRPr="00D06118" w:rsidRDefault="00DD296D">
      <w:pPr>
        <w:pStyle w:val="normal1"/>
        <w:jc w:val="both"/>
        <w:rPr>
          <w:lang w:val="en-US"/>
        </w:rPr>
      </w:pPr>
      <w:r w:rsidRPr="00D06118">
        <w:rPr>
          <w:lang w:val="en-US"/>
        </w:rPr>
        <w:t xml:space="preserve">GRINSZTAJN, L.; OYALLON, E.; VAROQUAUX, G. Why do tree-based models still outperform deep learning on typical tabular data? </w:t>
      </w:r>
      <w:r w:rsidRPr="00D06118">
        <w:rPr>
          <w:b/>
          <w:bCs/>
          <w:lang w:val="en-US"/>
        </w:rPr>
        <w:t>Advances in Neural Information Processing Systems</w:t>
      </w:r>
      <w:r w:rsidRPr="00D06118">
        <w:rPr>
          <w:lang w:val="en-US"/>
        </w:rPr>
        <w:t>, v. 35, p. 507-520, 2022. Acesso em: 4 fev. 2026.</w:t>
      </w:r>
    </w:p>
    <w:p w14:paraId="200742A1" w14:textId="77777777" w:rsidR="00F012AC" w:rsidRPr="00D06118" w:rsidRDefault="00DD296D">
      <w:pPr>
        <w:pStyle w:val="normal1"/>
        <w:jc w:val="both"/>
        <w:rPr>
          <w:lang w:val="en-US"/>
        </w:rPr>
      </w:pPr>
      <w:r w:rsidRPr="00D06118">
        <w:rPr>
          <w:lang w:val="en-US"/>
        </w:rPr>
        <w:t xml:space="preserve">HOLLMANN, N. </w:t>
      </w:r>
      <w:r w:rsidRPr="00D06118">
        <w:rPr>
          <w:i/>
          <w:iCs/>
          <w:lang w:val="en-US"/>
        </w:rPr>
        <w:t>et al</w:t>
      </w:r>
      <w:r w:rsidRPr="00D06118">
        <w:rPr>
          <w:lang w:val="en-US"/>
        </w:rPr>
        <w:t xml:space="preserve">. Accurate predictions on small data with a tabular foundation model. </w:t>
      </w:r>
      <w:r w:rsidRPr="00D06118">
        <w:rPr>
          <w:b/>
          <w:bCs/>
          <w:lang w:val="en-US"/>
        </w:rPr>
        <w:t>Nature</w:t>
      </w:r>
      <w:r w:rsidRPr="00D06118">
        <w:rPr>
          <w:lang w:val="en-US"/>
        </w:rPr>
        <w:t>, v. 637, p. 1-8, jan. 2025.</w:t>
      </w:r>
    </w:p>
    <w:p w14:paraId="5193DD40" w14:textId="77777777" w:rsidR="00F012AC" w:rsidRPr="00D06118" w:rsidRDefault="00DD296D">
      <w:pPr>
        <w:pStyle w:val="normal1"/>
        <w:jc w:val="both"/>
        <w:rPr>
          <w:lang w:val="en-US"/>
        </w:rPr>
      </w:pPr>
      <w:r w:rsidRPr="00D06118">
        <w:rPr>
          <w:lang w:val="en-US"/>
        </w:rPr>
        <w:t xml:space="preserve">HU, K. </w:t>
      </w:r>
      <w:r w:rsidRPr="00D06118">
        <w:rPr>
          <w:i/>
          <w:iCs/>
          <w:lang w:val="en-US"/>
        </w:rPr>
        <w:t>et al</w:t>
      </w:r>
      <w:r w:rsidRPr="00D06118">
        <w:rPr>
          <w:lang w:val="en-US"/>
        </w:rPr>
        <w:t xml:space="preserve">. Defects and Inconsistencies in Solar Flare Data Sources: Implications for Machine Learning Forecasting. </w:t>
      </w:r>
      <w:r w:rsidRPr="00D06118">
        <w:rPr>
          <w:b/>
          <w:bCs/>
          <w:lang w:val="en-US"/>
        </w:rPr>
        <w:t>arXiv preprint</w:t>
      </w:r>
      <w:r w:rsidRPr="00D06118">
        <w:rPr>
          <w:lang w:val="en-US"/>
        </w:rPr>
        <w:t>, arXiv:2512.13417v2, p. 1-35, 2026. Acesso em: 21 maio 2026.</w:t>
      </w:r>
    </w:p>
    <w:p w14:paraId="309BB405" w14:textId="77777777" w:rsidR="00F012AC" w:rsidRPr="00D06118" w:rsidRDefault="00DD296D">
      <w:pPr>
        <w:pStyle w:val="normal1"/>
        <w:jc w:val="both"/>
        <w:rPr>
          <w:lang w:val="en-US"/>
        </w:rPr>
      </w:pPr>
      <w:r w:rsidRPr="00D06118">
        <w:rPr>
          <w:lang w:val="en-US"/>
        </w:rPr>
        <w:t xml:space="preserve">MCELFRESH, D. </w:t>
      </w:r>
      <w:r w:rsidRPr="00D06118">
        <w:rPr>
          <w:i/>
          <w:iCs/>
          <w:lang w:val="en-US"/>
        </w:rPr>
        <w:t>et al</w:t>
      </w:r>
      <w:r w:rsidRPr="00D06118">
        <w:rPr>
          <w:lang w:val="en-US"/>
        </w:rPr>
        <w:t xml:space="preserve">. When Do Neural Nets Outperform Boosted Trees on Tabular Data? </w:t>
      </w:r>
      <w:r w:rsidRPr="00D06118">
        <w:rPr>
          <w:b/>
          <w:bCs/>
          <w:lang w:val="en-US"/>
        </w:rPr>
        <w:t xml:space="preserve">arXiv </w:t>
      </w:r>
      <w:r w:rsidRPr="00D06118">
        <w:rPr>
          <w:b/>
          <w:bCs/>
          <w:lang w:val="en-US"/>
        </w:rPr>
        <w:lastRenderedPageBreak/>
        <w:t>preprint</w:t>
      </w:r>
      <w:r w:rsidRPr="00D06118">
        <w:rPr>
          <w:lang w:val="en-US"/>
        </w:rPr>
        <w:t>, arXiv:2305.02997v4, 2024.</w:t>
      </w:r>
    </w:p>
    <w:p w14:paraId="60560080" w14:textId="77777777" w:rsidR="00F012AC" w:rsidRPr="00D06118" w:rsidRDefault="00DD296D">
      <w:pPr>
        <w:pStyle w:val="normal1"/>
        <w:jc w:val="both"/>
        <w:rPr>
          <w:lang w:val="en-US"/>
        </w:rPr>
      </w:pPr>
      <w:r w:rsidRPr="00D06118">
        <w:rPr>
          <w:lang w:val="en-US"/>
        </w:rPr>
        <w:t xml:space="preserve">ZENG, A. </w:t>
      </w:r>
      <w:r w:rsidRPr="00D06118">
        <w:rPr>
          <w:i/>
          <w:iCs/>
          <w:lang w:val="en-US"/>
        </w:rPr>
        <w:t>et al</w:t>
      </w:r>
      <w:r w:rsidRPr="00D06118">
        <w:rPr>
          <w:lang w:val="en-US"/>
        </w:rPr>
        <w:t xml:space="preserve">. Are Transformers Effective for Time Series Forecasting? </w:t>
      </w:r>
      <w:r w:rsidRPr="00D06118">
        <w:rPr>
          <w:b/>
          <w:bCs/>
          <w:lang w:val="en-US"/>
        </w:rPr>
        <w:t>arXiv preprint</w:t>
      </w:r>
      <w:r w:rsidRPr="00D06118">
        <w:rPr>
          <w:lang w:val="en-US"/>
        </w:rPr>
        <w:t>, arXiv:2205.13504v3, p. 1-11, 2022.</w:t>
      </w:r>
    </w:p>
    <w:p w14:paraId="5E5E22CA" w14:textId="77777777" w:rsidR="00F012AC" w:rsidRPr="00D06118" w:rsidRDefault="00DD296D">
      <w:pPr>
        <w:pStyle w:val="normal1"/>
        <w:jc w:val="both"/>
        <w:rPr>
          <w:lang w:val="en-US"/>
        </w:rPr>
      </w:pPr>
      <w:r w:rsidRPr="00D06118">
        <w:rPr>
          <w:lang w:val="en-US"/>
        </w:rPr>
        <w:t>CHEN, Tianqi; GUESTRIN, Carlos. XGBoost: A Scalable Tree Boosting System. In: ACM SIGKDD INTERNATIONAL CONFERENCE ON KNOWLEDGE DISCOVERY AND DATA MINING, 22., 2016, San Francisco. Proceedings [...]. New York: ACM, 2016. p. 785-794. Acesso em: 04 fev. 2026.</w:t>
      </w:r>
    </w:p>
    <w:p w14:paraId="5C6975A0" w14:textId="77777777" w:rsidR="00F012AC" w:rsidRPr="00D06118" w:rsidRDefault="00DD296D">
      <w:pPr>
        <w:pStyle w:val="normal1"/>
        <w:jc w:val="both"/>
        <w:rPr>
          <w:lang w:val="en-US"/>
        </w:rPr>
      </w:pPr>
      <w:r w:rsidRPr="00D06118">
        <w:rPr>
          <w:lang w:val="en-US"/>
        </w:rPr>
        <w:t>LI, Qi; JI, Heng. Incremental Joint Extraction of Entity Mentions and Relations. In: PROCEEDINGS of the 52nd Annual Meeting of the Association for Computational Linguistics. Baltimore: Association for Computational Linguistics, 2014. p. 402-412.</w:t>
      </w:r>
    </w:p>
    <w:p w14:paraId="54D25796" w14:textId="77777777" w:rsidR="00F012AC" w:rsidRPr="00D06118" w:rsidRDefault="00DD296D">
      <w:pPr>
        <w:pStyle w:val="normal1"/>
        <w:jc w:val="both"/>
        <w:rPr>
          <w:lang w:val="en-US"/>
        </w:rPr>
      </w:pPr>
      <w:r w:rsidRPr="00D06118">
        <w:rPr>
          <w:lang w:val="en-US"/>
        </w:rPr>
        <w:t>RANZATO, Marc'Aurelio et al. Sequence Level Training with Recurrent Neural Networks. In: INTERNATIONAL CONFERENCE ON LEARNING REPRESENTATIONS (ICLR), 4., 2016, San Juan. Proceedings [...]. San Juan: ICLR, 2016. p. 1-16.</w:t>
      </w:r>
    </w:p>
    <w:p w14:paraId="2476F4E1" w14:textId="77777777" w:rsidR="00F012AC" w:rsidRPr="00D06118" w:rsidRDefault="00DD296D">
      <w:pPr>
        <w:pStyle w:val="normal1"/>
        <w:jc w:val="both"/>
        <w:rPr>
          <w:lang w:val="en-US"/>
        </w:rPr>
      </w:pPr>
      <w:r w:rsidRPr="00D06118">
        <w:rPr>
          <w:lang w:val="en-US"/>
        </w:rPr>
        <w:t>BISHOP, Christopher M. Pattern Recognition and Machine Learning. New York: Springer, 2006.</w:t>
      </w:r>
    </w:p>
    <w:p w14:paraId="029D17FC" w14:textId="77777777" w:rsidR="00F012AC" w:rsidRPr="00D06118" w:rsidRDefault="00DD296D">
      <w:pPr>
        <w:pStyle w:val="normal1"/>
        <w:jc w:val="both"/>
        <w:rPr>
          <w:lang w:val="en-US"/>
        </w:rPr>
      </w:pPr>
      <w:r w:rsidRPr="00D06118">
        <w:rPr>
          <w:lang w:val="en-US"/>
        </w:rPr>
        <w:t>FRIEDMAN, Jerome; HASTIE, Trevor; TIBSHIRANI, Robert. Additive logistic regression: a statistical view of boosting. The Annals of Statistics, v. 28, n. 2, p. 337-407, 2000.</w:t>
      </w:r>
    </w:p>
    <w:p w14:paraId="5FADD385" w14:textId="77777777" w:rsidR="00F012AC" w:rsidRPr="00D06118" w:rsidRDefault="00DD296D">
      <w:pPr>
        <w:pStyle w:val="normal1"/>
        <w:jc w:val="both"/>
        <w:rPr>
          <w:lang w:val="en-US"/>
        </w:rPr>
      </w:pPr>
      <w:r w:rsidRPr="00D06118">
        <w:rPr>
          <w:lang w:val="en-US"/>
        </w:rPr>
        <w:t>LONG, Philip M.; SERVEDIO, Rocco A. Random classification noise defeats AdaBoost. Communications of the ACM, v. 53, n. 11, p. 93-99, 2010.</w:t>
      </w:r>
    </w:p>
    <w:p w14:paraId="2A987F45" w14:textId="77777777" w:rsidR="00F012AC" w:rsidRDefault="00DD296D">
      <w:pPr>
        <w:pStyle w:val="normal1"/>
        <w:jc w:val="both"/>
      </w:pPr>
      <w:r w:rsidRPr="00D06118">
        <w:rPr>
          <w:lang w:val="en-US"/>
        </w:rPr>
        <w:t xml:space="preserve">DISCOLA JUNIOR, Sérgio Luisir. Enhancing solar flare forecasting: a multi-class and multi-label classification approach to handle imbalanced time series. </w:t>
      </w:r>
      <w:r>
        <w:t>2019. Tese (Doutorado em Ciência da Computação) – Universidade Federal de São Carlos, São Carlos, 2019.</w:t>
      </w:r>
    </w:p>
    <w:p w14:paraId="37573E67" w14:textId="77777777" w:rsidR="00F012AC" w:rsidRPr="00D06118" w:rsidRDefault="00DD296D">
      <w:pPr>
        <w:pStyle w:val="normal1"/>
        <w:jc w:val="both"/>
        <w:rPr>
          <w:lang w:val="en-US"/>
        </w:rPr>
      </w:pPr>
      <w:r w:rsidRPr="00D06118">
        <w:rPr>
          <w:lang w:val="en-US"/>
        </w:rPr>
        <w:t>SINA, Lennart B. et al. Hybrid Forecasting Methods: A Systematic Review. Electronics, [S. l.], v. 12, n. 9, p. 2019, 2023. Acesso em: 04 fev. 2026.</w:t>
      </w:r>
    </w:p>
    <w:p w14:paraId="2901C212" w14:textId="77777777" w:rsidR="00F012AC" w:rsidRPr="00D06118" w:rsidRDefault="00DD296D">
      <w:pPr>
        <w:pStyle w:val="normal1"/>
        <w:jc w:val="both"/>
        <w:rPr>
          <w:lang w:val="en-US"/>
        </w:rPr>
      </w:pPr>
      <w:r w:rsidRPr="00D06118">
        <w:rPr>
          <w:lang w:val="en-US"/>
        </w:rPr>
        <w:t>BRINGEWALD, J.; PARISOT, O. Solar Flare Forecast: A Comparative Analysis of Machine Learning Algorithms for Predicting Solar Flare Classes. Astronomy, v. 4, n. 4, p. 23, 2025.</w:t>
      </w:r>
    </w:p>
    <w:p w14:paraId="437EFF69" w14:textId="77777777" w:rsidR="00F012AC" w:rsidRPr="00D06118" w:rsidRDefault="00DD296D">
      <w:pPr>
        <w:pStyle w:val="normal1"/>
        <w:jc w:val="both"/>
        <w:rPr>
          <w:lang w:val="en-US"/>
        </w:rPr>
      </w:pPr>
      <w:r w:rsidRPr="00D06118">
        <w:rPr>
          <w:lang w:val="en-US"/>
        </w:rPr>
        <w:t>FLORIOS, K. et al. Forecasting solar flares using magnetogram-based predictors and machine learning. Solar Physics, v. 293, n. 2, p. 28, 2018.</w:t>
      </w:r>
    </w:p>
    <w:p w14:paraId="7A1934EF" w14:textId="77777777" w:rsidR="00F012AC" w:rsidRPr="00D06118" w:rsidRDefault="00DD296D">
      <w:pPr>
        <w:pStyle w:val="normal1"/>
        <w:jc w:val="both"/>
        <w:rPr>
          <w:lang w:val="en-US"/>
        </w:rPr>
      </w:pPr>
      <w:r w:rsidRPr="00D06118">
        <w:rPr>
          <w:lang w:val="en-US"/>
        </w:rPr>
        <w:t>FRANCISCO, G. et al. Limits of Solar Flare Forecasting Models and New Deep Learning Approach. The Astrophysical Journal, v. 985, n. 108, p. 1-17, 2025.</w:t>
      </w:r>
    </w:p>
    <w:p w14:paraId="3410B434" w14:textId="77777777" w:rsidR="00F012AC" w:rsidRPr="00D06118" w:rsidRDefault="00DD296D">
      <w:pPr>
        <w:pStyle w:val="normal1"/>
        <w:jc w:val="both"/>
        <w:rPr>
          <w:lang w:val="en-US"/>
        </w:rPr>
      </w:pPr>
      <w:r w:rsidRPr="00D06118">
        <w:rPr>
          <w:lang w:val="en-US"/>
        </w:rPr>
        <w:t>LIU, H. et al. Predicting solar flares using a long short-term memory network. The Astrophysical Journal, v. 877, n. 2, p. 121, 2019.</w:t>
      </w:r>
    </w:p>
    <w:p w14:paraId="7FDE00A2" w14:textId="77777777" w:rsidR="00F012AC" w:rsidRPr="00D06118" w:rsidRDefault="00DD296D">
      <w:pPr>
        <w:pStyle w:val="normal1"/>
        <w:jc w:val="both"/>
        <w:rPr>
          <w:lang w:val="en-US"/>
        </w:rPr>
      </w:pPr>
      <w:r w:rsidRPr="00D06118">
        <w:rPr>
          <w:lang w:val="en-US"/>
        </w:rPr>
        <w:t>WILLIAMS, T. et al. Investigating the Efficacy of Topologically Derived Time Series for Flare Forecasting. II. XGBoost Model. Draft version (Preprint), 2025.</w:t>
      </w:r>
    </w:p>
    <w:p w14:paraId="02CB4D94" w14:textId="77777777" w:rsidR="00F012AC" w:rsidRPr="00D06118" w:rsidRDefault="00DD296D">
      <w:pPr>
        <w:pStyle w:val="normal1"/>
        <w:jc w:val="both"/>
        <w:rPr>
          <w:lang w:val="en-US"/>
        </w:rPr>
      </w:pPr>
      <w:r w:rsidRPr="00D06118">
        <w:rPr>
          <w:lang w:val="en-US"/>
        </w:rPr>
        <w:t>YANG, Y. Feature importance analysis of solar flares and prediction research with ensemble machine learning models. Frontiers in Astronomy and Space Sciences, v. 11, p. 1509061, 2025.</w:t>
      </w:r>
    </w:p>
    <w:p w14:paraId="4C6BCAA8" w14:textId="77777777" w:rsidR="00F012AC" w:rsidRPr="00D06118" w:rsidRDefault="00F012AC">
      <w:pPr>
        <w:pStyle w:val="normal1"/>
        <w:spacing w:after="225"/>
        <w:rPr>
          <w:lang w:val="en-US"/>
        </w:rPr>
      </w:pPr>
    </w:p>
    <w:p w14:paraId="5E4A6919" w14:textId="77777777" w:rsidR="00F012AC" w:rsidRPr="00D06118" w:rsidRDefault="00DD296D">
      <w:pPr>
        <w:pStyle w:val="Heading2"/>
        <w:rPr>
          <w:lang w:val="en-US"/>
        </w:rPr>
      </w:pPr>
      <w:r w:rsidRPr="00D06118">
        <w:rPr>
          <w:lang w:val="en-US"/>
        </w:rPr>
        <w:t>ASSINATURAS</w:t>
      </w:r>
    </w:p>
    <w:p w14:paraId="67AEBB4C" w14:textId="77777777" w:rsidR="00F012AC" w:rsidRPr="00D06118" w:rsidRDefault="00DD296D">
      <w:pPr>
        <w:pStyle w:val="normal1"/>
        <w:rPr>
          <w:lang w:val="en-US"/>
        </w:rPr>
      </w:pPr>
      <w:r w:rsidRPr="00D06118">
        <w:rPr>
          <w:lang w:val="en-US"/>
        </w:rPr>
        <w:t>São Carlos, SP, 31/05/2026</w:t>
      </w:r>
    </w:p>
    <w:p w14:paraId="35543CEF" w14:textId="77777777" w:rsidR="00F012AC" w:rsidRPr="00D06118" w:rsidRDefault="00F012AC">
      <w:pPr>
        <w:pStyle w:val="normal1"/>
        <w:rPr>
          <w:lang w:val="en-US"/>
        </w:rPr>
      </w:pPr>
    </w:p>
    <w:p w14:paraId="7BB26CFF" w14:textId="77777777" w:rsidR="00F012AC" w:rsidRDefault="00F012AC">
      <w:pPr>
        <w:pStyle w:val="normal1"/>
        <w:rPr>
          <w:lang w:val="en-US"/>
        </w:rPr>
      </w:pPr>
    </w:p>
    <w:p w14:paraId="3A037799" w14:textId="77777777" w:rsidR="003E55D7" w:rsidRDefault="003E55D7">
      <w:pPr>
        <w:pStyle w:val="normal1"/>
        <w:rPr>
          <w:lang w:val="en-US"/>
        </w:rPr>
      </w:pPr>
    </w:p>
    <w:p w14:paraId="29F209A7" w14:textId="77777777" w:rsidR="003E55D7" w:rsidRDefault="003E55D7">
      <w:pPr>
        <w:pStyle w:val="normal1"/>
        <w:rPr>
          <w:lang w:val="en-US"/>
        </w:rPr>
      </w:pPr>
    </w:p>
    <w:p w14:paraId="6969F098" w14:textId="77777777" w:rsidR="003E55D7" w:rsidRPr="00D06118" w:rsidRDefault="003E55D7">
      <w:pPr>
        <w:pStyle w:val="normal1"/>
        <w:rPr>
          <w:lang w:val="en-US"/>
        </w:rPr>
      </w:pPr>
    </w:p>
    <w:p w14:paraId="070C5A1E" w14:textId="77777777" w:rsidR="00F012AC" w:rsidRDefault="00DD296D">
      <w:pPr>
        <w:pStyle w:val="normal1"/>
      </w:pPr>
      <w:r>
        <w:t>_________________________________</w:t>
      </w:r>
    </w:p>
    <w:p w14:paraId="7FE9DE87" w14:textId="284B2561" w:rsidR="00F012AC" w:rsidRDefault="003E55D7">
      <w:pPr>
        <w:pStyle w:val="normal1"/>
      </w:pPr>
      <w:r>
        <w:t>Eduardo Oliveira Ferraz de Campos</w:t>
      </w:r>
    </w:p>
    <w:p w14:paraId="4A0AD2A2" w14:textId="77777777" w:rsidR="00F012AC" w:rsidRDefault="00F012AC">
      <w:pPr>
        <w:pStyle w:val="normal1"/>
      </w:pPr>
    </w:p>
    <w:p w14:paraId="1C3F78C8" w14:textId="77777777" w:rsidR="00F012AC" w:rsidRDefault="00F012AC">
      <w:pPr>
        <w:pStyle w:val="normal1"/>
      </w:pPr>
    </w:p>
    <w:p w14:paraId="4BD3B7A8" w14:textId="77777777" w:rsidR="003E55D7" w:rsidRDefault="003E55D7">
      <w:pPr>
        <w:pStyle w:val="normal1"/>
      </w:pPr>
    </w:p>
    <w:p w14:paraId="7B04B307" w14:textId="77777777" w:rsidR="003E55D7" w:rsidRDefault="003E55D7">
      <w:pPr>
        <w:pStyle w:val="normal1"/>
      </w:pPr>
    </w:p>
    <w:p w14:paraId="2122954A" w14:textId="77777777" w:rsidR="003E55D7" w:rsidRDefault="003E55D7">
      <w:pPr>
        <w:pStyle w:val="normal1"/>
      </w:pPr>
    </w:p>
    <w:p w14:paraId="3689048E" w14:textId="77777777" w:rsidR="003E55D7" w:rsidRDefault="003E55D7">
      <w:pPr>
        <w:pStyle w:val="normal1"/>
      </w:pPr>
    </w:p>
    <w:p w14:paraId="4A0941A9" w14:textId="77777777" w:rsidR="00F012AC" w:rsidRDefault="00DD296D">
      <w:pPr>
        <w:pStyle w:val="normal1"/>
      </w:pPr>
      <w:r>
        <w:t>_________________________________</w:t>
      </w:r>
    </w:p>
    <w:p w14:paraId="6028C24A" w14:textId="40063662" w:rsidR="00F012AC" w:rsidRDefault="003E55D7">
      <w:pPr>
        <w:pStyle w:val="normal1"/>
      </w:pPr>
      <w:r w:rsidRPr="003E55D7">
        <w:t>Sérgio Luisir Discola Junior</w:t>
      </w:r>
    </w:p>
    <w:sectPr w:rsidR="00F012AC">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embedItalic r:id="rId1" w:fontKey="{51483026-6DA1-4A85-AB6D-9D88701342C7}"/>
  </w:font>
  <w:font w:name="Arial Unicode MS">
    <w:altName w:val="Arial"/>
    <w:panose1 w:val="020B0604020202020204"/>
    <w:charset w:val="01"/>
    <w:family w:val="roman"/>
    <w:pitch w:val="variable"/>
  </w:font>
  <w:font w:name="Courier">
    <w:altName w:val="Courier New"/>
    <w:panose1 w:val="02070409020205020404"/>
    <w:charset w:val="01"/>
    <w:family w:val="roman"/>
    <w:pitch w:val="variable"/>
  </w:font>
  <w:font w:name="Calibri">
    <w:panose1 w:val="020F0502020204030204"/>
    <w:charset w:val="00"/>
    <w:family w:val="swiss"/>
    <w:pitch w:val="variable"/>
    <w:sig w:usb0="E4002EFF" w:usb1="C200247B" w:usb2="00000009" w:usb3="00000000" w:csb0="000001FF" w:csb1="00000000"/>
    <w:embedRegular r:id="rId2" w:fontKey="{2B9EE292-62CF-4229-97C9-49897E9E9560}"/>
  </w:font>
  <w:font w:name="Cambria">
    <w:panose1 w:val="02040503050406030204"/>
    <w:charset w:val="00"/>
    <w:family w:val="roman"/>
    <w:pitch w:val="variable"/>
    <w:sig w:usb0="E00006FF" w:usb1="420024FF" w:usb2="02000000" w:usb3="00000000" w:csb0="0000019F" w:csb1="00000000"/>
    <w:embedRegular r:id="rId3" w:fontKey="{E57CEBD6-6079-486C-9320-40459FB945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21B9"/>
    <w:multiLevelType w:val="multilevel"/>
    <w:tmpl w:val="0A7C8000"/>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1" w15:restartNumberingAfterBreak="0">
    <w:nsid w:val="0FF13B11"/>
    <w:multiLevelType w:val="multilevel"/>
    <w:tmpl w:val="5F5A8C48"/>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2" w15:restartNumberingAfterBreak="0">
    <w:nsid w:val="11437359"/>
    <w:multiLevelType w:val="multilevel"/>
    <w:tmpl w:val="ED346DB0"/>
    <w:lvl w:ilvl="0">
      <w:start w:val="1"/>
      <w:numFmt w:val="decimal"/>
      <w:lvlText w:val="%1."/>
      <w:lvlJc w:val="left"/>
      <w:pPr>
        <w:tabs>
          <w:tab w:val="num" w:pos="0"/>
        </w:tabs>
        <w:ind w:left="600" w:hanging="360"/>
      </w:pPr>
      <w:rPr>
        <w:rFonts w:ascii="Arial" w:eastAsia="Arial" w:hAnsi="Arial" w:cs="Arial"/>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3" w15:restartNumberingAfterBreak="0">
    <w:nsid w:val="1B037F0C"/>
    <w:multiLevelType w:val="multilevel"/>
    <w:tmpl w:val="7558548C"/>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4" w15:restartNumberingAfterBreak="0">
    <w:nsid w:val="270B1BAA"/>
    <w:multiLevelType w:val="multilevel"/>
    <w:tmpl w:val="04523FCA"/>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5" w15:restartNumberingAfterBreak="0">
    <w:nsid w:val="4D8367DA"/>
    <w:multiLevelType w:val="multilevel"/>
    <w:tmpl w:val="BC825E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F844DFD"/>
    <w:multiLevelType w:val="multilevel"/>
    <w:tmpl w:val="44329052"/>
    <w:lvl w:ilvl="0">
      <w:start w:val="1"/>
      <w:numFmt w:val="decimal"/>
      <w:lvlText w:val="%1."/>
      <w:lvlJc w:val="left"/>
      <w:pPr>
        <w:tabs>
          <w:tab w:val="num" w:pos="0"/>
        </w:tabs>
        <w:ind w:left="600" w:hanging="360"/>
      </w:pPr>
      <w:rPr>
        <w:rFonts w:ascii="Arial" w:eastAsia="Arial" w:hAnsi="Arial" w:cs="Arial"/>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7" w15:restartNumberingAfterBreak="0">
    <w:nsid w:val="558B7E72"/>
    <w:multiLevelType w:val="multilevel"/>
    <w:tmpl w:val="80EE8DB6"/>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8" w15:restartNumberingAfterBreak="0">
    <w:nsid w:val="6595401C"/>
    <w:multiLevelType w:val="multilevel"/>
    <w:tmpl w:val="6E146A54"/>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9" w15:restartNumberingAfterBreak="0">
    <w:nsid w:val="6F096B1F"/>
    <w:multiLevelType w:val="multilevel"/>
    <w:tmpl w:val="A774B6EA"/>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10" w15:restartNumberingAfterBreak="0">
    <w:nsid w:val="7D7D7727"/>
    <w:multiLevelType w:val="multilevel"/>
    <w:tmpl w:val="CF48B10A"/>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num w:numId="1" w16cid:durableId="90052201">
    <w:abstractNumId w:val="0"/>
  </w:num>
  <w:num w:numId="2" w16cid:durableId="1626500948">
    <w:abstractNumId w:val="4"/>
  </w:num>
  <w:num w:numId="3" w16cid:durableId="679549771">
    <w:abstractNumId w:val="2"/>
  </w:num>
  <w:num w:numId="4" w16cid:durableId="1658730025">
    <w:abstractNumId w:val="1"/>
  </w:num>
  <w:num w:numId="5" w16cid:durableId="1312175615">
    <w:abstractNumId w:val="10"/>
  </w:num>
  <w:num w:numId="6" w16cid:durableId="1789423226">
    <w:abstractNumId w:val="9"/>
  </w:num>
  <w:num w:numId="7" w16cid:durableId="597298282">
    <w:abstractNumId w:val="6"/>
  </w:num>
  <w:num w:numId="8" w16cid:durableId="1427461984">
    <w:abstractNumId w:val="3"/>
  </w:num>
  <w:num w:numId="9" w16cid:durableId="1535383510">
    <w:abstractNumId w:val="7"/>
  </w:num>
  <w:num w:numId="10" w16cid:durableId="1461847575">
    <w:abstractNumId w:val="8"/>
  </w:num>
  <w:num w:numId="11" w16cid:durableId="937561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mailMerge>
    <w:mainDocumentType w:val="formLetters"/>
    <w:dataType w:val="textFile"/>
    <w:query w:val="SELECT * FROM Endereços.dbo.Planilha2$"/>
  </w:mailMerge>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2AC"/>
    <w:rsid w:val="003815EA"/>
    <w:rsid w:val="003E55D7"/>
    <w:rsid w:val="00C86D18"/>
    <w:rsid w:val="00D06118"/>
    <w:rsid w:val="00DD296D"/>
    <w:rsid w:val="00F012A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B2E8"/>
  <w15:docId w15:val="{1B18C08C-52FC-45A6-9E0A-888E7BBB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1"/>
    <w:next w:val="normal1"/>
    <w:uiPriority w:val="9"/>
    <w:qFormat/>
    <w:pPr>
      <w:spacing w:before="240" w:after="240"/>
      <w:outlineLvl w:val="0"/>
    </w:pPr>
    <w:rPr>
      <w:b/>
      <w:bCs/>
      <w:sz w:val="48"/>
      <w:szCs w:val="48"/>
    </w:rPr>
  </w:style>
  <w:style w:type="paragraph" w:styleId="Heading2">
    <w:name w:val="heading 2"/>
    <w:basedOn w:val="normal1"/>
    <w:next w:val="normal1"/>
    <w:uiPriority w:val="9"/>
    <w:unhideWhenUsed/>
    <w:qFormat/>
    <w:pPr>
      <w:spacing w:before="225" w:after="225"/>
      <w:outlineLvl w:val="1"/>
    </w:pPr>
    <w:rPr>
      <w:b/>
      <w:bCs/>
      <w:sz w:val="36"/>
      <w:szCs w:val="36"/>
    </w:rPr>
  </w:style>
  <w:style w:type="paragraph" w:styleId="Heading3">
    <w:name w:val="heading 3"/>
    <w:basedOn w:val="normal1"/>
    <w:next w:val="normal1"/>
    <w:uiPriority w:val="9"/>
    <w:unhideWhenUsed/>
    <w:qFormat/>
    <w:pPr>
      <w:spacing w:before="240" w:after="240"/>
      <w:outlineLvl w:val="2"/>
    </w:pPr>
    <w:rPr>
      <w:b/>
      <w:bCs/>
      <w:sz w:val="28"/>
      <w:szCs w:val="28"/>
    </w:rPr>
  </w:style>
  <w:style w:type="paragraph" w:styleId="Heading4">
    <w:name w:val="heading 4"/>
    <w:basedOn w:val="normal1"/>
    <w:next w:val="normal1"/>
    <w:uiPriority w:val="9"/>
    <w:semiHidden/>
    <w:unhideWhenUsed/>
    <w:qFormat/>
    <w:pPr>
      <w:spacing w:before="255" w:after="255"/>
      <w:outlineLvl w:val="3"/>
    </w:pPr>
    <w:rPr>
      <w:b/>
      <w:bCs/>
      <w:sz w:val="24"/>
      <w:szCs w:val="24"/>
    </w:rPr>
  </w:style>
  <w:style w:type="paragraph" w:styleId="Heading5">
    <w:name w:val="heading 5"/>
    <w:basedOn w:val="normal1"/>
    <w:next w:val="normal1"/>
    <w:uiPriority w:val="9"/>
    <w:semiHidden/>
    <w:unhideWhenUsed/>
    <w:qFormat/>
    <w:pPr>
      <w:spacing w:before="255" w:after="255"/>
      <w:outlineLvl w:val="4"/>
    </w:pPr>
    <w:rPr>
      <w:b/>
      <w:bCs/>
      <w:sz w:val="18"/>
      <w:szCs w:val="18"/>
    </w:rPr>
  </w:style>
  <w:style w:type="paragraph" w:styleId="Heading6">
    <w:name w:val="heading 6"/>
    <w:basedOn w:val="normal1"/>
    <w:next w:val="normal1"/>
    <w:uiPriority w:val="9"/>
    <w:semiHidden/>
    <w:unhideWhenUsed/>
    <w:qFormat/>
    <w:pP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BodyText"/>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normal1">
    <w:name w:val="normal1"/>
    <w:qFormat/>
    <w:pPr>
      <w:widowControl w:val="0"/>
    </w:pPr>
  </w:style>
  <w:style w:type="paragraph" w:styleId="Title">
    <w:name w:val="Title"/>
    <w:basedOn w:val="normal1"/>
    <w:next w:val="normal1"/>
    <w:uiPriority w:val="10"/>
    <w:qFormat/>
    <w:pPr>
      <w:keepNext/>
      <w:keepLines/>
      <w:spacing w:before="480" w:after="120"/>
    </w:pPr>
    <w:rPr>
      <w:b/>
      <w:bCs/>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10059</Words>
  <Characters>57339</Characters>
  <Application>Microsoft Office Word</Application>
  <DocSecurity>0</DocSecurity>
  <Lines>477</Lines>
  <Paragraphs>134</Paragraphs>
  <ScaleCrop>false</ScaleCrop>
  <Company/>
  <LinksUpToDate>false</LinksUpToDate>
  <CharactersWithSpaces>67264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Eduardo Ferraz</cp:lastModifiedBy>
  <cp:revision>4</cp:revision>
  <dcterms:created xsi:type="dcterms:W3CDTF">2026-06-03T23:23:00Z</dcterms:created>
  <dcterms:modified xsi:type="dcterms:W3CDTF">2026-06-03T23:43:00Z</dcterms:modified>
  <dc:language>pt-BR</dc:language>
</cp:coreProperties>
</file>