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r>
        <w:rPr>
          <w:b/>
          <w:color w:val="098E91"/>
          <w:sz w:val="18"/>
        </w:rPr>
        <w:t>RELATÓRIO EXECUTIVO     /     ESTUDO ACADÊMICO</w:t>
      </w:r>
    </w:p>
    <w:p>
      <w:pPr>
        <w:pStyle w:val="Title"/>
      </w:pPr>
      <w:r>
        <w:t>Crescimento e Receita</w:t>
        <w:br/>
        <w:t>Olist E-commerce</w:t>
      </w:r>
    </w:p>
    <w:p>
      <w:r>
        <w:rPr>
          <w:color w:val="5E7187"/>
          <w:sz w:val="26"/>
        </w:rPr>
        <w:t>Uma narrativa orientada a decisões de investimento</w:t>
      </w:r>
    </w:p>
    <w:p>
      <w:r>
        <w:br/>
      </w:r>
    </w:p>
    <w:p>
      <w:r>
        <w:rPr>
          <w:b/>
          <w:color w:val="152D4A"/>
          <w:sz w:val="34"/>
        </w:rPr>
        <w:t>Crescer com eficiência, não apenas com volume.</w:t>
      </w:r>
    </w:p>
    <w:p>
      <w:r>
        <w:t>A amostra histórica registra escala comercial relevante. O crescimento de jan–ago/2017 para jan–ago/2018 decorre, sobretudo, de mais pedidos — e não de maior ticket médio. A decisão proposta é preservar as fontes de GMV e realizar pilotos regionais condicionados a evidências de rentabilidade e qualidade de serviço.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AF1F5"/>
            <w:vAlign w:val="center"/>
          </w:tcPr>
          <w:p>
            <w:r>
              <w:rPr>
                <w:b/>
                <w:color w:val="5E7187"/>
                <w:sz w:val="15"/>
              </w:rPr>
              <w:t>GMV HISTÓRICO</w:t>
            </w:r>
          </w:p>
          <w:p>
            <w:r>
              <w:rPr>
                <w:b/>
                <w:color w:val="152D4A"/>
                <w:sz w:val="32"/>
              </w:rPr>
              <w:t>R$ 13,22 mi</w:t>
            </w:r>
          </w:p>
        </w:tc>
        <w:tc>
          <w:tcPr>
            <w:tcW w:type="dxa" w:w="3213"/>
            <w:shd w:fill="EAF1F5"/>
            <w:vAlign w:val="center"/>
          </w:tcPr>
          <w:p>
            <w:r>
              <w:rPr>
                <w:b/>
                <w:color w:val="5E7187"/>
                <w:sz w:val="15"/>
              </w:rPr>
              <w:t>PEDIDOS ENTREGUES</w:t>
            </w:r>
          </w:p>
          <w:p>
            <w:r>
              <w:rPr>
                <w:b/>
                <w:color w:val="152D4A"/>
                <w:sz w:val="32"/>
              </w:rPr>
              <w:t>96.478</w:t>
            </w:r>
          </w:p>
        </w:tc>
        <w:tc>
          <w:tcPr>
            <w:tcW w:type="dxa" w:w="3213"/>
            <w:shd w:fill="EAF1F5"/>
            <w:vAlign w:val="center"/>
          </w:tcPr>
          <w:p>
            <w:r>
              <w:rPr>
                <w:b/>
                <w:color w:val="5E7187"/>
                <w:sz w:val="15"/>
              </w:rPr>
              <w:t>TICKET MÉDIO</w:t>
            </w:r>
          </w:p>
          <w:p>
            <w:r>
              <w:rPr>
                <w:b/>
                <w:color w:val="152D4A"/>
                <w:sz w:val="32"/>
              </w:rPr>
              <w:t>R$ 137,04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2"/>
      </w:pPr>
      <w:r>
        <w:t>Pergunta para o comitê</w:t>
      </w:r>
    </w:p>
    <w:p>
      <w:r>
        <w:t>Como transformar a expansão de pedidos em crescimento sustentável, reduzindo riscos de concentração e priorizando capital apenas onde o resultado incremental puder ser comprovado?</w:t>
      </w:r>
    </w:p>
    <w:p>
      <w:r>
        <w:br/>
      </w:r>
    </w:p>
    <w:p>
      <w:pPr>
        <w:pStyle w:val="SmallCaption"/>
      </w:pPr>
      <w:r>
        <w:t>Escopo acadêmico: pedidos entregues e preço dos itens (sem frete) do Brazilian E-Commerce Public Dataset by Olist. Amostra histórica 2016–2018. Não equivale a desempenho financeiro atual, lucro, faturamento contábil ou market share.</w:t>
      </w:r>
    </w:p>
    <w:p>
      <w:r>
        <w:br w:type="page"/>
      </w:r>
    </w:p>
    <w:p>
      <w:pPr>
        <w:pStyle w:val="Heading1"/>
      </w:pPr>
      <w:r>
        <w:t>01  Sumário executivo</w:t>
      </w:r>
    </w:p>
    <w:p>
      <w:r>
        <w:t>No comparativo janeiro–agosto, o GMV dos produtos entregues avançou 141,1%, e os pedidos, 139,9%. O ticket médio variou apenas 0,5%. A identidade GMV = pedidos × ticket confirma que a expansão está concentrada na alavanca de volume.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AF1F5"/>
            <w:vAlign w:val="center"/>
          </w:tcPr>
          <w:p>
            <w:r>
              <w:rPr>
                <w:b/>
                <w:color w:val="5E7187"/>
                <w:sz w:val="15"/>
              </w:rPr>
              <w:t>GMV JAN–AGO/2018</w:t>
            </w:r>
          </w:p>
          <w:p>
            <w:r>
              <w:rPr>
                <w:b/>
                <w:color w:val="152D4A"/>
                <w:sz w:val="32"/>
              </w:rPr>
              <w:t>R$ 7,22 mi</w:t>
            </w:r>
          </w:p>
        </w:tc>
        <w:tc>
          <w:tcPr>
            <w:tcW w:type="dxa" w:w="3213"/>
            <w:shd w:fill="EAF1F5"/>
            <w:vAlign w:val="center"/>
          </w:tcPr>
          <w:p>
            <w:r>
              <w:rPr>
                <w:b/>
                <w:color w:val="5E7187"/>
                <w:sz w:val="15"/>
              </w:rPr>
              <w:t>CRESCIMENTO GMV</w:t>
            </w:r>
          </w:p>
          <w:p>
            <w:r>
              <w:rPr>
                <w:b/>
                <w:color w:val="152D4A"/>
                <w:sz w:val="32"/>
              </w:rPr>
              <w:t>+141,1%</w:t>
            </w:r>
          </w:p>
        </w:tc>
        <w:tc>
          <w:tcPr>
            <w:tcW w:type="dxa" w:w="3213"/>
            <w:shd w:fill="EAF1F5"/>
            <w:vAlign w:val="center"/>
          </w:tcPr>
          <w:p>
            <w:r>
              <w:rPr>
                <w:b/>
                <w:color w:val="5E7187"/>
                <w:sz w:val="15"/>
              </w:rPr>
              <w:t>CRESCIMENTO PEDIDOS</w:t>
            </w:r>
          </w:p>
          <w:p>
            <w:r>
              <w:rPr>
                <w:b/>
                <w:color w:val="152D4A"/>
                <w:sz w:val="32"/>
              </w:rPr>
              <w:t>+139,9%</w:t>
            </w:r>
          </w:p>
        </w:tc>
      </w:tr>
    </w:tbl>
    <w:p>
      <w:pPr>
        <w:spacing w:after="0"/>
      </w:pPr>
    </w:p>
    <w:p>
      <w:pPr>
        <w:pStyle w:val="Heading2"/>
      </w:pPr>
      <w:r>
        <w:t>Quatro evidências para decisão</w:t>
      </w:r>
    </w:p>
    <w:p>
      <w:pPr>
        <w:pStyle w:val="ListBullet"/>
      </w:pPr>
      <w:r>
        <w:t>Crescimento: a ponte aritmética atribui a maior parte do incremento de R$ 4,22 milhões a mais pedidos, não a aumento de ticket.</w:t>
      </w:r>
    </w:p>
    <w:p>
      <w:pPr>
        <w:pStyle w:val="ListBullet"/>
      </w:pPr>
      <w:r>
        <w:t>Portfólio: Health &amp; Beauty responde por 9,3% do GMV histórico; as dez maiores categorias, por 62,4%.</w:t>
      </w:r>
    </w:p>
    <w:p>
      <w:pPr>
        <w:pStyle w:val="ListBullet"/>
      </w:pPr>
      <w:r>
        <w:t>Concentração: 38,3% do GMV está em SP; os 10% maiores sellers representam 67,1% do GMV analisado por vendedores.</w:t>
      </w:r>
    </w:p>
    <w:p>
      <w:pPr>
        <w:pStyle w:val="ListBullet"/>
      </w:pPr>
      <w:r>
        <w:t>Geografia: a triagem exploratória destaca BA, CE, PE e GO como UFs elegíveis a diagnóstico, sem inferir retorno garantido.</w:t>
      </w:r>
    </w:p>
    <w:p>
      <w:pPr>
        <w:pStyle w:val="Heading2"/>
      </w:pPr>
      <w:r>
        <w:t>Recomendação central</w:t>
      </w:r>
    </w:p>
    <w:p>
      <w:r>
        <w:t>Aprovar uma agenda de instrumentação de rentabilidade, acompanhamento dos sellers estratégicos e pilotos regionais com grupo de comparação. Condicionar qualquer ampliação do investimento à margem incremental positiva, controle dos custos de aquisição e manutenção do nível de serviço.</w:t>
      </w:r>
    </w:p>
    <w:p>
      <w:pPr>
        <w:pStyle w:val="Heading2"/>
      </w:pPr>
      <w:r>
        <w:t>Estrutura do relatório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33"/>
      </w:tblGrid>
      <w:tr>
        <w:tc>
          <w:tcPr>
            <w:tcW w:type="dxa" w:w="4819"/>
            <w:shd w:fill="152D4A"/>
          </w:tcPr>
          <w:p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4819"/>
            <w:shd w:fill="152D4A"/>
          </w:tcPr>
          <w:p>
            <w:r>
              <w:rPr>
                <w:b/>
                <w:color w:val="FFFFFF"/>
                <w:sz w:val="16"/>
              </w:rPr>
              <w:t>Pergunta executiva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rPr>
                <w:color w:val="233447"/>
                <w:sz w:val="16"/>
              </w:rPr>
              <w:t>02 • Contexto</w:t>
            </w:r>
          </w:p>
        </w:tc>
        <w:tc>
          <w:tcPr>
            <w:tcW w:type="dxa" w:w="6633"/>
            <w:vAlign w:val="center"/>
            <w:shd w:fill="F4F7FA"/>
          </w:tcPr>
          <w:p>
            <w:r>
              <w:rPr>
                <w:color w:val="233447"/>
                <w:sz w:val="16"/>
              </w:rPr>
              <w:t>Que dados temos e como se comparam ao setor?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color w:val="233447"/>
                <w:sz w:val="16"/>
              </w:rPr>
              <w:t>03 • Desempenho</w:t>
            </w:r>
          </w:p>
        </w:tc>
        <w:tc>
          <w:tcPr>
            <w:tcW w:type="dxa" w:w="6633"/>
            <w:vAlign w:val="center"/>
          </w:tcPr>
          <w:p>
            <w:r>
              <w:rPr>
                <w:color w:val="233447"/>
                <w:sz w:val="16"/>
              </w:rPr>
              <w:t>O que explica a expansão observada?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rPr>
                <w:color w:val="233447"/>
                <w:sz w:val="16"/>
              </w:rPr>
              <w:t>04 • Cenários</w:t>
            </w:r>
          </w:p>
        </w:tc>
        <w:tc>
          <w:tcPr>
            <w:tcW w:type="dxa" w:w="6633"/>
            <w:vAlign w:val="center"/>
            <w:shd w:fill="F4F7FA"/>
          </w:tcPr>
          <w:p>
            <w:r>
              <w:rPr>
                <w:color w:val="233447"/>
                <w:sz w:val="16"/>
              </w:rPr>
              <w:t>Qual é a sensibilidade a pedidos e ticket?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color w:val="233447"/>
                <w:sz w:val="16"/>
              </w:rPr>
              <w:t>05 • Oportunidades</w:t>
            </w:r>
          </w:p>
        </w:tc>
        <w:tc>
          <w:tcPr>
            <w:tcW w:type="dxa" w:w="6633"/>
            <w:vAlign w:val="center"/>
          </w:tcPr>
          <w:p>
            <w:r>
              <w:rPr>
                <w:color w:val="233447"/>
                <w:sz w:val="16"/>
              </w:rPr>
              <w:t>Que regiões investigar primeiro?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rPr>
                <w:color w:val="233447"/>
                <w:sz w:val="16"/>
              </w:rPr>
              <w:t>06 • Ação e conclusões</w:t>
            </w:r>
          </w:p>
        </w:tc>
        <w:tc>
          <w:tcPr>
            <w:tcW w:type="dxa" w:w="6633"/>
            <w:vAlign w:val="center"/>
            <w:shd w:fill="F4F7FA"/>
          </w:tcPr>
          <w:p>
            <w:r>
              <w:rPr>
                <w:color w:val="233447"/>
                <w:sz w:val="16"/>
              </w:rPr>
              <w:t>Como decidir se devemos escalar?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  Contexto setorial e método</w:t>
      </w:r>
    </w:p>
    <w:p>
      <w:r>
        <w:t>O indicador central deste projeto é GMV de itens entregues, calculado pela soma de order_items.price dos pedidos entregues, por data da compra. Exclui frete e pedidos não entregues. Ticket = GMV / pedidos entregues com itens. A geografia reflete a UF do cliente, não a localização logística efetiva.</w:t>
      </w:r>
    </w:p>
    <w:p>
      <w:pPr>
        <w:pStyle w:val="Heading2"/>
      </w:pPr>
      <w:r>
        <w:t>Mercado brasileiro em expansão, mas métricas não equivalentes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60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6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Webshoppers/Ebit-Nielsen, o faturamento anual do e-commerce brasileiro passou de R$ 47,4 bilhões (2017) para R$ 53,2 bilhões (2018); a variação calculada a partir desses valores arredondados é 12,2%. Já a Olist é analisada em meses comparáveis janeiro–agosto, com GMV de itens entregues. A diferença de taxas não identifica market share, pois janelas, universos e conceitos são distintos.</w:t>
      </w:r>
    </w:p>
    <w:p>
      <w:pPr>
        <w:pStyle w:val="Heading2"/>
      </w:pPr>
      <w:r>
        <w:t>Referência regional IBGE</w:t>
      </w:r>
    </w:p>
    <w:p>
      <w:r>
        <w:t>As estimativas populacionais do IBGE para 2018 permitem medir a intensidade relativa de presença na amostra: participação da UF no GMV de jan–ago/2018 dividida por sua participação na população nacional. Índices maiores ou menores que 1 são sinais descritivos, não demanda reprimida nem ROI.</w:t>
      </w:r>
    </w:p>
    <w:p>
      <w:pPr>
        <w:pStyle w:val="SmallCaption"/>
      </w:pPr>
      <w:r>
        <w:t>Fontes: IBGE, Estimativas de População 2018 (tabela revisada publicada em 2022); Ebit/Nielsen, Webshoppers e divulgação pública de 2019. Dados externos versionados em data/external/.</w:t>
      </w:r>
    </w:p>
    <w:p>
      <w:r>
        <w:br w:type="page"/>
      </w:r>
    </w:p>
    <w:p>
      <w:pPr>
        <w:pStyle w:val="Heading1"/>
      </w:pPr>
      <w:r>
        <w:t>03  Crescimento comercial e suas alavancas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73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ci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327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928"/>
        <w:gridCol w:w="1928"/>
        <w:gridCol w:w="2438"/>
      </w:tblGrid>
      <w:tr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Comparativo jan–ago</w:t>
            </w:r>
          </w:p>
        </w:tc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2017</w:t>
            </w:r>
          </w:p>
        </w:tc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2018</w:t>
            </w:r>
          </w:p>
        </w:tc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Variação</w:t>
            </w:r>
          </w:p>
        </w:tc>
      </w:tr>
      <w:tr>
        <w:tc>
          <w:tcPr>
            <w:tcW w:type="dxa" w:w="3118"/>
            <w:vAlign w:val="center"/>
            <w:shd w:fill="F4F7FA"/>
          </w:tcPr>
          <w:p>
            <w:r>
              <w:rPr>
                <w:color w:val="233447"/>
                <w:sz w:val="16"/>
              </w:rPr>
              <w:t>GMV dos itens</w:t>
            </w:r>
          </w:p>
        </w:tc>
        <w:tc>
          <w:tcPr>
            <w:tcW w:type="dxa" w:w="1928"/>
            <w:vAlign w:val="center"/>
            <w:shd w:fill="F4F7FA"/>
          </w:tcPr>
          <w:p>
            <w:r>
              <w:rPr>
                <w:color w:val="233447"/>
                <w:sz w:val="16"/>
              </w:rPr>
              <w:t>R$ 2,99 mi</w:t>
            </w:r>
          </w:p>
        </w:tc>
        <w:tc>
          <w:tcPr>
            <w:tcW w:type="dxa" w:w="1928"/>
            <w:vAlign w:val="center"/>
            <w:shd w:fill="F4F7FA"/>
          </w:tcPr>
          <w:p>
            <w:r>
              <w:rPr>
                <w:color w:val="233447"/>
                <w:sz w:val="16"/>
              </w:rPr>
              <w:t>R$ 7,22 mi</w:t>
            </w:r>
          </w:p>
        </w:tc>
        <w:tc>
          <w:tcPr>
            <w:tcW w:type="dxa" w:w="2438"/>
            <w:vAlign w:val="center"/>
            <w:shd w:fill="F4F7FA"/>
          </w:tcPr>
          <w:p>
            <w:r>
              <w:rPr>
                <w:color w:val="233447"/>
                <w:sz w:val="16"/>
              </w:rPr>
              <w:t>+141,1%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color w:val="233447"/>
                <w:sz w:val="16"/>
              </w:rPr>
              <w:t>Pedidos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233447"/>
                <w:sz w:val="16"/>
              </w:rPr>
              <w:t>21.998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233447"/>
                <w:sz w:val="16"/>
              </w:rPr>
              <w:t>52.783</w:t>
            </w:r>
          </w:p>
        </w:tc>
        <w:tc>
          <w:tcPr>
            <w:tcW w:type="dxa" w:w="2438"/>
            <w:vAlign w:val="center"/>
          </w:tcPr>
          <w:p>
            <w:r>
              <w:rPr>
                <w:color w:val="233447"/>
                <w:sz w:val="16"/>
              </w:rPr>
              <w:t>+139,9%</w:t>
            </w:r>
          </w:p>
        </w:tc>
      </w:tr>
      <w:tr>
        <w:tc>
          <w:tcPr>
            <w:tcW w:type="dxa" w:w="3118"/>
            <w:vAlign w:val="center"/>
            <w:shd w:fill="F4F7FA"/>
          </w:tcPr>
          <w:p>
            <w:r>
              <w:rPr>
                <w:color w:val="233447"/>
                <w:sz w:val="16"/>
              </w:rPr>
              <w:t>Ticket médio</w:t>
            </w:r>
          </w:p>
        </w:tc>
        <w:tc>
          <w:tcPr>
            <w:tcW w:type="dxa" w:w="1928"/>
            <w:vAlign w:val="center"/>
            <w:shd w:fill="F4F7FA"/>
          </w:tcPr>
          <w:p>
            <w:r>
              <w:rPr>
                <w:color w:val="233447"/>
                <w:sz w:val="16"/>
              </w:rPr>
              <w:t>R$ 136,08</w:t>
            </w:r>
          </w:p>
        </w:tc>
        <w:tc>
          <w:tcPr>
            <w:tcW w:type="dxa" w:w="1928"/>
            <w:vAlign w:val="center"/>
            <w:shd w:fill="F4F7FA"/>
          </w:tcPr>
          <w:p>
            <w:r>
              <w:rPr>
                <w:color w:val="233447"/>
                <w:sz w:val="16"/>
              </w:rPr>
              <w:t>R$ 136,75</w:t>
            </w:r>
          </w:p>
        </w:tc>
        <w:tc>
          <w:tcPr>
            <w:tcW w:type="dxa" w:w="2438"/>
            <w:vAlign w:val="center"/>
            <w:shd w:fill="F4F7FA"/>
          </w:tcPr>
          <w:p>
            <w:r>
              <w:rPr>
                <w:color w:val="233447"/>
                <w:sz w:val="16"/>
              </w:rPr>
              <w:t>+0,5%</w:t>
            </w:r>
          </w:p>
        </w:tc>
      </w:tr>
    </w:tbl>
    <w:p>
      <w:pPr>
        <w:spacing w:after="0"/>
      </w:pPr>
    </w:p>
    <w:p>
      <w:pPr>
        <w:pStyle w:val="Heading2"/>
      </w:pPr>
      <w:r>
        <w:t>Ponte exata do incremento de R$ 4,22 milhões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502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composicao_crescim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0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decomposição quantitativa permite demonstrar que a expansão ocorreu essencialmente pelo aumento do volume de pedidos. É uma identidade aritmética, não uma explicação causal: custos, composição do mix e eficiência de aquisição não são observados.</w:t>
      </w:r>
    </w:p>
    <w:p>
      <w:r>
        <w:br w:type="page"/>
      </w:r>
    </w:p>
    <w:p>
      <w:pPr>
        <w:pStyle w:val="Heading1"/>
      </w:pPr>
      <w:r>
        <w:t>04  Cenários e sensibilidade | hipótese ≠ previsão</w:t>
      </w:r>
    </w:p>
    <w:p>
      <w:r>
        <w:t>A análise prospectiva é uma simulação, não uma previsão estatística. Aplicamos hipóteses ajustáveis de variação simultânea dos pedidos e do ticket à base de janeiro–agosto de 2018 (R$ 7,22 milhões), preservando uma janela equivalente de oito meses.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enarios_cresci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43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417"/>
        <w:gridCol w:w="2721"/>
        <w:gridCol w:w="1984"/>
      </w:tblGrid>
      <w:tr>
        <w:tc>
          <w:tcPr>
            <w:tcW w:type="dxa" w:w="1928"/>
            <w:shd w:fill="152D4A"/>
          </w:tcPr>
          <w:p>
            <w:r>
              <w:rPr>
                <w:b/>
                <w:color w:val="FFFFFF"/>
                <w:sz w:val="16"/>
              </w:rPr>
              <w:t>Hipótese</w:t>
            </w:r>
          </w:p>
        </w:tc>
        <w:tc>
          <w:tcPr>
            <w:tcW w:type="dxa" w:w="1928"/>
            <w:shd w:fill="152D4A"/>
          </w:tcPr>
          <w:p>
            <w:r>
              <w:rPr>
                <w:b/>
                <w:color w:val="FFFFFF"/>
                <w:sz w:val="16"/>
              </w:rPr>
              <w:t>Δ pedidos</w:t>
            </w:r>
          </w:p>
        </w:tc>
        <w:tc>
          <w:tcPr>
            <w:tcW w:type="dxa" w:w="1928"/>
            <w:shd w:fill="152D4A"/>
          </w:tcPr>
          <w:p>
            <w:r>
              <w:rPr>
                <w:b/>
                <w:color w:val="FFFFFF"/>
                <w:sz w:val="16"/>
              </w:rPr>
              <w:t>Δ ticket</w:t>
            </w:r>
          </w:p>
        </w:tc>
        <w:tc>
          <w:tcPr>
            <w:tcW w:type="dxa" w:w="1928"/>
            <w:shd w:fill="152D4A"/>
          </w:tcPr>
          <w:p>
            <w:r>
              <w:rPr>
                <w:b/>
                <w:color w:val="FFFFFF"/>
                <w:sz w:val="16"/>
              </w:rPr>
              <w:t>GMV simulado</w:t>
            </w:r>
          </w:p>
        </w:tc>
        <w:tc>
          <w:tcPr>
            <w:tcW w:type="dxa" w:w="1928"/>
            <w:shd w:fill="152D4A"/>
          </w:tcPr>
          <w:p>
            <w:r>
              <w:rPr>
                <w:b/>
                <w:color w:val="FFFFFF"/>
                <w:sz w:val="16"/>
              </w:rPr>
              <w:t>Δ GMV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r>
              <w:rPr>
                <w:color w:val="233447"/>
                <w:sz w:val="16"/>
              </w:rPr>
              <w:t>Conservador</w:t>
            </w:r>
          </w:p>
        </w:tc>
        <w:tc>
          <w:tcPr>
            <w:tcW w:type="dxa" w:w="1417"/>
            <w:vAlign w:val="center"/>
            <w:shd w:fill="F4F7FA"/>
          </w:tcPr>
          <w:p>
            <w:r>
              <w:rPr>
                <w:color w:val="233447"/>
                <w:sz w:val="16"/>
              </w:rPr>
              <w:t>+5%</w:t>
            </w:r>
          </w:p>
        </w:tc>
        <w:tc>
          <w:tcPr>
            <w:tcW w:type="dxa" w:w="1417"/>
            <w:vAlign w:val="center"/>
            <w:shd w:fill="F4F7FA"/>
          </w:tcPr>
          <w:p>
            <w:r>
              <w:rPr>
                <w:color w:val="233447"/>
                <w:sz w:val="16"/>
              </w:rPr>
              <w:t>+0%</w:t>
            </w:r>
          </w:p>
        </w:tc>
        <w:tc>
          <w:tcPr>
            <w:tcW w:type="dxa" w:w="2721"/>
            <w:vAlign w:val="center"/>
            <w:shd w:fill="F4F7FA"/>
          </w:tcPr>
          <w:p>
            <w:r>
              <w:rPr>
                <w:color w:val="233447"/>
                <w:sz w:val="16"/>
              </w:rPr>
              <w:t>R$ 7,58 mi</w:t>
            </w:r>
          </w:p>
        </w:tc>
        <w:tc>
          <w:tcPr>
            <w:tcW w:type="dxa" w:w="1984"/>
            <w:vAlign w:val="center"/>
            <w:shd w:fill="F4F7FA"/>
          </w:tcPr>
          <w:p>
            <w:r>
              <w:rPr>
                <w:color w:val="233447"/>
                <w:sz w:val="16"/>
              </w:rPr>
              <w:t>+5.00%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color w:val="233447"/>
                <w:sz w:val="16"/>
              </w:rPr>
              <w:t>Base</w:t>
            </w:r>
          </w:p>
        </w:tc>
        <w:tc>
          <w:tcPr>
            <w:tcW w:type="dxa" w:w="1417"/>
            <w:vAlign w:val="center"/>
          </w:tcPr>
          <w:p>
            <w:r>
              <w:rPr>
                <w:color w:val="233447"/>
                <w:sz w:val="16"/>
              </w:rPr>
              <w:t>+10%</w:t>
            </w:r>
          </w:p>
        </w:tc>
        <w:tc>
          <w:tcPr>
            <w:tcW w:type="dxa" w:w="1417"/>
            <w:vAlign w:val="center"/>
          </w:tcPr>
          <w:p>
            <w:r>
              <w:rPr>
                <w:color w:val="233447"/>
                <w:sz w:val="16"/>
              </w:rPr>
              <w:t>+3%</w:t>
            </w:r>
          </w:p>
        </w:tc>
        <w:tc>
          <w:tcPr>
            <w:tcW w:type="dxa" w:w="2721"/>
            <w:vAlign w:val="center"/>
          </w:tcPr>
          <w:p>
            <w:r>
              <w:rPr>
                <w:color w:val="233447"/>
                <w:sz w:val="16"/>
              </w:rPr>
              <w:t>R$ 8,18 mi</w:t>
            </w:r>
          </w:p>
        </w:tc>
        <w:tc>
          <w:tcPr>
            <w:tcW w:type="dxa" w:w="1984"/>
            <w:vAlign w:val="center"/>
          </w:tcPr>
          <w:p>
            <w:r>
              <w:rPr>
                <w:color w:val="233447"/>
                <w:sz w:val="16"/>
              </w:rPr>
              <w:t>+13.30%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r>
              <w:rPr>
                <w:color w:val="233447"/>
                <w:sz w:val="16"/>
              </w:rPr>
              <w:t>Otimista</w:t>
            </w:r>
          </w:p>
        </w:tc>
        <w:tc>
          <w:tcPr>
            <w:tcW w:type="dxa" w:w="1417"/>
            <w:vAlign w:val="center"/>
            <w:shd w:fill="F4F7FA"/>
          </w:tcPr>
          <w:p>
            <w:r>
              <w:rPr>
                <w:color w:val="233447"/>
                <w:sz w:val="16"/>
              </w:rPr>
              <w:t>+15%</w:t>
            </w:r>
          </w:p>
        </w:tc>
        <w:tc>
          <w:tcPr>
            <w:tcW w:type="dxa" w:w="1417"/>
            <w:vAlign w:val="center"/>
            <w:shd w:fill="F4F7FA"/>
          </w:tcPr>
          <w:p>
            <w:r>
              <w:rPr>
                <w:color w:val="233447"/>
                <w:sz w:val="16"/>
              </w:rPr>
              <w:t>+5%</w:t>
            </w:r>
          </w:p>
        </w:tc>
        <w:tc>
          <w:tcPr>
            <w:tcW w:type="dxa" w:w="2721"/>
            <w:vAlign w:val="center"/>
            <w:shd w:fill="F4F7FA"/>
          </w:tcPr>
          <w:p>
            <w:r>
              <w:rPr>
                <w:color w:val="233447"/>
                <w:sz w:val="16"/>
              </w:rPr>
              <w:t>R$ 8,72 mi</w:t>
            </w:r>
          </w:p>
        </w:tc>
        <w:tc>
          <w:tcPr>
            <w:tcW w:type="dxa" w:w="1984"/>
            <w:vAlign w:val="center"/>
            <w:shd w:fill="F4F7FA"/>
          </w:tcPr>
          <w:p>
            <w:r>
              <w:rPr>
                <w:color w:val="233447"/>
                <w:sz w:val="16"/>
              </w:rPr>
              <w:t>+20.75%</w:t>
            </w:r>
          </w:p>
        </w:tc>
      </w:tr>
    </w:tbl>
    <w:p>
      <w:pPr>
        <w:spacing w:after="0"/>
      </w:pPr>
    </w:p>
    <w:p>
      <w:pPr>
        <w:pStyle w:val="Heading2"/>
      </w:pPr>
      <w:r>
        <w:t>Sensibilidade: o que acontece se o ticket recuar?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80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triz_sensibil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8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Os cenários são ilustrativos, sem probabilidade atribuída, premissas causais ou consideração de custos. GMV projetado aqui não deve ser confundido com lucro, receita líquida, rentabilidade ou orçamento.</w:t>
      </w:r>
    </w:p>
    <w:p>
      <w:r>
        <w:br w:type="page"/>
      </w:r>
    </w:p>
    <w:p>
      <w:pPr>
        <w:pStyle w:val="Heading1"/>
      </w:pPr>
      <w:r>
        <w:t>05  Geografia, categorias e sellers</w:t>
      </w:r>
    </w:p>
    <w:p>
      <w:r>
        <w:t>A Olist concentra 38,3% do GMV histórico em SP e 67,1% do GMV em 10% de seus maiores sellers analisados. Isso sugere proteger canais e vendedores relevantes e pesquisar alternativas de oferta, sem supor que a concentração isoladamente seja um risco financeiro mensurado.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25053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riagem_reg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05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Triagem transparente para investigação</w:t>
      </w:r>
    </w:p>
    <w:p>
      <w:r>
        <w:t>Critérios acadêmicos ajustáveis: população da UF ≥ 3 milhões, pelo menos 500 pedidos na amostra jan–ago/2018 e índice de presença menor que 0,85. Ranking por gap, em pontos percentuais, entre participação populacional e participação no GMV. Esses filtros selecionam BA, CE, PE e 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438"/>
        <w:gridCol w:w="2835"/>
      </w:tblGrid>
      <w:tr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UF</w:t>
            </w:r>
          </w:p>
        </w:tc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Índice relativo</w:t>
            </w:r>
          </w:p>
        </w:tc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Pedidos 2018</w:t>
            </w:r>
          </w:p>
        </w:tc>
        <w:tc>
          <w:tcPr>
            <w:tcW w:type="dxa" w:w="2409"/>
            <w:shd w:fill="152D4A"/>
          </w:tcPr>
          <w:p>
            <w:r>
              <w:rPr>
                <w:b/>
                <w:color w:val="FFFFFF"/>
                <w:sz w:val="16"/>
              </w:rPr>
              <w:t>Gap (p.p.)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>
              <w:rPr>
                <w:color w:val="233447"/>
                <w:sz w:val="16"/>
              </w:rPr>
              <w:t>BA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rPr>
                <w:color w:val="233447"/>
                <w:sz w:val="16"/>
              </w:rPr>
              <w:t>0,52</w:t>
            </w:r>
          </w:p>
        </w:tc>
        <w:tc>
          <w:tcPr>
            <w:tcW w:type="dxa" w:w="2438"/>
            <w:vAlign w:val="center"/>
            <w:shd w:fill="F4F7FA"/>
          </w:tcPr>
          <w:p>
            <w:r>
              <w:rPr>
                <w:color w:val="233447"/>
                <w:sz w:val="16"/>
              </w:rPr>
              <w:t>1.726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rPr>
                <w:color w:val="233447"/>
                <w:sz w:val="16"/>
              </w:rPr>
              <w:t>3,42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color w:val="233447"/>
                <w:sz w:val="16"/>
              </w:rPr>
              <w:t>CE</w:t>
            </w:r>
          </w:p>
        </w:tc>
        <w:tc>
          <w:tcPr>
            <w:tcW w:type="dxa" w:w="2268"/>
            <w:vAlign w:val="center"/>
          </w:tcPr>
          <w:p>
            <w:r>
              <w:rPr>
                <w:color w:val="233447"/>
                <w:sz w:val="16"/>
              </w:rPr>
              <w:t>0,34</w:t>
            </w:r>
          </w:p>
        </w:tc>
        <w:tc>
          <w:tcPr>
            <w:tcW w:type="dxa" w:w="2438"/>
            <w:vAlign w:val="center"/>
          </w:tcPr>
          <w:p>
            <w:r>
              <w:rPr>
                <w:color w:val="233447"/>
                <w:sz w:val="16"/>
              </w:rPr>
              <w:t>633</w:t>
            </w:r>
          </w:p>
        </w:tc>
        <w:tc>
          <w:tcPr>
            <w:tcW w:type="dxa" w:w="2835"/>
            <w:vAlign w:val="center"/>
          </w:tcPr>
          <w:p>
            <w:r>
              <w:rPr>
                <w:color w:val="233447"/>
                <w:sz w:val="16"/>
              </w:rPr>
              <w:t>2,86</w:t>
            </w:r>
          </w:p>
        </w:tc>
      </w:tr>
      <w:tr>
        <w:tc>
          <w:tcPr>
            <w:tcW w:type="dxa" w:w="1701"/>
            <w:vAlign w:val="center"/>
            <w:shd w:fill="F4F7FA"/>
          </w:tcPr>
          <w:p>
            <w:r>
              <w:rPr>
                <w:color w:val="233447"/>
                <w:sz w:val="16"/>
              </w:rPr>
              <w:t>PE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rPr>
                <w:color w:val="233447"/>
                <w:sz w:val="16"/>
              </w:rPr>
              <w:t>0,41</w:t>
            </w:r>
          </w:p>
        </w:tc>
        <w:tc>
          <w:tcPr>
            <w:tcW w:type="dxa" w:w="2438"/>
            <w:vAlign w:val="center"/>
            <w:shd w:fill="F4F7FA"/>
          </w:tcPr>
          <w:p>
            <w:r>
              <w:rPr>
                <w:color w:val="233447"/>
                <w:sz w:val="16"/>
              </w:rPr>
              <w:t>852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rPr>
                <w:color w:val="233447"/>
                <w:sz w:val="16"/>
              </w:rPr>
              <w:t>2,70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color w:val="233447"/>
                <w:sz w:val="16"/>
              </w:rPr>
              <w:t>GO</w:t>
            </w:r>
          </w:p>
        </w:tc>
        <w:tc>
          <w:tcPr>
            <w:tcW w:type="dxa" w:w="2268"/>
            <w:vAlign w:val="center"/>
          </w:tcPr>
          <w:p>
            <w:r>
              <w:rPr>
                <w:color w:val="233447"/>
                <w:sz w:val="16"/>
              </w:rPr>
              <w:t>0,62</w:t>
            </w:r>
          </w:p>
        </w:tc>
        <w:tc>
          <w:tcPr>
            <w:tcW w:type="dxa" w:w="2438"/>
            <w:vAlign w:val="center"/>
          </w:tcPr>
          <w:p>
            <w:r>
              <w:rPr>
                <w:color w:val="233447"/>
                <w:sz w:val="16"/>
              </w:rPr>
              <w:t>1.033</w:t>
            </w:r>
          </w:p>
        </w:tc>
        <w:tc>
          <w:tcPr>
            <w:tcW w:type="dxa" w:w="2835"/>
            <w:vAlign w:val="center"/>
          </w:tcPr>
          <w:p>
            <w:r>
              <w:rPr>
                <w:color w:val="233447"/>
                <w:sz w:val="16"/>
              </w:rPr>
              <w:t>1,27</w:t>
            </w:r>
          </w:p>
        </w:tc>
      </w:tr>
    </w:tbl>
    <w:p>
      <w:pPr>
        <w:spacing w:after="0"/>
      </w:pPr>
    </w:p>
    <w:p>
      <w:pPr>
        <w:pStyle w:val="Heading2"/>
      </w:pPr>
      <w:r>
        <w:t>Ponto decisivo: o ranking é estável?</w:t>
      </w:r>
    </w:p>
    <w:p>
      <w:r>
        <w:t>Quando exigimos 800 pedidos em vez de 500, a lista reduz-se a BA, PE e GO. Com mínimo de 300 pedidos, PA e MA também entram. Essa sensibilidade mostra que a escolha das UFs depende de critérios e deve ser submetida ao negócio antes de qualquer alocação de recursos.</w:t>
      </w:r>
    </w:p>
    <w:p>
      <w:pPr>
        <w:pStyle w:val="SmallCaption"/>
      </w:pPr>
      <w:r>
        <w:t>Não foram observados renda, disponibilidade comercial por UF, CAC, custo de frete ou margem. Não é possível calcular retorno esperado ou quantificar demanda não atendida.</w:t>
      </w:r>
    </w:p>
    <w:p>
      <w:r>
        <w:br w:type="page"/>
      </w:r>
    </w:p>
    <w:p>
      <w:pPr>
        <w:pStyle w:val="Heading1"/>
      </w:pPr>
      <w:r>
        <w:t>06  Plano de ação e conclusões</w:t>
      </w:r>
    </w:p>
    <w:p>
      <w:pPr>
        <w:pStyle w:val="Heading2"/>
      </w:pPr>
      <w:r>
        <w:t>Decidir por evidências, em três marcos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12"/>
        <w:gridCol w:w="3912"/>
      </w:tblGrid>
      <w:tr>
        <w:tc>
          <w:tcPr>
            <w:tcW w:type="dxa" w:w="3213"/>
            <w:shd w:fill="152D4A"/>
          </w:tcPr>
          <w:p>
            <w:r>
              <w:rPr>
                <w:b/>
                <w:color w:val="FFFFFF"/>
                <w:sz w:val="16"/>
              </w:rPr>
              <w:t>Quando</w:t>
            </w:r>
          </w:p>
        </w:tc>
        <w:tc>
          <w:tcPr>
            <w:tcW w:type="dxa" w:w="3213"/>
            <w:shd w:fill="152D4A"/>
          </w:tcPr>
          <w:p>
            <w:r>
              <w:rPr>
                <w:b/>
                <w:color w:val="FFFFFF"/>
                <w:sz w:val="16"/>
              </w:rPr>
              <w:t>Ação recomendada</w:t>
            </w:r>
          </w:p>
        </w:tc>
        <w:tc>
          <w:tcPr>
            <w:tcW w:type="dxa" w:w="3213"/>
            <w:shd w:fill="152D4A"/>
          </w:tcPr>
          <w:p>
            <w:r>
              <w:rPr>
                <w:b/>
                <w:color w:val="FFFFFF"/>
                <w:sz w:val="16"/>
              </w:rPr>
              <w:t>Condição para avançar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r>
              <w:rPr>
                <w:color w:val="233447"/>
                <w:sz w:val="16"/>
              </w:rPr>
              <w:t>0–30 dias</w:t>
            </w:r>
          </w:p>
        </w:tc>
        <w:tc>
          <w:tcPr>
            <w:tcW w:type="dxa" w:w="3912"/>
            <w:vAlign w:val="center"/>
            <w:shd w:fill="F4F7FA"/>
          </w:tcPr>
          <w:p>
            <w:r>
              <w:rPr>
                <w:color w:val="233447"/>
                <w:sz w:val="16"/>
              </w:rPr>
              <w:t>Instrumentar custos por pedido, funil regional, margens, conversão e qualidade de serviço.</w:t>
            </w:r>
          </w:p>
        </w:tc>
        <w:tc>
          <w:tcPr>
            <w:tcW w:type="dxa" w:w="3912"/>
            <w:vAlign w:val="center"/>
            <w:shd w:fill="F4F7FA"/>
          </w:tcPr>
          <w:p>
            <w:r>
              <w:rPr>
                <w:color w:val="233447"/>
                <w:sz w:val="16"/>
              </w:rPr>
              <w:t>Baseline confiável e estratégia de teste com comparação.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color w:val="233447"/>
                <w:sz w:val="16"/>
              </w:rPr>
              <w:t>31–60 dias</w:t>
            </w:r>
          </w:p>
        </w:tc>
        <w:tc>
          <w:tcPr>
            <w:tcW w:type="dxa" w:w="3912"/>
            <w:vAlign w:val="center"/>
          </w:tcPr>
          <w:p>
            <w:r>
              <w:rPr>
                <w:color w:val="233447"/>
                <w:sz w:val="16"/>
              </w:rPr>
              <w:t>Rodar pilotos de baixo risco nas UFs elegíveis, preservando controle comparável.</w:t>
            </w:r>
          </w:p>
        </w:tc>
        <w:tc>
          <w:tcPr>
            <w:tcW w:type="dxa" w:w="3912"/>
            <w:vAlign w:val="center"/>
          </w:tcPr>
          <w:p>
            <w:r>
              <w:rPr>
                <w:color w:val="233447"/>
                <w:sz w:val="16"/>
              </w:rPr>
              <w:t>GMV e pedidos incrementais, margem incremental positiva, SLA preservado.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r>
              <w:rPr>
                <w:color w:val="233447"/>
                <w:sz w:val="16"/>
              </w:rPr>
              <w:t>61–90 dias</w:t>
            </w:r>
          </w:p>
        </w:tc>
        <w:tc>
          <w:tcPr>
            <w:tcW w:type="dxa" w:w="3912"/>
            <w:vAlign w:val="center"/>
            <w:shd w:fill="F4F7FA"/>
          </w:tcPr>
          <w:p>
            <w:r>
              <w:rPr>
                <w:color w:val="233447"/>
                <w:sz w:val="16"/>
              </w:rPr>
              <w:t>Revisão de investimentos por categoria, UF e seller.</w:t>
            </w:r>
          </w:p>
        </w:tc>
        <w:tc>
          <w:tcPr>
            <w:tcW w:type="dxa" w:w="3912"/>
            <w:vAlign w:val="center"/>
            <w:shd w:fill="F4F7FA"/>
          </w:tcPr>
          <w:p>
            <w:r>
              <w:rPr>
                <w:color w:val="233447"/>
                <w:sz w:val="16"/>
              </w:rPr>
              <w:t>Decidir: escalar, ajustar ou interromper conforme os indicadores.</w:t>
            </w:r>
          </w:p>
        </w:tc>
      </w:tr>
    </w:tbl>
    <w:p>
      <w:pPr>
        <w:spacing w:after="0"/>
      </w:pPr>
    </w:p>
    <w:p>
      <w:pPr>
        <w:pStyle w:val="Heading2"/>
      </w:pPr>
      <w:r>
        <w:t>Decisão proposta ao comitê</w:t>
      </w:r>
    </w:p>
    <w:p>
      <w:r>
        <w:t>Financiar a preparação e os testes de expansão, não uma expansão irrestrita. Fortalecer as categorias e os sellers que sustentam o negócio e testar novas regiões com métricas econômicas e operacionais previamente acordadas. A expansão de pedidos é condição importante, mas não suficiente, para criação de valor.</w:t>
      </w:r>
    </w:p>
    <w:p>
      <w:pPr>
        <w:pStyle w:val="Heading2"/>
      </w:pPr>
      <w:r>
        <w:t>Limitações e critérios acadêmicos</w:t>
      </w:r>
    </w:p>
    <w:p>
      <w:pPr>
        <w:pStyle w:val="ListBullet"/>
      </w:pPr>
      <w:r>
        <w:t>Os dados descrevem transações históricas de 2016–2018; não refletem o desempenho atual da empresa.</w:t>
      </w:r>
    </w:p>
    <w:p>
      <w:pPr>
        <w:pStyle w:val="ListBullet"/>
      </w:pPr>
      <w:r>
        <w:t>GMV dos itens não corresponde a receita contábil, EBITDA, lucro nem retorno financeiro.</w:t>
      </w:r>
    </w:p>
    <w:p>
      <w:pPr>
        <w:pStyle w:val="ListBullet"/>
      </w:pPr>
      <w:r>
        <w:t>Cenários são simulações condicionais de oito meses, não previsões estatísticas ou promessas de ganho.</w:t>
      </w:r>
    </w:p>
    <w:p>
      <w:pPr>
        <w:pStyle w:val="ListBullet"/>
      </w:pPr>
      <w:r>
        <w:t>Índice de presença regional é uma medida de intensidade relativa na amostra, não potencial de demanda capturável.</w:t>
      </w:r>
    </w:p>
    <w:p>
      <w:pPr>
        <w:pStyle w:val="ListBullet"/>
      </w:pPr>
      <w:r>
        <w:t>Comparação Ebit/Nielsen usa faturamento anual do setor e não é diretamente comparável ao GMV da amostra jan–ago.</w:t>
      </w:r>
    </w:p>
    <w:p>
      <w:pPr>
        <w:pStyle w:val="Heading2"/>
      </w:pPr>
      <w:r>
        <w:t>Fontes e rastreabilidade</w:t>
      </w:r>
    </w:p>
    <w:p>
      <w:pPr>
        <w:pStyle w:val="SmallCaption"/>
      </w:pPr>
      <w:r>
        <w:t>Olist Brazilian E-Commerce Public Dataset by Olist. Tabelas: Mensal, Categorias, UF_Clientes, Top_100_Produtos, Top_100_Sellers e IBGE_UF_Presenca, conforme os arquivos de saída e os cálculos apresentados.</w:t>
      </w:r>
    </w:p>
    <w:p>
      <w:pPr>
        <w:pStyle w:val="SmallCaption"/>
      </w:pPr>
      <w:r>
        <w:t>IBGE: https://ftp.ibge.gov.br/Estimativas_de_Populacao/Estimativas_2018/POP2018_20220905.pdf</w:t>
      </w:r>
    </w:p>
    <w:p>
      <w:pPr>
        <w:pStyle w:val="SmallCaption"/>
      </w:pPr>
      <w:r>
        <w:t>Ebit/Nielsen: https://www.terra.com.br/byte/receita-do-e-commerce-no-brasil-foi-de-r-532-bi-em-2018-diz-estudo,586591935998801e529b01f0566a08fdt0ugp598.html</w:t>
      </w:r>
    </w:p>
    <w:p>
      <w:pPr>
        <w:pStyle w:val="SmallCaption"/>
      </w:pPr>
      <w:r>
        <w:t>Os resultados foram conferidos com as tabelas analíticas exportadas pelo notebook. Para reproduzi-los, execute o notebook com os seis CSVs originais da Olist.</w:t>
      </w:r>
    </w:p>
    <w:sectPr w:rsidR="00FC693F" w:rsidRPr="0006063C" w:rsidSect="00034616">
      <w:headerReference w:type="default" r:id="rId9"/>
      <w:footerReference w:type="default" r:id="rId10"/>
      <w:headerReference w:type="first" r:id="rId17"/>
      <w:footerReference w:type="first" r:id="rId18"/>
      <w:pgSz w:w="11906" w:h="16838"/>
      <w:pgMar w:top="935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7187"/>
        <w:sz w:val="16"/>
      </w:rPr>
      <w:t xml:space="preserve">Projeto acadêmico  •  Dataset público histórico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96AB0"/>
        <w:sz w:val="16"/>
      </w:rPr>
      <w:t>OLIST   /   INTELIGÊNCIA COMERCIAL     •     ANÁLISE EXECUTIVA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6AB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52D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Caption"/>
    <w:pPr>
      <w:spacing w:after="80"/>
    </w:pPr>
    <w:rPr>
      <w:color w:val="5E718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