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MultiPag</w:t>
      </w:r>
    </w:p>
    <w:p>
      <w:pPr>
        <w:spacing w:after="600"/>
      </w:pPr>
      <w:r>
        <w:rPr>
          <w:rFonts w:ascii="Arial" w:cs="Arial" w:eastAsia="Arial" w:hAnsi="Arial"/>
          <w:color w:val="2F5496"/>
          <w:sz w:val="36"/>
          <w:szCs w:val="36"/>
        </w:rPr>
        <w:t xml:space="preserve">Estimativa por Pontos de Função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Disciplina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Medição de Software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MultiPag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Gabriel Pereira Lugon Moulin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Outubro de 2026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Funções de dados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1.1 Arquivos lógicos internos (ALI)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ALI03: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Cobrança; Método de pagamento habilitado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(9):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descrição; CPF do cliente; e-mail do cliente; método habilitado; link de pagamento; status; data de criação; data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638550"/>
                  <wp:effectExtent t="0" r="0" b="0" l="0"/>
                  <wp:docPr id="1" name="criar-cobranca-etapa-2" descr="Métodos habilitados" title="Métodos habilitad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Métodos habilitados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524250"/>
                  <wp:effectExtent t="0" r="0" b="0" l="0"/>
                  <wp:docPr id="1" name="criar-cobranca-etapa-5" descr="Revisão da cobrança" title="Revisão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Revisão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ALI04: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método utilizado; valor pago; CPF do pagador; status; identificador da transação externa; data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7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pix" descr="Pagamento via Pix" title="Pagamento via Pi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via Pix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cartao" descr="Pagamento com cartão" title="Pagamento com cart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com cartão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1.2 Arquivos de interface externa (AIE)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AIE02: Confirmação de pagamento com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pagamento com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(4):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status da confirmação; data e hora da confirmação; final do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retorno-cartao" descr="Retorno do pagamento com cartão" title="Retorno do pagamento com cart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com cartão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AIE04: Cotação e confirmação de cripto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lógicos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Cotação e confirmação de cripto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transação externa; criptomoeda; cotação aplicada; quantidade em cripto; status da confirmação; data e hora da confirmação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3171825"/>
                  <wp:effectExtent t="0" r="0" b="0" l="0"/>
                  <wp:docPr id="1" name="pagamento-cripto" descr="Pagamento em cripto" title="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em cripto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ripto" descr="Retorno do pagamento em cripto" title="Retorno do pagamento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Entradas externas (EE)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Minha contribuição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Identifiquei as EEs do módulo de cobranças (EE05 a EE07), definindo as verificações sobre os ALIs Cobrança e Pagamento antes de alterar ou cancelar uma cobrança, e o pagamento com cartão (EE08), que registra o pagamento pendente enviado ao gateway.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EE05: Incluir cobrança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O business informa valor, descrição, CPF e e-mail do cliente e os métodos aceitos. O sistema cria a cobrança pendente e gera o link único de pagamento.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arquivos referenciados (2): </w:t>
      </w:r>
      <w:r>
        <w:rPr>
          <w:rFonts w:ascii="Arial" w:cs="Arial" w:eastAsia="Arial" w:hAnsi="Arial"/>
          <w:sz w:val="20"/>
          <w:szCs w:val="20"/>
        </w:rPr>
        <w:t xml:space="preserve">ALI03 Cobrança (mantido); ALI02 Cliente (lido)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Quantidade de itens de dados referenciados (6): </w:t>
      </w:r>
      <w:r>
        <w:rPr>
          <w:rFonts w:ascii="Arial" w:cs="Arial" w:eastAsia="Arial" w:hAnsi="Arial"/>
          <w:sz w:val="20"/>
          <w:szCs w:val="20"/>
        </w:rPr>
        <w:t xml:space="preserve">valor; descrição; CPF do cliente; e-mail do cliente; métodos de pagamento aceitos; mensagem de retorno (com o link)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Complexidade: </w:t>
      </w:r>
      <w:r>
        <w:rPr>
          <w:rFonts w:ascii="Arial" w:cs="Arial" w:eastAsia="Arial" w:hAnsi="Arial"/>
          <w:sz w:val="20"/>
          <w:szCs w:val="20"/>
        </w:rPr>
        <w:t xml:space="preserve">Moderado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Tamanho: </w:t>
      </w:r>
      <w:r>
        <w:rPr>
          <w:rFonts w:ascii="Arial" w:cs="Arial" w:eastAsia="Arial" w:hAnsi="Arial"/>
          <w:sz w:val="20"/>
          <w:szCs w:val="20"/>
        </w:rPr>
        <w:t xml:space="preserve">4 PF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23975" cy="2857500"/>
                  <wp:effectExtent t="0" r="0" b="0" l="0"/>
                  <wp:docPr id="1" name="criar-cobranca-etapa-1" descr="Etapa 1: itens" title="Etapa 1: it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1: itens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066800" cy="2857500"/>
                  <wp:effectExtent t="0" r="0" b="0" l="0"/>
                  <wp:docPr id="1" name="criar-cobranca-etapa-2" descr="Etapa 2: métodos de pagamento" title="Etapa 2: métodos de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2: métodos de pagamento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104900" cy="2857500"/>
                  <wp:effectExtent t="0" r="0" b="0" l="0"/>
                  <wp:docPr id="1" name="criar-cobranca-etapa-5" descr="Etapa 5: revisão e geração" title="Etapa 5: revisão e ger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Etapa 5: revisão e geração</w:t>
            </w:r>
          </w:p>
        </w:tc>
      </w:tr>
    </w:tbl>
    <w:p>
      <w:pPr>
        <w:spacing w:after="6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EE06: Alterar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Enquanto a cobrança está pendente, o business altera valor, descrição, e-mail do cliente e métodos aceitos.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(mantido);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valor; descrição; e-mail do cliente; métodos de pagamento aceitos;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editar-cobranca" descr="Edição da cobrança pendente" title="Edição da cobrança pend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Edição da cobrança pendente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EE07: Excluir cobrança (cancelamento)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cancela uma cobrança pendente e sem pagamento iniciado. A cobrança passa ao status cancelada e o link deixa de aceitar pagamentos.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(mantido);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confirmação do cancelamento;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ancelar-cobranca" descr="Cancelamento da cobrança" title="Cancelamento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Cancelamento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319"/>
        <w:gridCol w:w="2319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EE08: Pagar cobrança com cartão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cliente, convidado ou logado, informa o CPF, os dados do cartão e as parcelas. O sistema valida o método e o status da cobrança e registra o pagamento pendente enviado ao gateway.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ALI04 Pagamento (mantido); ALI03 Cobrança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(8):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CPF do pagador; nome no cartão; número do cartão; validade; código de segurança; parcelas; mensagem de retorno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cartao" descr="Dados do cartão e parcelas" title="Dados do cartão e parcel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Dados do cartão e parcelas</w:t>
            </w:r>
          </w:p>
        </w:tc>
        <w:tc>
          <w:tcPr>
            <w:tcW w:type="dxa" w:w="2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358265" cy="2943225"/>
                  <wp:effectExtent t="0" r="0" b="0" l="0"/>
                  <wp:docPr id="1" name="pagamento-retorno-cartao" descr="Retorno do pagamento" title="Retorno do pa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26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Retorno do pagamento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Saídas externas (SE)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SE03: Gerar pagamento via Pix com QR Code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Quando o cliente escolhe Pix, o sistema gera o QR Code e o código "copia e cola" para o valor da cobrança, define o prazo de expiração e registra o pagamento como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ALI01 Business (lido); ALI03 Cobrança (lido); ALI04 Pagamento (mantido)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identificador da cobrança; descrição da cobrança; valor; CPF do pagador; método utilizado; identificador da transação; código copia e cola; imagem do QR Code; data e hora de expiração; status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QR Code, o código copia e cola e o prazo de expiração não são lidos de nenhum arquivo. O sistema os gera a partir do valor da cobrança e do identificador da transação, ou seja, são dados derivados. A função ainda cria o pagamento pendente.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pagamento-pix" descr="Pagamento via Pix com QR Code" title="Pagamento via Pix com 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Pagamento via Pix com QR Code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SE04: Gerar cotação e instruções de pagamento em criptomoeda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Quando o cliente escolhe cripto, o sistema consulta a cotação vigente, calcula o valor a pagar na moeda escolhida e informa o endereço da carteira, o QR Code e o tempo de validade da cotação.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(3):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ALI04 Pagamento (mantido); AIE04 Cotação e confirmação de cripto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cobrança; valor em reais; CPF do pagador; moeda; rede; cotação aplicada; valor a pagar em cripto; endereço da carteira; imagem do QR Code; validade da cotação; status do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que é um dado derivado: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valor a pagar em criptomoeda é calculado dividindo o valor em reais pela cotação vigente, e o QR Code e o prazo de validade da cotação também são gerados na hora. Nenhum deles é um dado armazenado, portanto são derivados.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628775" cy="3810000"/>
                  <wp:effectExtent t="0" r="0" b="0" l="0"/>
                  <wp:docPr id="1" name="pagamento-cripto" descr="Cotação e instruções em cripto" title="Cotação e instruções em crip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Cotação e instruções em cripto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Consultas externas (CE)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CE03: Acessar cobrança pelo link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cliente abre o link recebido e visualiza os dados da cobrança e os métodos de pagamento disponíveis. Endpoint público.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código do link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ALI01 Business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(6):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nome do business; descrição da cobrança; valor; status da cobrança; métodos de pagamento habilitados; mensagem de erro (link inválido ou expirado)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cobranca-recebida-cliente" descr="Cobrança aberta pelo link" title="Cobrança aberta pelo 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Cobrança aberta pelo link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keepNext/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2F5496"/>
                <w:sz w:val="23"/>
                <w:szCs w:val="23"/>
              </w:rPr>
              <w:t xml:space="preserve">CE04: Consultar detalhes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 business abre uma cobrança emitida e consulta seus dados completos, incluindo o pagamento associado, quando houver.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entrada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cobrança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PF</w:t>
            </w:r>
          </w:p>
          <w:p>
            <w:pPr>
              <w:keepNext/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Parte da saída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arquivos referenciados (2):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ALI03 Cobrança (lido); ALI04 Pagamento (lido)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Quantidade de itens de dados referenciados (10):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valor; descrição; CPF do cliente (mascarado); e-mail do cliente; métodos de pagamento aceitos; status da cobrança; data de criação; data de pagamento; método utilizado; link de pagamento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Complexidade: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  <w:p>
            <w:pPr>
              <w:spacing w:after="7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4 PF</w:t>
            </w:r>
          </w:p>
          <w:p>
            <w:pPr>
              <w:keepNext/>
              <w:spacing w:after="8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final da CE: 4 PF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20"/>
              <w:right w:type="dxa" w:w="0"/>
            </w:tcMar>
            <w:vAlign w:val="top"/>
          </w:tcPr>
          <w:p>
            <w:pPr>
              <w:keepNext/>
              <w:spacing w:after="30"/>
              <w:jc w:val="center"/>
            </w:pPr>
            <w:r>
              <w:drawing>
                <wp:inline distT="0" distB="0" distL="0" distR="0">
                  <wp:extent cx="1762125" cy="3810000"/>
                  <wp:effectExtent t="0" r="0" b="0" l="0"/>
                  <wp:docPr id="1" name="detalhes-cobranca" descr="Detalhes da cobrança" title="Detalhes da cob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/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Detalhes da cobrança</w:t>
            </w:r>
          </w:p>
        </w:tc>
      </w:tr>
    </w:tbl>
    <w:p>
      <w:pPr>
        <w:spacing w:after="80" w:before="0" w:line="2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Cálculo dos pontos de função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Pontos de função brutos (PFB)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38"/>
        <w:gridCol w:w="1500"/>
        <w:gridCol w:w="1000"/>
        <w:gridCol w:w="10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Função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Cobrança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ALI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AIE02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Confirmação de pagamento com cartão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Cotação e confirmação de cripto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EE05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Incluir cobrança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EE06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Alterar cobrança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EE07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Excluir cobrança (cancelamento)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Simples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EE08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Pagar cobrança com cartão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Gerar pagamento via Pix com QR Code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Gerar cotação e instruções de pagamento em criptomoeda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CE03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Acessar cobrança pelo link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CE04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Consultar detalhes da cobrança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638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</w:t>
            </w:r>
          </w:p>
        </w:tc>
      </w:tr>
    </w:tbl>
    <w:p>
      <w:pPr>
        <w:spacing w:after="8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300"/>
        <w:gridCol w:w="1238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função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Simples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Quantidade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7 = 14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15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5 = 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10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× 3 = 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× 4 = 12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4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5 = 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7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3 = 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× 4 = 8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× 6 = 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100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PFB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</w:t>
            </w:r>
          </w:p>
        </w:tc>
      </w:tr>
    </w:tbl>
    <w:p>
      <w:pPr>
        <w:pStyle w:val="Heading2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Nível de influência (NI)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00"/>
        <w:gridCol w:w="5938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Comunicação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sistema só é acessado pelo navegador, pela internet, e conversa com vários serviços externos por API e webhooks: gateways de Pix, cartão, boleto e cripto, o DICT e a consulta de CPF. Há mais de um tipo de comunicação, mas todos sobre HTTPS.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distribuído de dados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aplicação e o banco são centralizados em um único ambiente em nuvem. Só a validação de pagamentos e a consulta de chaves e CPF ocorrem em serviços de terceiros.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Desempenho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tempo de resposta importa no fluxo de pagamento, pois o cliente espera o QR Code e a confirmação, mas não há exigência contratual de tempo nem processamento crítico em tempo real.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Configuração do equipamento muito utilizada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MultiPag roda em recursos padrão de nuvem, sem restrição de hardware ou de operação que obrigue um cuidado especial com a configuração.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Volume de transações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Vários businesses emitem cobranças e vários clientes pagam ao mesmo tempo, com picos no início do mês por causa das cobranças recorrentes, mas sem um pico crítico fixo.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 de dados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Todas as entradas são feitas on-line, por formulários (cadastro, cobrança, pagamento, saque) e por retornos automáticos dos gateways. Não existe processamento em lote.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Eficiência do usuário final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Os fluxos são guiados em etapas, com validação na hora (CPF verificado, chave Pix encontrada), botão de copiar código, QR Code e totais já calculados, para reduzir o esforço do usuário.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Atualização on-line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Cobrança, pagamento, saldo, extrato e saque são atualizados on-line a cada operação, com recuperação pelo status. Não há duplicação de dados em tempo real nem recuperação automática completa, por isso a nota não é 5.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Processamento complexo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Há regras de negócio moderadas: controle de status da cobrança, validação de saldo, cálculo de cotação e de totais, autenticação e senha com hash. Não há algoritmos matemáticos complexos.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Reutilização de código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 reaproveitamento se limita ao modelo de dados e à especificação da API. O MultiPag não é uma solução white label, então grande parte do código será específica.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implantação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publicação em nuvem é simples, mas a implantação exige configurar as integrações com os gateways e cadastrar os businesses iniciais, sem requisito formal de conversão de dados.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operacional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operação depende de rotinas de backup, registro de transações (RNF09) e acompanhamento da confirmação dos pagamentos, com algum procedimento manual quando um gateway falha.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Múltiplos locais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Uma única instalação atende vários businesses e clientes que acessam de lugares e dispositivos diferentes, mas sem instalações separadas em locais distintos.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Facilidade de mudanças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 regras ficam no código, e um novo método de pagamento ou novo tipo de cobrança exige alteração pontual. O usuário só configura filtros e os métodos habilitados de cada cobrança.</w:t>
            </w:r>
          </w:p>
        </w:tc>
      </w:tr>
      <w:tr>
        <w:tc>
          <w:tcPr>
            <w:tcW w:type="dxa" w:w="3000"/>
            <w:gridSpan w:val="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Nível de influência (NI)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5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Fator de ajuste (FA) e pontos de função ajustados (PFA)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>FA = 0,65 + (0,01 × NI) = 0,65 + (0,01 × 42) = 1,07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PFA = PFB × FA = 57 × 1,07 = 60,99 PF</w:t>
      </w:r>
    </w:p>
    <w:p>
      <w:pPr>
        <w:pStyle w:val="Heading1"/>
        <w:keepNext/>
        <w:pageBreakBefore/>
        <w:spacing w:after="160" w:before="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Esforço, prazo e custo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Produtividade: </w:t>
      </w:r>
      <w:r>
        <w:rPr>
          <w:rFonts w:ascii="Arial" w:cs="Arial" w:eastAsia="Arial" w:hAnsi="Arial"/>
          <w:sz w:val="20"/>
          <w:szCs w:val="20"/>
        </w:rPr>
        <w:t xml:space="preserve">12 horas por PF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Custo da hora: </w:t>
      </w:r>
      <w:r>
        <w:rPr>
          <w:rFonts w:ascii="Arial" w:cs="Arial" w:eastAsia="Arial" w:hAnsi="Arial"/>
          <w:sz w:val="20"/>
          <w:szCs w:val="20"/>
        </w:rPr>
        <w:t xml:space="preserve">R$ 50,00</w:t>
      </w:r>
    </w:p>
    <w:p>
      <w:pPr>
        <w:spacing w:after="7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Dedicação: </w:t>
      </w:r>
      <w:r>
        <w:rPr>
          <w:rFonts w:ascii="Arial" w:cs="Arial" w:eastAsia="Arial" w:hAnsi="Arial"/>
          <w:sz w:val="20"/>
          <w:szCs w:val="20"/>
        </w:rPr>
        <w:t xml:space="preserve">1 desenvolvedor, 4 horas por dia, 20 dias úteis por mês</w:t>
      </w:r>
    </w:p>
    <w:p>
      <w:pPr>
        <w:spacing w:after="60" w:before="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Esforço = PFA × produtividade = 60,99 × 12 = 731,9 horas</w:t>
      </w:r>
    </w:p>
    <w:p>
      <w:pPr>
        <w:spacing w:after="50" w:before="0" w:line="276"/>
      </w:pPr>
      <w:r>
        <w:rPr>
          <w:rFonts w:ascii="Arial" w:cs="Arial" w:eastAsia="Arial" w:hAnsi="Arial"/>
          <w:sz w:val="21"/>
          <w:szCs w:val="21"/>
        </w:rPr>
        <w:t xml:space="preserve">Prazo = esforço ÷ (4 × 20) = 731,9 ÷ 80 = 9,1 meses</w:t>
      </w:r>
    </w:p>
    <w:p>
      <w:pPr>
        <w:spacing w:after="100" w:before="0" w:line="276"/>
      </w:pPr>
      <w:r>
        <w:rPr>
          <w:rFonts w:ascii="Arial" w:cs="Arial" w:eastAsia="Arial" w:hAnsi="Arial"/>
          <w:sz w:val="21"/>
          <w:szCs w:val="21"/>
        </w:rPr>
        <w:t xml:space="preserve">Custo = esforço × custo da hora = 731,9 × R$ 50,00 = R$ 36.594,00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76fb1e12f0658d28dba37b621f70fb54443878c7.png"/><Relationship Id="rId10" Type="http://schemas.openxmlformats.org/officeDocument/2006/relationships/image" Target="media/399bbbef895cdb55c04a1f79d0022f0309a7f993.png"/><Relationship Id="rId11" Type="http://schemas.openxmlformats.org/officeDocument/2006/relationships/image" Target="media/3b6a3c0de9d5b1569406683b1a3ed0f5c85b1e49.png"/><Relationship Id="rId12" Type="http://schemas.openxmlformats.org/officeDocument/2006/relationships/image" Target="media/31e2a17eb22efc7b5ee541ef4ea617de17f02f39.png"/><Relationship Id="rId13" Type="http://schemas.openxmlformats.org/officeDocument/2006/relationships/image" Target="media/44f17c4a83723350680dbeb32ff372ab138fb6e3.png"/><Relationship Id="rId14" Type="http://schemas.openxmlformats.org/officeDocument/2006/relationships/image" Target="media/a917ccf3538c8dd20af6ea38af2b67405d3cabf2.png"/><Relationship Id="rId15" Type="http://schemas.openxmlformats.org/officeDocument/2006/relationships/image" Target="media/b313309c8132ba94424d8d5ebd52cfad07467b52.png"/><Relationship Id="rId16" Type="http://schemas.openxmlformats.org/officeDocument/2006/relationships/image" Target="media/b661431930eb70ab6a989f77c9357e4b9498535d.png"/><Relationship Id="rId17" Type="http://schemas.openxmlformats.org/officeDocument/2006/relationships/image" Target="media/82771c92d204d9298ac643ec29e9acdd166bdfce.png"/><Relationship Id="rId18" Type="http://schemas.openxmlformats.org/officeDocument/2006/relationships/image" Target="media/204c9bad1becf6bd2629bbee44cafa70f54311d5.png"/><Relationship Id="rId19" Type="http://schemas.openxmlformats.org/officeDocument/2006/relationships/image" Target="media/f99c74e0404dcaf23401d0e954380ae3110e584c.png"/><Relationship Id="rId20" Type="http://schemas.openxmlformats.org/officeDocument/2006/relationships/image" Target="media/f5d8f5b028d1024c89372422428bb5e93449d5d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MultiPag - Estimativa por Pontos de Função</dc:title>
  <dc:creator>Equipe MultiPag</dc:creator>
  <cp:lastModifiedBy>Un-named</cp:lastModifiedBy>
  <cp:revision>1</cp:revision>
  <dcterms:created xsi:type="dcterms:W3CDTF">2026-10-14T22:25:25.649Z</dcterms:created>
  <dcterms:modified xsi:type="dcterms:W3CDTF">2026-10-14T22:25:25.650Z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