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00"/>
      </w:pPr>
      <w:r>
        <w:rPr>
          <w:rFonts w:ascii="Arial" w:cs="Arial" w:eastAsia="Arial" w:hAnsi="Arial"/>
          <w:b/>
          <w:bCs/>
          <w:color w:val="14284B"/>
          <w:sz w:val="56"/>
          <w:szCs w:val="56"/>
        </w:rPr>
        <w:t xml:space="preserve">MultiPag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643B"/>
          <w:sz w:val="36"/>
          <w:szCs w:val="36"/>
        </w:rPr>
        <w:t xml:space="preserve">Estimativa por Pontos de Função</w:t>
      </w:r>
    </w:p>
    <w:p>
      <w:pPr>
        <w:spacing w:after="360"/>
      </w:pPr>
      <w:r>
        <w:rPr>
          <w:rFonts w:ascii="Arial" w:cs="Arial" w:eastAsia="Arial" w:hAnsi="Arial"/>
          <w:color w:val="14284B"/>
          <w:sz w:val="26"/>
          <w:szCs w:val="26"/>
        </w:rPr>
        <w:t xml:space="preserve">Funcionalidades do tipo Saída Externa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Disciplina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Medição de Software</w:t>
            </w:r>
          </w:p>
        </w:tc>
      </w:tr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Projeto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MultiPag, plataforma de cobrança multicanal</w:t>
            </w:r>
          </w:p>
        </w:tc>
      </w:tr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Eduardo Lourenço da Silva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Gabriel Pereira Lugon Moulin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 Pedro Novak Rausis</w:t>
            </w:r>
          </w:p>
        </w:tc>
      </w:tr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Outubro de 2026</w:t>
            </w:r>
          </w:p>
        </w:tc>
      </w:tr>
    </w:tbl>
    <w:p>
      <w:pPr>
        <w:pStyle w:val="Heading1"/>
        <w:keepNext/>
        <w:pBdr>
          <w:bottom w:val="single" w:color="14284B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1. Introdução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Este documento apresenta a estimativa, em Pontos de Função (PF), de seis funcionalidades do tipo Saída Externa (SE) do MultiPag, plataforma de cobrança multicanal proposta como substituição do sistema de cobrança interno da Hubchain Technologies. A contagem segue o método IFPUG e parte dos requisitos funcionais (RF01 a RF15), dos casos de uso (UC01 a UC16) e do modelo de dados já definidos para o projeto.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Uma SE é um processo elementar que envia dados para fora da fronteira do sistema e, além de recuperar dados, realiza ao menos um processamento adicional: cálculo, geração de dados derivados, atualização de um arquivo lógico ou alteração do comportamento do sistema. A maior parte dos casos de uso do projeto original é de entradas (cadastros, login, criação de cobrança, saque) ou de consultas simples. Por isso, foram criadas e detalhadas seis funcionalidades de saída, cada uma ligada a um RF e a um caso de uso existentes, distribuídas em duas por membro da equipe. Cada SE conta com um protótipo de tela.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1.1 Critérios de contagem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Para cada SE foram identificados os arquivos lógicos referenciados (ALR), que são os ALIs lidos ou mantidos e os AIEs lidos, e os itens de dados (DER) que cruzam a fronteira do sistema, entre campos de entrada e de saída. Nas tabelas, (L) indica arquivo lido e (M) indica arquivo mantido (criado ou atualizado). A complexidade e o peso em PF seguem a tabela abaixo.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000"/>
        <w:gridCol w:w="2000"/>
        <w:gridCol w:w="3000"/>
      </w:tblGrid>
      <w:tr>
        <w:trPr>
          <w:cantSplit/>
          <w:tblHeader/>
        </w:trPr>
        <w:tc>
          <w:tcPr>
            <w:tcW w:type="dxa" w:w="2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ALR \ DER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a 5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a 19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 ou mais</w:t>
            </w:r>
          </w:p>
        </w:tc>
      </w:tr>
      <w:tr>
        <w:tc>
          <w:tcPr>
            <w:tcW w:type="dxa" w:w="2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ou 1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ou 3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ou mais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20" w:before="100" w:line="300"/>
      </w:pPr>
      <w:r>
        <w:rPr>
          <w:rFonts w:ascii="Arial" w:cs="Arial" w:eastAsia="Arial" w:hAnsi="Arial"/>
          <w:sz w:val="19"/>
          <w:szCs w:val="19"/>
        </w:rPr>
        <w:t xml:space="preserve">Peso de uma SE: Baixa = 4 PF, Média = 5 PF, Alta = 7 PF.</w:t>
      </w:r>
    </w:p>
    <w:p>
      <w:pPr>
        <w:pStyle w:val="Heading1"/>
        <w:keepNext/>
        <w:pBdr>
          <w:bottom w:val="single" w:color="14284B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2. Arquivos lógicos do projeto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Os arquivos lógicos foram obtidos do modelo de dados (PostgreSQL) do projeto. A tabela cobranca_metodo_pagamento é parte do ALI Cobrança, pois só existe em função dela. O AIE corresponde à cotação de criptoativos, mantida por um provedor externo e apenas consultada pelo MultiPag.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850"/>
        <w:gridCol w:w="700"/>
        <w:gridCol w:w="3000"/>
        <w:gridCol w:w="3138"/>
      </w:tblGrid>
      <w:tr>
        <w:trPr>
          <w:cantSplit/>
          <w:tblHeader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Tabelas do modelo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ALI01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Lojista ou prestador de serviço, com saldo disponível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ALI02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opcional do cliente final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ALI03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Cobrança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cobranca, cobranca_metodo_pagamento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Cobrança criada pelo business e métodos aceitos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ALI04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Pagamento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pagamento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Pagamento efetuado e seu status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ALI05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Movimentação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movimentacao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Extrato de entradas e saques do business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ALI06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Saque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saque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Solicitação de saque via Pix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AIE01</w:t>
            </w:r>
          </w:p>
        </w:tc>
        <w:tc>
          <w:tcPr>
            <w:tcW w:type="dxa" w:w="185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Cotação de criptoativos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3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Serviço externo (provedor de cotação)</w:t>
            </w:r>
          </w:p>
        </w:tc>
        <w:tc>
          <w:tcPr>
            <w:tcW w:type="dxa" w:w="3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Cotação vigente da moeda escolhida</w:t>
            </w:r>
          </w:p>
        </w:tc>
      </w:tr>
    </w:tbl>
    <w:p>
      <w:pPr>
        <w:pStyle w:val="Heading1"/>
        <w:keepNext/>
        <w:pBdr>
          <w:bottom w:val="single" w:color="14284B" w:sz="8" w:space="2"/>
        </w:pBdr>
        <w:spacing w:after="140" w:before="30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3. Distribuição das SEs na equipe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Cada membro ficou responsável por duas SEs, incluindo o detalhamento da contagem e a prototipação das telas. Na seção 4, as tabelas detalham cada SE e as figuras mostram os protótipos correspondentes, seguindo a identidade visual do MultiPag (azul-marinho com acento terracota).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3938"/>
        <w:gridCol w:w="2300"/>
      </w:tblGrid>
      <w:tr>
        <w:trPr>
          <w:cantSplit/>
          <w:tblHeader/>
        </w:trPr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Membro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no projeto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Eduardo Lourenço da Silva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SE01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Exibir painel do business com resumo</w:t>
            </w:r>
          </w:p>
        </w:tc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RF07 e RF08 (UC07)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Eduardo Lourenço da Silva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SE02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Gerar extrato com totais do período</w:t>
            </w:r>
          </w:p>
        </w:tc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RF08 e RNF09 (UC08)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Gabriel Pereira Lugon Moulin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SE03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Gerar pagamento via Pix com QR Code</w:t>
            </w:r>
          </w:p>
        </w:tc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RF11 e RF12 (UC11 e UC12)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Gabriel Pereira Lugon Moulin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SE04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Gerar cotação e instruções de pagamento em criptomoeda</w:t>
            </w:r>
          </w:p>
        </w:tc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RF11 e RF12 (UC11 e UC12)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João Pedro Novak Rausis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SE05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cobranças do cliente com totais</w:t>
            </w:r>
          </w:p>
        </w:tc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RF14 (UC15)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João Pedro Novak Rausis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SE06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Emitir comprovante de saque</w:t>
            </w:r>
          </w:p>
        </w:tc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RF09 (UC09)</w:t>
            </w:r>
          </w:p>
        </w:tc>
      </w:tr>
    </w:tbl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4. Detalhamento e prototipação das SEs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4.1 Eduardo Lourenço da Silva (SE01 e SE02)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SE01 · Exibir painel do business com resumo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 acessar o painel, o business visualiza o saldo disponível, os totais recebidos e sacados no mês, a quantidade de cobranças pendentes e pagas e as últimas movimentações.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 / caso de uso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RF07 e RF08 (UC07)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que é uma SE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 totais do mês e contagens por status da cobrança (dados derivados).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ALIs: Business (L), Cobrança (L), Movimentação (L). AIE: nenhum.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de dados (9)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do business; saldo disponível; total recebido no mês; total sacado no mês; quantidade de cobranças pendentes; quantidade de cobranças pagas; tipo da movimentação; valor da movimentação; data e hora da movimentação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ALR: 3  |  DER: 9  |  Complexidade: Média  |  PF: 5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SE02 · Gerar extrato com totais do período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business informa um período e um tipo de movimentação e recebe a listagem do extrato, com os totais de entradas, saídas e o saldo do período, além do saldo atual.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 / caso de uso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RF08 e RNF09 (UC08)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que é uma SE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Soma entradas e saídas e calcula o saldo do período (dados derivados).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ALIs: Business (L), Movimentação (L), Pagamento (L), Saque (L). AIE: nenhum.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de dados (13)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inicial; data final; tipo (filtro); página; data da movimentação; tipo da movimentação; valor; método utilizado no pagamento; status do saque; total de entradas; total de saídas; saldo do período; saldo atual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ALR: 4  |  DER: 13  |  Complexidade: Alta  |  PF: 7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3524250" cy="3248025"/>
            <wp:effectExtent t="0" r="0" b="0" l="0"/>
            <wp:docPr id="1" name="eduardo" descr="Figura 1. Protótipos das SE01 e SE02" title="Figura 1. Protótipos das SE01 e S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sz w:val="18"/>
          <w:szCs w:val="18"/>
        </w:rPr>
        <w:t xml:space="preserve">Figura 1. Protótipos das SE01 e SE02</w:t>
      </w:r>
    </w:p>
    <w:p>
      <w:pPr>
        <w:pStyle w:val="Heading2"/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4.2 Gabriel Pereira Lugon Moulin (SE03 e SE04)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SE03 · Gerar pagamento via Pix com QR Code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Quando o cliente escolhe Pix, o sistema gera o QR Code e o código "copia e cola" para o valor da cobrança, define o prazo de expiração e registra o pagamento como pendente.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 / caso de uso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RF11 e RF12 (UC11 e UC12)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que é uma SE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 dados derivados (QR Code, código copia e cola e prazo de expiração) e cria ou atualiza o pagamento pendente.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ALIs: Business (L), Cobrança (L), Pagamento (M). AIE: nenhum.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de dados (11)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do business; identificador da cobrança; descrição da cobrança; valor; CPF do pagador; método utilizado; identificador da transação; código copia e cola; imagem do QR Code; data e hora de expiração; status do pagamento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ALR: 3  |  DER: 11  |  Complexidade: Média  |  PF: 5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SE04 · Gerar cotação e instruções de pagamento em criptomoeda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Quando o cliente escolhe cripto, o sistema consulta a cotação vigente, calcula o valor a pagar na moeda escolhida e informa o endereço da carteira, o QR Code e o tempo de validade da cotação.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 / caso de uso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RF11 e RF12 (UC11 e UC12)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que é uma SE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 o valor em criptomoeda (valor em reais dividido pela cotação) e cria ou atualiza o pagamento pendente.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ALIs: Cobrança (L), Pagamento (M). AIE: Cotação de criptoativos (L).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de dados (11)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cobrança; valor em reais; CPF do pagador; moeda; rede; cotação aplicada; valor a pagar em cripto; endereço da carteira; imagem do QR Code; validade da cotação; status do pagamento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ALR: 3  |  DER: 11  |  Complexidade: Média  |  PF: 5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3524250" cy="3248025"/>
            <wp:effectExtent t="0" r="0" b="0" l="0"/>
            <wp:docPr id="1" name="gabriel" descr="Figura 2. Protótipos das SE03 e SE04" title="Figura 2. Protótipos das SE03 e S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sz w:val="18"/>
          <w:szCs w:val="18"/>
        </w:rPr>
        <w:t xml:space="preserve">Figura 2. Protótipos das SE03 e SE04</w:t>
      </w:r>
    </w:p>
    <w:p>
      <w:pPr>
        <w:pStyle w:val="Heading2"/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4.3 João Pedro Novak Rausis (SE05 e SE06)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SE05 · Listar cobranças do cliente com totais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cliente logado visualiza todas as cobranças vinculadas ao seu CPF, de qualquer business, com filtros por status e período e com os totais pago e pendente.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 / caso de uso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RF14 (UC15)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que é uma SE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 o total pago, o total pendente e a quantidade de cobranças (dados derivados).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ALIs: Cliente (L), Cobrança (L), Pagamento (L), Business (L). AIE: nenhum.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de dados (12)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 do cliente; filtro de status; nome do business; descrição da cobrança; valor da cobrança; status da cobrança; data de criação; data do pagamento; método utilizado; total pago; total pendente; quantidade de cobranças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ALR: 4  |  DER: 12  |  Complexidade: Alta  |  PF: 7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SE06 · Emitir comprovante de saque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Após solicitar um saque via Pix, o business recebe o comprovante com valor, chave Pix, status, data e os saldos antes e depois da operação, podendo baixá-lo.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 / caso de uso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RF09 (UC09)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que é uma SE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 e exibe os saldos anterior e posterior (dados derivados) e gera o documento do comprovante.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ALIs: Saque (L), Business (L). AIE: nenhum.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de dados (9)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saque; valor; chave Pix; status; data e hora da solicitação; data de conclusão; nome do business; saldo anterior; saldo posterior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ALR: 2  |  DER: 9  |  Complexidade: Média  |  PF: 5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3524250" cy="3248025"/>
            <wp:effectExtent t="0" r="0" b="0" l="0"/>
            <wp:docPr id="1" name="joao" descr="Figura 3. Protótipos das SE05 e SE06" title="Figura 3. Protótipos das SE05 e S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sz w:val="18"/>
          <w:szCs w:val="18"/>
        </w:rPr>
        <w:t xml:space="preserve">Figura 3. Protótipos das SE05 e SE06</w:t>
      </w:r>
    </w:p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5. Resumo das estimativas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38"/>
        <w:gridCol w:w="1400"/>
        <w:gridCol w:w="700"/>
        <w:gridCol w:w="800"/>
        <w:gridCol w:w="1600"/>
        <w:gridCol w:w="1300"/>
      </w:tblGrid>
      <w:tr>
        <w:trPr>
          <w:cantSplit/>
          <w:tblHeader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</w:t>
            </w:r>
          </w:p>
        </w:tc>
        <w:tc>
          <w:tcPr>
            <w:tcW w:type="dxa" w:w="30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ALR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</w:t>
            </w:r>
          </w:p>
        </w:tc>
        <w:tc>
          <w:tcPr>
            <w:tcW w:type="dxa" w:w="16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SE01</w:t>
            </w:r>
          </w:p>
        </w:tc>
        <w:tc>
          <w:tcPr>
            <w:tcW w:type="dxa" w:w="30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Exibir painel do business com resumo</w:t>
            </w:r>
          </w:p>
        </w:tc>
        <w:tc>
          <w:tcPr>
            <w:tcW w:type="dxa" w:w="14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Eduardo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SE02</w:t>
            </w:r>
          </w:p>
        </w:tc>
        <w:tc>
          <w:tcPr>
            <w:tcW w:type="dxa" w:w="30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Gerar extrato com totais do período</w:t>
            </w:r>
          </w:p>
        </w:tc>
        <w:tc>
          <w:tcPr>
            <w:tcW w:type="dxa" w:w="14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Eduardo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SE03</w:t>
            </w:r>
          </w:p>
        </w:tc>
        <w:tc>
          <w:tcPr>
            <w:tcW w:type="dxa" w:w="30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Gerar pagamento via Pix com QR Code</w:t>
            </w:r>
          </w:p>
        </w:tc>
        <w:tc>
          <w:tcPr>
            <w:tcW w:type="dxa" w:w="14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Gabriel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SE04</w:t>
            </w:r>
          </w:p>
        </w:tc>
        <w:tc>
          <w:tcPr>
            <w:tcW w:type="dxa" w:w="30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Gerar cotação e instruções de pagamento em criptomoeda</w:t>
            </w:r>
          </w:p>
        </w:tc>
        <w:tc>
          <w:tcPr>
            <w:tcW w:type="dxa" w:w="14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Gabriel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SE05</w:t>
            </w:r>
          </w:p>
        </w:tc>
        <w:tc>
          <w:tcPr>
            <w:tcW w:type="dxa" w:w="30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Listar cobranças do cliente com totais</w:t>
            </w:r>
          </w:p>
        </w:tc>
        <w:tc>
          <w:tcPr>
            <w:tcW w:type="dxa" w:w="14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 Pedro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SE06</w:t>
            </w:r>
          </w:p>
        </w:tc>
        <w:tc>
          <w:tcPr>
            <w:tcW w:type="dxa" w:w="30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Emitir comprovante de saque</w:t>
            </w:r>
          </w:p>
        </w:tc>
        <w:tc>
          <w:tcPr>
            <w:tcW w:type="dxa" w:w="14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 Pedro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338"/>
            <w:gridSpan w:val="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</w:t>
            </w:r>
          </w:p>
        </w:tc>
      </w:tr>
    </w:tbl>
    <w:p>
      <w:pPr>
        <w:spacing w:after="120" w:before="120" w:line="300"/>
      </w:pPr>
      <w:r>
        <w:rPr>
          <w:rFonts w:ascii="Arial" w:cs="Arial" w:eastAsia="Arial" w:hAnsi="Arial"/>
          <w:sz w:val="21"/>
          <w:szCs w:val="21"/>
        </w:rPr>
        <w:t xml:space="preserve">Total por membro: Eduardo 12 PF, Gabriel 10 PF e João Pedro 12 PF, somando 34 PF para as seis SEs.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5.1 Matriz de rastreabilidade: SE x arquivos lógicos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8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cantSplit/>
          <w:tblHeader/>
        </w:trPr>
        <w:tc>
          <w:tcPr>
            <w:tcW w:type="dxa" w:w="1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ALI01 Business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ALI02 Cliente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ALI03 Cobrança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ALI04 Pagam.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ALI05 Movim.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ALI06 Saque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AIE01 Cotação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SE01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SE02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SE03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8643B"/>
                <w:sz w:val="18"/>
                <w:szCs w:val="18"/>
              </w:rPr>
              <w:t xml:space="preserve">M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SE04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8643B"/>
                <w:sz w:val="18"/>
                <w:szCs w:val="18"/>
              </w:rPr>
              <w:t xml:space="preserve">M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SE05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SE06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4284B"/>
                <w:sz w:val="18"/>
                <w:szCs w:val="18"/>
              </w:rPr>
              <w:t xml:space="preserve">L</w:t>
            </w:r>
          </w:p>
        </w:tc>
        <w:tc>
          <w:tcPr>
            <w:tcW w:type="dxa" w:w="121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00" w:line="300"/>
      </w:pPr>
      <w:r>
        <w:rPr>
          <w:rFonts w:ascii="Arial" w:cs="Arial" w:eastAsia="Arial" w:hAnsi="Arial"/>
          <w:sz w:val="18"/>
          <w:szCs w:val="18"/>
        </w:rPr>
        <w:t xml:space="preserve">L = arquivo lido; M = arquivo mantido (criado ou atualizado); - = não referenciado.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5.2 Observações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Esta estimativa considera apenas as seis SEs descritas. As demais funções do sistema (entradas externas, consultas externas e a contagem completa dos ALIs e AIEs) não fazem parte deste documento.</w:t>
      </w:r>
    </w:p>
    <w:p>
      <w:pPr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Os itens de dados foram levantados a partir das telas prototipadas, considerando campos de entrada e de saída de cada processo, e podem ser refinados quando a interface definitiva for validada.</w:t>
      </w:r>
    </w:p>
    <w:sectPr>
      <w:headerReference w:type="default" r:id="rId7"/>
      <w:footerReference w:type="default" r:id="rId8"/>
      <w:pgSz w:w="11906" w:h="16838" w:orient="portrait"/>
      <w:pgMar w:top="130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MultiPag · Estimativa por Pontos de Função (SE)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4284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C864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f2a68830ffb805cb508403c32c74f1096d0e49.png"/><Relationship Id="rId10" Type="http://schemas.openxmlformats.org/officeDocument/2006/relationships/image" Target="media/08703bd96edd14e8bda6f5ceceb787886f8949b3.png"/><Relationship Id="rId11" Type="http://schemas.openxmlformats.org/officeDocument/2006/relationships/image" Target="media/928325908ac333b24ce4e08d107d271b228f17d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 (SE)</dc:title>
  <dc:creator>Equipe MultiPag</dc:creator>
  <cp:lastModifiedBy>Un-named</cp:lastModifiedBy>
  <cp:revision>1</cp:revision>
  <dcterms:created xsi:type="dcterms:W3CDTF">2026-10-14T21:35:38.869Z</dcterms:created>
  <dcterms:modified xsi:type="dcterms:W3CDTF">2026-10-14T21:35:38.870Z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