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MultiPag</w:t>
      </w:r>
    </w:p>
    <w:p>
      <w:pPr>
        <w:spacing w:after="600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Estimativa por Pontos de Função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Disciplina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Medição de Software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MultiPag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Gabriel Pereira Lugon Moulin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Outubro de 2026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Funções de dados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1.1 Arquivos lógicos internos (ALI)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ALI03: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Cobrança; Método de pagamento habilitado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(9):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descrição; CPF do cliente; e-mail do cliente; método habilitado; link de pagamento; status; data de criação; data de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638550"/>
                  <wp:effectExtent t="0" r="0" b="0" l="0"/>
                  <wp:docPr id="1" name="criar-cobranca-etapa-2" descr="Métodos habilitados" title="Métodos habilita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Métodos habilitados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524250"/>
                  <wp:effectExtent t="0" r="0" b="0" l="0"/>
                  <wp:docPr id="1" name="criar-cobranca-etapa-5" descr="Revisão da cobrança" title="Revisão da cob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Revisão da cobrança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ALI04: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método utilizado; valor pago; CPF do pagador; status; identificador da transação externa; data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pix" descr="Pagamento via Pix" title="Pagamento via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via Pix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cartao" descr="Pagamento com cartão" title="Pagamento com cart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com cartão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1.2 Arquivos de interface externa (AIE)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AIE02: Confirmação de pagamento com cartão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pagamento com cartão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status da confirmação; data e hora da confirmação; final do cartão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retorno-cartao" descr="Retorno do pagamento com cartão" title="Retorno do pagamento com cart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com cartão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AIE04: Cotação e confirmação de cripto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Cotação e confirmação de cripto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criptomoeda; cotação aplicada; quantidade em cripto; status da confirmação; data e hora da confirmação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171825"/>
                  <wp:effectExtent t="0" r="0" b="0" l="0"/>
                  <wp:docPr id="1" name="pagamento-cripto" descr="Pagamento em cripto" title="Pagamento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em cripto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cripto" descr="Retorno do pagamento em cripto" title="Retorno do pagamento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em cripto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Entradas externas (EE)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Minha contribuição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Identifiquei as EEs do módulo de cobranças (EE05 a EE07), definindo as verificações sobre os ALIs Cobrança e Pagamento antes de alterar ou cancelar uma cobrança, e o pagamento com cartão (EE08), que registra o pagamento pendente enviado ao gateway.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EE05: Incluir cobrança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O business informa valor, descrição, CPF e e-mail do cliente e os métodos aceitos. O sistema cria a cobrança pendente e gera o link único de pagamento.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arquivos referenciados (2): </w:t>
      </w:r>
      <w:r>
        <w:rPr>
          <w:rFonts w:ascii="Arial" w:cs="Arial" w:eastAsia="Arial" w:hAnsi="Arial"/>
          <w:sz w:val="20"/>
          <w:szCs w:val="20"/>
        </w:rPr>
        <w:t xml:space="preserve">ALI03 Cobrança (mantido); ALI02 Cliente (lido)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itens de dados referenciados (6): </w:t>
      </w:r>
      <w:r>
        <w:rPr>
          <w:rFonts w:ascii="Arial" w:cs="Arial" w:eastAsia="Arial" w:hAnsi="Arial"/>
          <w:sz w:val="20"/>
          <w:szCs w:val="20"/>
        </w:rPr>
        <w:t xml:space="preserve">valor; descrição; CPF do cliente; e-mail do cliente; métodos de pagamento aceitos; mensagem de retorno (com o link)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Complexidade: </w:t>
      </w:r>
      <w:r>
        <w:rPr>
          <w:rFonts w:ascii="Arial" w:cs="Arial" w:eastAsia="Arial" w:hAnsi="Arial"/>
          <w:sz w:val="20"/>
          <w:szCs w:val="20"/>
        </w:rPr>
        <w:t xml:space="preserve">Moderado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Tamanho: </w:t>
      </w:r>
      <w:r>
        <w:rPr>
          <w:rFonts w:ascii="Arial" w:cs="Arial" w:eastAsia="Arial" w:hAnsi="Arial"/>
          <w:sz w:val="20"/>
          <w:szCs w:val="20"/>
        </w:rPr>
        <w:t xml:space="preserve">4 PF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riar-cobranca-etapa-1" descr="Etapa 1: itens" title="Etapa 1: it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1: itens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066800" cy="2857500"/>
                  <wp:effectExtent t="0" r="0" b="0" l="0"/>
                  <wp:docPr id="1" name="criar-cobranca-etapa-2" descr="Etapa 2: métodos de pagamento" title="Etapa 2: métodos de pa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2: métodos de pagamento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104900" cy="2857500"/>
                  <wp:effectExtent t="0" r="0" b="0" l="0"/>
                  <wp:docPr id="1" name="criar-cobranca-etapa-5" descr="Etapa 5: revisão e geração" title="Etapa 5: revisão e ger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5: revisão e geração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EE06: Alterar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Enquanto a cobrança está pendente, o business altera valor, descrição, e-mail do cliente e métodos aceitos.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(mantido); ALI04 Pagamento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valor; descrição; e-mail do cliente; métodos de pagamento aceitos;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ditar-cobranca" descr="Edição da cobrança pendente" title="Edição da cobrança pend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Edição da cobrança pendente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EE07: Excluir cobrança (cancelamento)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cancela uma cobrança pendente e sem pagamento iniciado. A cobrança passa ao status cancelada e o link deixa de aceitar pagamentos.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(mantido); ALI04 Pagamento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confirmação do cancelamento;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ancelar-cobranca" descr="Cancelamento da cobrança" title="Cancelamento da cob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Cancelamento da cobrança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EE08: Pagar cobrança com cartão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cliente, convidado ou logado, informa o CPF, os dados do cartão e as parcelas. O sistema valida o método e o status da cobrança e registra o pagamento pendente enviado ao gateway.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 (mantido); ALI03 Cobrança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(8):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CPF do pagador; nome no cartão; número do cartão; validade; código de segurança; parcelas;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cartao" descr="Dados do cartão e parcelas" title="Dados do cartão e parcel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Dados do cartão e parcelas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cartao" descr="Retorno do pagamento" title="Retorno do pa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Saídas externas (SE)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SE03: Gerar pagamento via Pix com QR Code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Quando o cliente escolhe Pix, o sistema gera o QR Code e o código "copia e cola" para o valor da cobrança, define o prazo de expiração e registra o pagamento como pendente.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(lido); ALI03 Cobrança (lido); ALI04 Pagamento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do business; identificador da cobrança; descrição da cobrança; valor; CPF do pagador; método utilizado; identificador da transação; código copia e cola; imagem do QR Code; data e hora de expiração; status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QR Code, o código copia e cola e o prazo de expiração não são lidos de nenhum arquivo. O sistema os gera a partir do valor da cobrança e do identificador da transação, ou seja, são dados derivados. A função ainda cria o pagamento pendente.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pix" descr="Pagamento via Pix com QR Code" title="Pagamento via Pix com 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via Pix com QR Code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SE04: Gerar cotação e instruções de pagamento em criptomoeda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Quando o cliente escolhe cripto, o sistema consulta a cotação vigente, calcula o valor a pagar na moeda escolhida e informa o endereço da carteira, o QR Code e o tempo de validade da cotação.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(lido); ALI04 Pagamento (mantido); AIE04 Cotação e confirmação de cripto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valor em reais; CPF do pagador; moeda; rede; cotação aplicada; valor a pagar em cripto; endereço da carteira; imagem do QR Code; validade da cotação; status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valor a pagar em criptomoeda é calculado dividindo o valor em reais pela cotação vigente, e o QR Code e o prazo de validade da cotação também são gerados na hora. Nenhum deles é um dado armazenado, portanto são derivados.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628775" cy="3810000"/>
                  <wp:effectExtent t="0" r="0" b="0" l="0"/>
                  <wp:docPr id="1" name="pagamento-cripto" descr="Cotação e instruções em cripto" title="Cotação e instruções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Cotação e instruções em cripto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Consultas externas (CE)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CE03: Acessar cobrança pelo link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abre o link recebido e visualiza os dados da cobrança e os métodos de pagamento disponíveis. Endpoint público.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link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do business; descrição da cobrança; valor; status da cobrança; métodos de pagamento habilitados; mensagem de erro (link inválido ou expirado)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obranca-recebida-cliente" descr="Cobrança aberta pelo link" title="Cobrança aberta pelo li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Cobrança aberta pelo link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CE04: Consultar detalhes da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abre uma cobrança emitida e consulta seus dados completos, incluindo o pagamento associado, quando houver.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(lido); ALI04 Pagamento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(10):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descrição; CPF do cliente (mascarado); e-mail do cliente; métodos de pagamento aceitos; status da cobrança; data de criação; data de pagamento; método utilizado; link de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detalhes-cobranca" descr="Detalhes da cobrança" title="Detalhes da cob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Detalhes da cobrança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Cálculo dos pontos de função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 Pontos de função brutos (PFB)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138"/>
        <w:gridCol w:w="1500"/>
        <w:gridCol w:w="1000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ALI03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Cobrança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ALI04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AIE02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Confirmação de pagamento com cartão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AIE04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Cotação e confirmação de cripto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EE05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Incluir cobrança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EE06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Alterar cobrança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EE07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Excluir cobrança (cancelamento)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EE08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Pagar cobrança com cartão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SE03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Gerar pagamento via Pix com QR Code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SE04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Gerar cotação e instruções de pagamento em criptomoeda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CE03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Acessar cobrança pelo link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CE04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 detalhes da cobrança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57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300"/>
        <w:gridCol w:w="12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função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Quantidade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7 = 14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15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5 = 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7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3 = 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× 4 = 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6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4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5 = 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7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3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4 = 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6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100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57</w:t>
            </w:r>
          </w:p>
        </w:tc>
      </w:tr>
    </w:tbl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 Nível de influência (NI)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700"/>
        <w:gridCol w:w="5938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Comunicação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sistema só é acessado pelo navegador, pela internet, e conversa com vários serviços externos por API e webhooks: gateways de Pix, cartão, boleto e cripto, o DICT e a consulta de CPF. Há mais de um tipo de comunicação, mas todos sobre HTTPS.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distribuído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aplicação e o banco são centralizados em um único ambiente em nuvem. Só a validação de pagamentos e a consulta de chaves e CPF ocorrem em serviços de terceiros.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Desempenho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tempo de resposta importa no fluxo de pagamento, pois o cliente espera o QR Code e a confirmação, mas não há exigência contratual de tempo nem processamento crítico em tempo real.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Configuração do equipamento muito utilizada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MultiPag roda em recursos padrão de nuvem, sem restrição de hardware ou de operação que obrigue um cuidado especial com a configuração.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de transações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Vários businesses emitem cobranças e vários clientes pagam ao mesmo tempo, com picos no início do mês por causa das cobranças recorrentes, mas sem um pico crítico fixo.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Entrada de dados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Todas as entradas são feitas on-line, por formulários (cadastro, cobrança, pagamento, saque) e por retornos automáticos dos gateways. Não existe processamento em lote.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Eficiência do usuário final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fluxos são guiados em etapas, com validação na hora (CPF verificado, chave Pix encontrada), botão de copiar código, QR Code e totais já calculados, para reduzir o esforço do usuário.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Atualização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Cobrança, pagamento, saldo, extrato e saque são atualizados on-line a cada operação, com recuperação pelo status. Não há duplicação de dados em tempo real nem recuperação automática completa, por isso a nota não é 5.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complexo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Há regras de negócio moderadas: controle de status da cobrança, validação de saldo, cálculo de cotação e de totais, autenticação e senha com hash. Não há algoritmos matemáticos complexos.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Reutilização de código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reaproveitamento se limita ao modelo de dados e à especificação da API. O MultiPag não é uma solução white label, então grande parte do código será específica.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implantação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publicação em nuvem é simples, mas a implantação exige configurar as integrações com os gateways e cadastrar os businesses iniciais, sem requisito formal de conversão de dados.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operacional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operação depende de rotinas de backup, registro de transações (RNF09) e acompanhamento da confirmação dos pagamentos, com algum procedimento manual quando um gateway falha.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Múltiplos locais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Uma única instalação atende vários businesses e clientes que acessam de lugares e dispositivos diferentes, mas sem instalações separadas em locais distintos.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mudanças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regras ficam no código, e um novo método de pagamento ou novo tipo de cobrança exige alteração pontual. O usuário só configura filtros e os métodos habilitados de cada cobrança.</w:t>
            </w:r>
          </w:p>
        </w:tc>
      </w:tr>
      <w:tr>
        <w:tc>
          <w:tcPr>
            <w:tcW w:type="dxa" w:w="30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Nível de influência (NI)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 Fator de ajuste (FA) e pontos de função ajustados (PFA)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>FA = 0,65 + (0,01 × NI) = 0,65 + (0,01 × 42) = 1,07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PFA = PFB × FA = 57 × 1,07 = 60,99 PF</w:t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Esforço, prazo e custo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Produtividade: </w:t>
      </w:r>
      <w:r>
        <w:rPr>
          <w:rFonts w:ascii="Arial" w:cs="Arial" w:eastAsia="Arial" w:hAnsi="Arial"/>
          <w:sz w:val="20"/>
          <w:szCs w:val="20"/>
        </w:rPr>
        <w:t xml:space="preserve">12 horas por PF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 da hora: </w:t>
      </w:r>
      <w:r>
        <w:rPr>
          <w:rFonts w:ascii="Arial" w:cs="Arial" w:eastAsia="Arial" w:hAnsi="Arial"/>
          <w:sz w:val="20"/>
          <w:szCs w:val="20"/>
        </w:rPr>
        <w:t xml:space="preserve">R$ 50,00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Dedicação: </w:t>
      </w:r>
      <w:r>
        <w:rPr>
          <w:rFonts w:ascii="Arial" w:cs="Arial" w:eastAsia="Arial" w:hAnsi="Arial"/>
          <w:sz w:val="20"/>
          <w:szCs w:val="20"/>
        </w:rPr>
        <w:t xml:space="preserve">1 desenvolvedor, 4 horas por dia, 20 dias úteis por mês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Esforço = PFA × produtividade = 60,99 × 12 = 731,9 horas</w:t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Prazo = esforço ÷ (4 × 20) = 731,9 ÷ 80 = 9,1 meses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Custo = esforço × custo da hora = 731,9 × R$ 50,00 = R$ 36.594,00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76fb1e12f0658d28dba37b621f70fb54443878c7.png"/><Relationship Id="rId10" Type="http://schemas.openxmlformats.org/officeDocument/2006/relationships/image" Target="media/399bbbef895cdb55c04a1f79d0022f0309a7f993.png"/><Relationship Id="rId11" Type="http://schemas.openxmlformats.org/officeDocument/2006/relationships/image" Target="media/3b6a3c0de9d5b1569406683b1a3ed0f5c85b1e49.png"/><Relationship Id="rId12" Type="http://schemas.openxmlformats.org/officeDocument/2006/relationships/image" Target="media/31e2a17eb22efc7b5ee541ef4ea617de17f02f39.png"/><Relationship Id="rId13" Type="http://schemas.openxmlformats.org/officeDocument/2006/relationships/image" Target="media/44f17c4a83723350680dbeb32ff372ab138fb6e3.png"/><Relationship Id="rId14" Type="http://schemas.openxmlformats.org/officeDocument/2006/relationships/image" Target="media/a917ccf3538c8dd20af6ea38af2b67405d3cabf2.png"/><Relationship Id="rId15" Type="http://schemas.openxmlformats.org/officeDocument/2006/relationships/image" Target="media/b313309c8132ba94424d8d5ebd52cfad07467b52.png"/><Relationship Id="rId16" Type="http://schemas.openxmlformats.org/officeDocument/2006/relationships/image" Target="media/b661431930eb70ab6a989f77c9357e4b9498535d.png"/><Relationship Id="rId17" Type="http://schemas.openxmlformats.org/officeDocument/2006/relationships/image" Target="media/82771c92d204d9298ac643ec29e9acdd166bdfce.png"/><Relationship Id="rId18" Type="http://schemas.openxmlformats.org/officeDocument/2006/relationships/image" Target="media/204c9bad1becf6bd2629bbee44cafa70f54311d5.png"/><Relationship Id="rId19" Type="http://schemas.openxmlformats.org/officeDocument/2006/relationships/image" Target="media/f99c74e0404dcaf23401d0e954380ae3110e584c.png"/><Relationship Id="rId20" Type="http://schemas.openxmlformats.org/officeDocument/2006/relationships/image" Target="media/f5d8f5b028d1024c89372422428bb5e93449d5d2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MultiPag - Estimativa por Pontos de Função</dc:title>
  <dc:creator>Equipe MultiPag</dc:creator>
  <cp:lastModifiedBy>Un-named</cp:lastModifiedBy>
  <cp:revision>1</cp:revision>
  <dcterms:created xsi:type="dcterms:W3CDTF">2026-10-14T22:32:51.754Z</dcterms:created>
  <dcterms:modified xsi:type="dcterms:W3CDTF">2026-10-14T22:32:51.754Z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