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1</w:t>
      </w:r>
    </w:p>
    <w:p>
      <w:pPr>
        <w:pStyle w:val="Heading2"/>
      </w:pPr>
      <w:r>
        <w:t>01 Wilson Davis Memo Documentary</w:t>
      </w:r>
    </w:p>
    <w:p>
      <w: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[[ARV]], an [[Alien Reproduction Vehicle]], and we must now realize that these [[ARV]]'s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05 The First Commercial Flight Grounded Due to UFOs</w:t>
      </w:r>
    </w:p>
    <w:p>
      <w: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[[SAP]]s work, and how the [[Senior Review Group]] and [[SAPOC]] are the only people who delegate access to [[SAP]]s.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w:t>
        <w:br/>
        <w:br/>
        <w:t>[[Battelle]]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08 UFOs and Nuclear Weapons - A Fascinating Connection</w:t>
      </w:r>
    </w:p>
    <w:p>
      <w: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