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ЭВМ</w:t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sz w:val="28"/>
          <w:szCs w:val="28"/>
        </w:rPr>
        <w:t>Создание простой программы на языке ассемблера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ассистент каф. ЭВМ                                                                   студент гр.</w:t>
      </w:r>
      <w:r>
        <w:rPr>
          <w:rFonts w:ascii="Times New Roman" w:hAnsi="Times New Roman" w:eastAsia="Times New Roman" w:cs="Times New Roman"/>
          <w:sz w:val="28"/>
          <w:szCs w:val="28"/>
        </w:rPr>
        <w:t>030501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Туровец Николай Олегович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</w:rPr>
        <w:t>Вайтехович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П.В.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процессора и общей структурой программы.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Алгоритм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установка регистра процессора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сегментная адресация памяти</w:t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программный вызов прерываний</w:t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установка режима отображения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запись непосредственно в видеопамять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40" w:hanging="36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вывод текста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памяти vga: первый байт - символ ascii, следующий байт - атрибут</w:t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символа. Если изменить второй байт, то можно изменить цвет символа даже после его печати.</w:t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Листинг программы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name "hi-world"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org 100h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mov ax, 3     int 10h       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ax, 1003h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bx, 0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int 10h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    ax, 0b800h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    ds, ax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[02h], 'H'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[04h], 'e'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[06h], 'l'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[08h], 'l'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[0ah], 'o'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[0ch], ','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[0eh], 'W'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[10h], 'o'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[12h], 'r'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[14h], 'l'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[16h], 'd'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[18h], '!'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cx, 12  ; number of characters.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di, 03h ; start from byte after 'h'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c:  mov [di], 00001111b   ; light red(1100) on yellow(1110)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add di, 2 ; skip over next ascii code in vga memory.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loop c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mov ah, 0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int 16h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Тест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5934710" cy="4152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extLst>
                        <a:ext uri="smNativeData">
                          <sm:smNativeData xmlns:sm="smNativeData" val="SMDATA_14_AzMT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AAAAAHoAAAAAAAAAAAAAAAAAAAAAAAAAAAAAAAAAAAAAAAAAAAAACCJAAAjB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Рисунок 1 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результат выполнения программы</w:t>
      </w:r>
    </w:p>
    <w:p>
      <w:pPr>
        <w:spacing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2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данной лабораторной работе разработана  программа, которая </w:t>
      </w:r>
      <w:r>
        <w:rPr>
          <w:rFonts w:ascii="Times New Roman" w:hAnsi="Times New Roman" w:eastAsia="Times New Roman" w:cs="Times New Roman"/>
          <w:sz w:val="28"/>
          <w:szCs w:val="28"/>
        </w:rPr>
        <w:t>выводит текст “Hellow, World!” на экран.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700" w:top="1133" w:right="860" w:bottom="1106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42541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000000"/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2022-02-18T13:45:09Z</dcterms:created>
  <dcterms:modified xsi:type="dcterms:W3CDTF">2022-02-21T06:36:51Z</dcterms:modified>
</cp:coreProperties>
</file>