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color w:val="003366"/>
          <w:sz w:val="72"/>
        </w:rPr>
        <w:t>ECO-FAST</w:t>
      </w:r>
    </w:p>
    <w:p/>
    <w:p>
      <w:pPr>
        <w:jc w:val="center"/>
      </w:pPr>
      <w:r>
        <w:rPr>
          <w:rFonts w:ascii="Times New Roman" w:hAnsi="Times New Roman"/>
          <w:b w:val="0"/>
          <w:i/>
          <w:color w:val="1F497D"/>
          <w:sz w:val="36"/>
        </w:rPr>
        <w:t>Economically and Environmentally Conscious</w:t>
        <w:br/>
        <w:t>Food Waste Assessment and Selection Tool</w:t>
      </w:r>
    </w:p>
    <w:p/>
    <w:p/>
    <w:p>
      <w:pPr>
        <w:jc w:val="center"/>
      </w:pPr>
      <w:r>
        <w:rPr>
          <w:rFonts w:ascii="Times New Roman" w:hAnsi="Times New Roman"/>
          <w:b/>
          <w:i w:val="0"/>
          <w:sz w:val="28"/>
        </w:rPr>
        <w:t>TOOL DESCRIPTION REPORT</w:t>
      </w:r>
    </w:p>
    <w:p/>
    <w:p>
      <w:pPr>
        <w:jc w:val="center"/>
      </w:pPr>
      <w:r>
        <w:rPr>
          <w:rFonts w:ascii="Times New Roman" w:hAnsi="Times New Roman"/>
          <w:b w:val="0"/>
          <w:i/>
          <w:color w:val="595959"/>
          <w:sz w:val="24"/>
        </w:rPr>
        <w:t>Version 1.0   —   July 2026</w:t>
      </w:r>
    </w:p>
    <w:p>
      <w:r>
        <w:br w:type="page"/>
      </w:r>
    </w:p>
    <w:p>
      <w:pPr>
        <w:pStyle w:val="Heading1"/>
        <w:spacing w:before="360" w:after="120"/>
      </w:pPr>
      <w:r>
        <w:rPr>
          <w:rFonts w:ascii="Times New Roman" w:hAnsi="Times New Roman"/>
          <w:b/>
          <w:color w:val="003366"/>
          <w:sz w:val="32"/>
        </w:rPr>
        <w:t>Table of Contents</w:t>
      </w:r>
    </w:p>
    <w:p>
      <w:pPr>
        <w:spacing w:after="80"/>
      </w:pPr>
      <w:r>
        <w:rPr>
          <w:rFonts w:ascii="Times New Roman" w:hAnsi="Times New Roman"/>
          <w:b/>
          <w:i w:val="0"/>
          <w:sz w:val="24"/>
        </w:rPr>
        <w:t xml:space="preserve">1.  </w:t>
      </w:r>
      <w:r>
        <w:rPr>
          <w:rFonts w:ascii="Times New Roman" w:hAnsi="Times New Roman"/>
          <w:b w:val="0"/>
          <w:i w:val="0"/>
          <w:sz w:val="24"/>
        </w:rPr>
        <w:t>Overview and Purpose</w:t>
      </w:r>
    </w:p>
    <w:p>
      <w:pPr>
        <w:spacing w:after="80"/>
      </w:pPr>
      <w:r>
        <w:rPr>
          <w:rFonts w:ascii="Times New Roman" w:hAnsi="Times New Roman"/>
          <w:b/>
          <w:i w:val="0"/>
          <w:sz w:val="24"/>
        </w:rPr>
        <w:t xml:space="preserve">2.  </w:t>
      </w:r>
      <w:r>
        <w:rPr>
          <w:rFonts w:ascii="Times New Roman" w:hAnsi="Times New Roman"/>
          <w:b w:val="0"/>
          <w:i w:val="0"/>
          <w:sz w:val="24"/>
        </w:rPr>
        <w:t>System Architecture</w:t>
      </w:r>
    </w:p>
    <w:p>
      <w:pPr>
        <w:spacing w:after="80"/>
      </w:pPr>
      <w:r>
        <w:rPr>
          <w:rFonts w:ascii="Times New Roman" w:hAnsi="Times New Roman"/>
          <w:b/>
          <w:i w:val="0"/>
          <w:sz w:val="24"/>
        </w:rPr>
        <w:t xml:space="preserve">3.  </w:t>
      </w:r>
      <w:r>
        <w:rPr>
          <w:rFonts w:ascii="Times New Roman" w:hAnsi="Times New Roman"/>
          <w:b w:val="0"/>
          <w:i w:val="0"/>
          <w:sz w:val="24"/>
        </w:rPr>
        <w:t>Technology Superstructure</w:t>
      </w:r>
    </w:p>
    <w:p>
      <w:pPr>
        <w:spacing w:after="80"/>
      </w:pPr>
      <w:r>
        <w:rPr>
          <w:rFonts w:ascii="Times New Roman" w:hAnsi="Times New Roman"/>
          <w:b/>
          <w:i w:val="0"/>
          <w:sz w:val="24"/>
        </w:rPr>
        <w:t xml:space="preserve">4.  </w:t>
      </w:r>
      <w:r>
        <w:rPr>
          <w:rFonts w:ascii="Times New Roman" w:hAnsi="Times New Roman"/>
          <w:b w:val="0"/>
          <w:i w:val="0"/>
          <w:sz w:val="24"/>
        </w:rPr>
        <w:t>Tab 1 — Instructions</w:t>
      </w:r>
    </w:p>
    <w:p>
      <w:pPr>
        <w:spacing w:after="80"/>
      </w:pPr>
      <w:r>
        <w:rPr>
          <w:rFonts w:ascii="Times New Roman" w:hAnsi="Times New Roman"/>
          <w:b/>
          <w:i w:val="0"/>
          <w:sz w:val="24"/>
        </w:rPr>
        <w:t xml:space="preserve">5.  </w:t>
      </w:r>
      <w:r>
        <w:rPr>
          <w:rFonts w:ascii="Times New Roman" w:hAnsi="Times New Roman"/>
          <w:b w:val="0"/>
          <w:i w:val="0"/>
          <w:sz w:val="24"/>
        </w:rPr>
        <w:t>Tab 2 — Feed Inputs</w:t>
      </w:r>
    </w:p>
    <w:p>
      <w:pPr>
        <w:spacing w:after="80"/>
      </w:pPr>
      <w:r>
        <w:rPr>
          <w:rFonts w:ascii="Times New Roman" w:hAnsi="Times New Roman"/>
          <w:b/>
          <w:i w:val="0"/>
          <w:sz w:val="24"/>
        </w:rPr>
        <w:t xml:space="preserve">6.  </w:t>
      </w:r>
      <w:r>
        <w:rPr>
          <w:rFonts w:ascii="Times New Roman" w:hAnsi="Times New Roman"/>
          <w:b w:val="0"/>
          <w:i w:val="0"/>
          <w:sz w:val="24"/>
        </w:rPr>
        <w:t>Tab 3 — Technology Specifications</w:t>
      </w:r>
    </w:p>
    <w:p>
      <w:pPr>
        <w:spacing w:after="80"/>
      </w:pPr>
      <w:r>
        <w:rPr>
          <w:rFonts w:ascii="Times New Roman" w:hAnsi="Times New Roman"/>
          <w:b/>
          <w:i w:val="0"/>
          <w:sz w:val="24"/>
        </w:rPr>
        <w:t xml:space="preserve">7.  </w:t>
      </w:r>
      <w:r>
        <w:rPr>
          <w:rFonts w:ascii="Times New Roman" w:hAnsi="Times New Roman"/>
          <w:b w:val="0"/>
          <w:i w:val="0"/>
          <w:sz w:val="24"/>
        </w:rPr>
        <w:t>Tab 4 — Cost Specifications</w:t>
      </w:r>
    </w:p>
    <w:p>
      <w:pPr>
        <w:spacing w:after="80"/>
      </w:pPr>
      <w:r>
        <w:rPr>
          <w:rFonts w:ascii="Times New Roman" w:hAnsi="Times New Roman"/>
          <w:b/>
          <w:i w:val="0"/>
          <w:sz w:val="24"/>
        </w:rPr>
        <w:t xml:space="preserve">8.  </w:t>
      </w:r>
      <w:r>
        <w:rPr>
          <w:rFonts w:ascii="Times New Roman" w:hAnsi="Times New Roman"/>
          <w:b w:val="0"/>
          <w:i w:val="0"/>
          <w:sz w:val="24"/>
        </w:rPr>
        <w:t>Tab 5 — Results</w:t>
      </w:r>
    </w:p>
    <w:p>
      <w:pPr>
        <w:spacing w:after="80"/>
      </w:pPr>
      <w:r>
        <w:rPr>
          <w:rFonts w:ascii="Times New Roman" w:hAnsi="Times New Roman"/>
          <w:b/>
          <w:i w:val="0"/>
          <w:sz w:val="24"/>
        </w:rPr>
        <w:t xml:space="preserve">9.  </w:t>
      </w:r>
      <w:r>
        <w:rPr>
          <w:rFonts w:ascii="Times New Roman" w:hAnsi="Times New Roman"/>
          <w:b w:val="0"/>
          <w:i w:val="0"/>
          <w:sz w:val="24"/>
        </w:rPr>
        <w:t>Tab 6 — Environmental Justice Assessment</w:t>
      </w:r>
    </w:p>
    <w:p>
      <w:pPr>
        <w:spacing w:after="80"/>
      </w:pPr>
      <w:r>
        <w:rPr>
          <w:rFonts w:ascii="Times New Roman" w:hAnsi="Times New Roman"/>
          <w:b/>
          <w:i w:val="0"/>
          <w:sz w:val="24"/>
        </w:rPr>
        <w:t xml:space="preserve">10.  </w:t>
      </w:r>
      <w:r>
        <w:rPr>
          <w:rFonts w:ascii="Times New Roman" w:hAnsi="Times New Roman"/>
          <w:b w:val="0"/>
          <w:i w:val="0"/>
          <w:sz w:val="24"/>
        </w:rPr>
        <w:t>Mathematical Model Summary</w:t>
      </w:r>
    </w:p>
    <w:p>
      <w:pPr>
        <w:spacing w:after="80"/>
      </w:pPr>
      <w:r>
        <w:rPr>
          <w:rFonts w:ascii="Times New Roman" w:hAnsi="Times New Roman"/>
          <w:b/>
          <w:i w:val="0"/>
          <w:sz w:val="24"/>
        </w:rPr>
        <w:t xml:space="preserve">11.  </w:t>
      </w:r>
      <w:r>
        <w:rPr>
          <w:rFonts w:ascii="Times New Roman" w:hAnsi="Times New Roman"/>
          <w:b w:val="0"/>
          <w:i w:val="0"/>
          <w:sz w:val="24"/>
        </w:rPr>
        <w:t>Data Flow Between Tabs</w:t>
      </w:r>
    </w:p>
    <w:p>
      <w:pPr>
        <w:spacing w:after="80"/>
      </w:pPr>
      <w:r>
        <w:rPr>
          <w:rFonts w:ascii="Times New Roman" w:hAnsi="Times New Roman"/>
          <w:b/>
          <w:i w:val="0"/>
          <w:sz w:val="24"/>
        </w:rPr>
        <w:t xml:space="preserve">12.  </w:t>
      </w:r>
      <w:r>
        <w:rPr>
          <w:rFonts w:ascii="Times New Roman" w:hAnsi="Times New Roman"/>
          <w:b w:val="0"/>
          <w:i w:val="0"/>
          <w:sz w:val="24"/>
        </w:rPr>
        <w:t>Software Stack and Deployment</w:t>
      </w:r>
    </w:p>
    <w:p>
      <w:r>
        <w:br w:type="page"/>
      </w:r>
    </w:p>
    <w:p>
      <w:pPr>
        <w:pStyle w:val="Heading1"/>
        <w:spacing w:before="360" w:after="120"/>
      </w:pPr>
      <w:r>
        <w:rPr>
          <w:rFonts w:ascii="Times New Roman" w:hAnsi="Times New Roman"/>
          <w:b/>
          <w:color w:val="003366"/>
          <w:sz w:val="32"/>
        </w:rPr>
        <w:t>1.  Overview and Purpose</w:t>
      </w:r>
    </w:p>
    <w:p>
      <w:pPr>
        <w:spacing w:after="160" w:before="0"/>
        <w:ind w:firstLine="425"/>
      </w:pPr>
      <w:r>
        <w:rPr>
          <w:rFonts w:ascii="Times New Roman" w:hAnsi="Times New Roman"/>
          <w:b w:val="0"/>
          <w:i w:val="0"/>
          <w:sz w:val="24"/>
        </w:rPr>
        <w:t>ECO-FAST (Economically and Environmentally Conscious Food Waste Assessment and Selection Tool) is a web-based decision-support platform developed to assist engineers, municipalities, waste management authorities, and policymakers in identifying the most economically viable and environmentally responsible approach for processing a given food waste stream. The tool is designed to be accessible to users without deep optimisation expertise, while providing rigorous, mathematically grounded results suitable for academic publication and regulatory decision-making.</w:t>
      </w:r>
    </w:p>
    <w:p>
      <w:pPr>
        <w:spacing w:after="160" w:before="0"/>
        <w:ind w:firstLine="425"/>
      </w:pPr>
      <w:r>
        <w:rPr>
          <w:rFonts w:ascii="Times New Roman" w:hAnsi="Times New Roman"/>
          <w:b w:val="0"/>
          <w:i w:val="0"/>
          <w:sz w:val="24"/>
        </w:rPr>
        <w:t>Given a characterised food waste stream — defined by its flow rate, wet-basis composition, and facility location — ECO-FAST evaluates all feasible combinations of pretreatment, conversion, and product recovery technologies simultaneously using a Mixed-Integer Nonlinear Programming (MINLP) optimisation model. The model selects the optimal technology pathway and computes the associated annualised costs and greenhouse gas (GHG) emissions for three objective modes:</w:t>
      </w:r>
    </w:p>
    <w:p>
      <w:pPr>
        <w:pStyle w:val="ListBullet"/>
        <w:spacing w:after="80"/>
        <w:ind w:left="567"/>
      </w:pPr>
      <w:r>
        <w:rPr>
          <w:rFonts w:ascii="Times New Roman" w:hAnsi="Times New Roman"/>
          <w:b/>
          <w:i w:val="0"/>
          <w:sz w:val="24"/>
        </w:rPr>
        <w:t xml:space="preserve">Lowest Cost Pathway:  </w:t>
      </w:r>
      <w:r>
        <w:rPr>
          <w:rFonts w:ascii="Times New Roman" w:hAnsi="Times New Roman"/>
          <w:b w:val="0"/>
          <w:i w:val="0"/>
          <w:sz w:val="24"/>
        </w:rPr>
        <w:t>Identifies the processing configuration that minimises Net Annual Cost (NAC, M$ yr⁻¹) without any constraint on GHG emissions. This represents the economically dominant solution.</w:t>
      </w:r>
    </w:p>
    <w:p>
      <w:pPr>
        <w:pStyle w:val="ListBullet"/>
        <w:spacing w:after="80"/>
        <w:ind w:left="567"/>
      </w:pPr>
      <w:r>
        <w:rPr>
          <w:rFonts w:ascii="Times New Roman" w:hAnsi="Times New Roman"/>
          <w:b/>
          <w:i w:val="0"/>
          <w:sz w:val="24"/>
        </w:rPr>
        <w:t xml:space="preserve">Lowest Emissions Pathway:  </w:t>
      </w:r>
      <w:r>
        <w:rPr>
          <w:rFonts w:ascii="Times New Roman" w:hAnsi="Times New Roman"/>
          <w:b w:val="0"/>
          <w:i w:val="0"/>
          <w:sz w:val="24"/>
        </w:rPr>
        <w:t>Identifies the configuration that minimises total life-cycle GHG emissions (t CO₂-eq yr⁻¹) without constraint on cost. This represents the environmentally dominant solution.</w:t>
      </w:r>
    </w:p>
    <w:p>
      <w:pPr>
        <w:pStyle w:val="ListBullet"/>
        <w:spacing w:after="80"/>
        <w:ind w:left="567"/>
      </w:pPr>
      <w:r>
        <w:rPr>
          <w:rFonts w:ascii="Times New Roman" w:hAnsi="Times New Roman"/>
          <w:b/>
          <w:i w:val="0"/>
          <w:sz w:val="24"/>
        </w:rPr>
        <w:t xml:space="preserve">Lowest Cost and Emissions Pathway:  </w:t>
      </w:r>
      <w:r>
        <w:rPr>
          <w:rFonts w:ascii="Times New Roman" w:hAnsi="Times New Roman"/>
          <w:b w:val="0"/>
          <w:i w:val="0"/>
          <w:sz w:val="24"/>
        </w:rPr>
        <w:t>Applies the epsilon-constraint multi-objective method to generate the full Pareto frontier of cost-versus-emissions trade-offs. Each point on the frontier is Pareto-optimal — no other feasible configuration can improve one objective without worsening the other. This mode supports decision-making where both economic and environmental performance must be balanced.</w:t>
      </w:r>
    </w:p>
    <w:p>
      <w:pPr>
        <w:spacing w:after="160" w:before="0"/>
        <w:ind w:firstLine="425"/>
      </w:pPr>
      <w:r>
        <w:rPr>
          <w:rFonts w:ascii="Times New Roman" w:hAnsi="Times New Roman"/>
          <w:b w:val="0"/>
          <w:i w:val="0"/>
          <w:sz w:val="24"/>
        </w:rPr>
        <w:t>The tool is intended for use at the facility-planning stage, where a waste management authority or developer is evaluating which processing technology to invest in. Results are expressed in annualised terms at the design throughput. Sensitivity to economic assumptions (prices, discount rate, plant lifetime) can be explored by adjusting parameters in Tabs 3 and 4 and re-running the optimisation.</w:t>
      </w:r>
    </w:p>
    <w:p>
      <w:r>
        <w:br w:type="page"/>
      </w:r>
    </w:p>
    <w:p>
      <w:pPr>
        <w:pStyle w:val="Heading1"/>
        <w:spacing w:before="360" w:after="120"/>
      </w:pPr>
      <w:r>
        <w:rPr>
          <w:rFonts w:ascii="Times New Roman" w:hAnsi="Times New Roman"/>
          <w:b/>
          <w:color w:val="003366"/>
          <w:sz w:val="32"/>
        </w:rPr>
        <w:t>2.  System Architecture</w:t>
      </w:r>
    </w:p>
    <w:p>
      <w:pPr>
        <w:spacing w:after="160" w:before="0"/>
        <w:ind w:firstLine="425"/>
      </w:pPr>
      <w:r>
        <w:rPr>
          <w:rFonts w:ascii="Times New Roman" w:hAnsi="Times New Roman"/>
          <w:b w:val="0"/>
          <w:i w:val="0"/>
          <w:sz w:val="24"/>
        </w:rPr>
        <w:t>ECO-FAST follows a two-process client-server architecture. Both processes must run simultaneously on the same machine for the tool to function correctly.</w:t>
      </w:r>
    </w:p>
    <w:p>
      <w:pPr>
        <w:pStyle w:val="Heading2"/>
        <w:spacing w:before="240" w:after="80"/>
      </w:pPr>
      <w:r>
        <w:rPr>
          <w:rFonts w:ascii="Times New Roman" w:hAnsi="Times New Roman"/>
          <w:b/>
          <w:color w:val="1F497D"/>
          <w:sz w:val="26"/>
        </w:rPr>
        <w:t>2.1  Frontend — Streamlit (Port 8501)</w:t>
      </w:r>
    </w:p>
    <w:p>
      <w:pPr>
        <w:spacing w:after="160" w:before="0"/>
        <w:ind w:firstLine="425"/>
      </w:pPr>
      <w:r>
        <w:rPr>
          <w:rFonts w:ascii="Times New Roman" w:hAnsi="Times New Roman"/>
          <w:b w:val="0"/>
          <w:i w:val="0"/>
          <w:sz w:val="24"/>
        </w:rPr>
        <w:t>The user-facing web application is built with Streamlit and served at http://localhost:8501. It renders all six tabs, collects user inputs through interactive widgets, sends optimisation requests to the backend as JSON payloads via the FastAPI REST API, and displays results including tables, charts, and interactive maps. All inputs entered during a session are held in Streamlit session state and are lost when the browser is closed or the page is refreshed.</w:t>
      </w:r>
    </w:p>
    <w:p>
      <w:pPr>
        <w:pStyle w:val="Heading2"/>
        <w:spacing w:before="240" w:after="80"/>
      </w:pPr>
      <w:r>
        <w:rPr>
          <w:rFonts w:ascii="Times New Roman" w:hAnsi="Times New Roman"/>
          <w:b/>
          <w:color w:val="1F497D"/>
          <w:sz w:val="26"/>
        </w:rPr>
        <w:t>2.2  Backend — FastAPI (Port 8000)</w:t>
      </w:r>
    </w:p>
    <w:p>
      <w:pPr>
        <w:spacing w:after="160" w:before="0"/>
        <w:ind w:firstLine="425"/>
      </w:pPr>
      <w:r>
        <w:rPr>
          <w:rFonts w:ascii="Times New Roman" w:hAnsi="Times New Roman"/>
          <w:b w:val="0"/>
          <w:i w:val="0"/>
          <w:sz w:val="24"/>
        </w:rPr>
        <w:t>A REST API server built with FastAPI and served by Uvicorn at http://127.0.0.1:8000. It receives optimisation requests from the frontend, builds the full GAMSPy MINLP model from the provided inputs, executes the solver, and returns results as a structured JSON response. The backend is stateless; each request builds and solves a fresh model instance.</w:t>
      </w:r>
    </w:p>
    <w:p>
      <w:pPr>
        <w:pStyle w:val="Heading2"/>
        <w:spacing w:before="240" w:after="80"/>
      </w:pPr>
      <w:r>
        <w:rPr>
          <w:rFonts w:ascii="Times New Roman" w:hAnsi="Times New Roman"/>
          <w:b/>
          <w:color w:val="1F497D"/>
          <w:sz w:val="26"/>
        </w:rPr>
        <w:t>2.3  Optimisation Model Package (model/)</w:t>
      </w:r>
    </w:p>
    <w:p>
      <w:pPr>
        <w:spacing w:after="160" w:before="0"/>
        <w:ind w:firstLine="425"/>
      </w:pPr>
      <w:r>
        <w:rPr>
          <w:rFonts w:ascii="Times New Roman" w:hAnsi="Times New Roman"/>
          <w:b w:val="0"/>
          <w:i w:val="0"/>
          <w:sz w:val="24"/>
        </w:rPr>
        <w:t>The mathematical model is implemented as a Python package under the model/ directory comprising seven modules:</w:t>
      </w:r>
    </w:p>
    <w:p>
      <w:pPr>
        <w:pStyle w:val="ListBullet"/>
        <w:spacing w:after="80"/>
        <w:ind w:left="567"/>
      </w:pPr>
      <w:r>
        <w:rPr>
          <w:rFonts w:ascii="Times New Roman" w:hAnsi="Times New Roman"/>
          <w:b/>
          <w:i w:val="0"/>
          <w:sz w:val="24"/>
        </w:rPr>
        <w:t xml:space="preserve">sets.py:  </w:t>
      </w:r>
      <w:r>
        <w:rPr>
          <w:rFonts w:ascii="Times New Roman" w:hAnsi="Times New Roman"/>
          <w:b w:val="0"/>
          <w:i w:val="0"/>
          <w:sz w:val="24"/>
        </w:rPr>
        <w:t>Defines all index sets (technologies, stream components, product types).</w:t>
      </w:r>
    </w:p>
    <w:p>
      <w:pPr>
        <w:pStyle w:val="ListBullet"/>
        <w:spacing w:after="80"/>
        <w:ind w:left="567"/>
      </w:pPr>
      <w:r>
        <w:rPr>
          <w:rFonts w:ascii="Times New Roman" w:hAnsi="Times New Roman"/>
          <w:b/>
          <w:i w:val="0"/>
          <w:sz w:val="24"/>
        </w:rPr>
        <w:t xml:space="preserve">parameters.py:  </w:t>
      </w:r>
      <w:r>
        <w:rPr>
          <w:rFonts w:ascii="Times New Roman" w:hAnsi="Times New Roman"/>
          <w:b w:val="0"/>
          <w:i w:val="0"/>
          <w:sz w:val="24"/>
        </w:rPr>
        <w:t>Declares all scalar and indexed parameters with literature-based default values.</w:t>
      </w:r>
    </w:p>
    <w:p>
      <w:pPr>
        <w:pStyle w:val="ListBullet"/>
        <w:spacing w:after="80"/>
        <w:ind w:left="567"/>
      </w:pPr>
      <w:r>
        <w:rPr>
          <w:rFonts w:ascii="Times New Roman" w:hAnsi="Times New Roman"/>
          <w:b/>
          <w:i w:val="0"/>
          <w:sz w:val="24"/>
        </w:rPr>
        <w:t xml:space="preserve">variables.py:  </w:t>
      </w:r>
      <w:r>
        <w:rPr>
          <w:rFonts w:ascii="Times New Roman" w:hAnsi="Times New Roman"/>
          <w:b w:val="0"/>
          <w:i w:val="0"/>
          <w:sz w:val="24"/>
        </w:rPr>
        <w:t>Declares all decision variables (binary technology selectors, continuous mass flows, economic and emission quantities).</w:t>
      </w:r>
    </w:p>
    <w:p>
      <w:pPr>
        <w:pStyle w:val="ListBullet"/>
        <w:spacing w:after="80"/>
        <w:ind w:left="567"/>
      </w:pPr>
      <w:r>
        <w:rPr>
          <w:rFonts w:ascii="Times New Roman" w:hAnsi="Times New Roman"/>
          <w:b/>
          <w:i w:val="0"/>
          <w:sz w:val="24"/>
        </w:rPr>
        <w:t xml:space="preserve">equations.py:  </w:t>
      </w:r>
      <w:r>
        <w:rPr>
          <w:rFonts w:ascii="Times New Roman" w:hAnsi="Times New Roman"/>
          <w:b w:val="0"/>
          <w:i w:val="0"/>
          <w:sz w:val="24"/>
        </w:rPr>
        <w:t>Implements all mass balance, process constraint, and sizing equations across all 15 technology units.</w:t>
      </w:r>
    </w:p>
    <w:p>
      <w:pPr>
        <w:pStyle w:val="ListBullet"/>
        <w:spacing w:after="80"/>
        <w:ind w:left="567"/>
      </w:pPr>
      <w:r>
        <w:rPr>
          <w:rFonts w:ascii="Times New Roman" w:hAnsi="Times New Roman"/>
          <w:b/>
          <w:i w:val="0"/>
          <w:sz w:val="24"/>
        </w:rPr>
        <w:t xml:space="preserve">costing.py:  </w:t>
      </w:r>
      <w:r>
        <w:rPr>
          <w:rFonts w:ascii="Times New Roman" w:hAnsi="Times New Roman"/>
          <w:b w:val="0"/>
          <w:i w:val="0"/>
          <w:sz w:val="24"/>
        </w:rPr>
        <w:t>Computes all eight cost components (capital, working capital, insurance, utility, labour, overhead, raw material, disposal) and total revenue.</w:t>
      </w:r>
    </w:p>
    <w:p>
      <w:pPr>
        <w:pStyle w:val="ListBullet"/>
        <w:spacing w:after="80"/>
        <w:ind w:left="567"/>
      </w:pPr>
      <w:r>
        <w:rPr>
          <w:rFonts w:ascii="Times New Roman" w:hAnsi="Times New Roman"/>
          <w:b/>
          <w:i w:val="0"/>
          <w:sz w:val="24"/>
        </w:rPr>
        <w:t xml:space="preserve">ghg.py:  </w:t>
      </w:r>
      <w:r>
        <w:rPr>
          <w:rFonts w:ascii="Times New Roman" w:hAnsi="Times New Roman"/>
          <w:b w:val="0"/>
          <w:i w:val="0"/>
          <w:sz w:val="24"/>
        </w:rPr>
        <w:t>Computes all GHG emission terms (indirect, direct, aqueous-phase, displacement credits).</w:t>
      </w:r>
    </w:p>
    <w:p>
      <w:pPr>
        <w:pStyle w:val="ListBullet"/>
        <w:spacing w:after="80"/>
        <w:ind w:left="567"/>
      </w:pPr>
      <w:r>
        <w:rPr>
          <w:rFonts w:ascii="Times New Roman" w:hAnsi="Times New Roman"/>
          <w:b/>
          <w:i w:val="0"/>
          <w:sz w:val="24"/>
        </w:rPr>
        <w:t xml:space="preserve">solver.py:  </w:t>
      </w:r>
      <w:r>
        <w:rPr>
          <w:rFonts w:ascii="Times New Roman" w:hAnsi="Times New Roman"/>
          <w:b w:val="0"/>
          <w:i w:val="0"/>
          <w:sz w:val="24"/>
        </w:rPr>
        <w:t>Implements the three objective modes, the epsilon-constraint Pareto logic, and the run_optimization() entry point called by the API.</w:t>
      </w:r>
    </w:p>
    <w:p>
      <w:r>
        <w:br w:type="page"/>
      </w:r>
    </w:p>
    <w:p>
      <w:pPr>
        <w:pStyle w:val="Heading1"/>
        <w:spacing w:before="360" w:after="120"/>
      </w:pPr>
      <w:r>
        <w:rPr>
          <w:rFonts w:ascii="Times New Roman" w:hAnsi="Times New Roman"/>
          <w:b/>
          <w:color w:val="003366"/>
          <w:sz w:val="32"/>
        </w:rPr>
        <w:t>3.  Technology Superstructure</w:t>
      </w:r>
    </w:p>
    <w:p>
      <w:pPr>
        <w:spacing w:after="160" w:before="0"/>
        <w:ind w:firstLine="425"/>
      </w:pPr>
      <w:r>
        <w:rPr>
          <w:rFonts w:ascii="Times New Roman" w:hAnsi="Times New Roman"/>
          <w:b w:val="0"/>
          <w:i w:val="0"/>
          <w:sz w:val="24"/>
        </w:rPr>
        <w:t>The superstructure represents all possible processing pathways considered by the optimisation model. It is organised into four sequential stages connected by 61 numbered material streams. Each stream carries component-resolved mass flow rates (kg hr⁻¹) across eight components: water (WATER), carbohydrates (CBH), protein (PRT), fat/lipid (FAT), other organics (OTH), ash (ASH), fixed carbon (FC), and enzyme (ENZYME). Binary decision variables select one configuration at each stage, enforcing mutual exclusivity through equality constraints.</w:t>
      </w:r>
    </w:p>
    <w:p>
      <w:pPr>
        <w:pStyle w:val="Heading2"/>
        <w:spacing w:before="240" w:after="80"/>
      </w:pPr>
      <w:r>
        <w:rPr>
          <w:rFonts w:ascii="Times New Roman" w:hAnsi="Times New Roman"/>
          <w:b/>
          <w:color w:val="1F497D"/>
          <w:sz w:val="26"/>
        </w:rPr>
        <w:t>3.1  Stage 1 — Mechanical Pretreatment</w:t>
      </w:r>
    </w:p>
    <w:p>
      <w:pPr>
        <w:spacing w:after="160" w:before="0"/>
        <w:ind w:firstLine="425"/>
      </w:pPr>
      <w:r>
        <w:rPr>
          <w:rFonts w:ascii="Times New Roman" w:hAnsi="Times New Roman"/>
          <w:b w:val="0"/>
          <w:i w:val="0"/>
          <w:sz w:val="24"/>
        </w:rPr>
        <w:t>One of three mechanical pretreatment options is selected by binary variable y_{s1,m} in {0,1}:</w:t>
      </w:r>
    </w:p>
    <w:p>
      <w:pPr>
        <w:pStyle w:val="ListBullet"/>
        <w:spacing w:after="80"/>
        <w:ind w:left="567"/>
      </w:pPr>
      <w:r>
        <w:rPr>
          <w:rFonts w:ascii="Times New Roman" w:hAnsi="Times New Roman"/>
          <w:b/>
          <w:i w:val="0"/>
          <w:sz w:val="24"/>
        </w:rPr>
        <w:t xml:space="preserve">Shredding (SHR):  </w:t>
      </w:r>
      <w:r>
        <w:rPr>
          <w:rFonts w:ascii="Times New Roman" w:hAnsi="Times New Roman"/>
          <w:b w:val="0"/>
          <w:i w:val="0"/>
          <w:sz w:val="24"/>
        </w:rPr>
        <w:t>Dry particle-size reduction. Specific power 0.05 kW per kg hr⁻¹ throughput. Suitable for all downstream conversion pathways.</w:t>
      </w:r>
    </w:p>
    <w:p>
      <w:pPr>
        <w:pStyle w:val="ListBullet"/>
        <w:spacing w:after="80"/>
        <w:ind w:left="567"/>
      </w:pPr>
      <w:r>
        <w:rPr>
          <w:rFonts w:ascii="Times New Roman" w:hAnsi="Times New Roman"/>
          <w:b/>
          <w:i w:val="0"/>
          <w:sz w:val="24"/>
        </w:rPr>
        <w:t xml:space="preserve">Maceration (MCR):  </w:t>
      </w:r>
      <w:r>
        <w:rPr>
          <w:rFonts w:ascii="Times New Roman" w:hAnsi="Times New Roman"/>
          <w:b w:val="0"/>
          <w:i w:val="0"/>
          <w:sz w:val="24"/>
        </w:rPr>
        <w:t>Wet grinding with water addition (default ratio 2.0 kg water per kg dry feed) producing a pumpable slurry. Used primarily ahead of HTL and AND.</w:t>
      </w:r>
    </w:p>
    <w:p>
      <w:pPr>
        <w:pStyle w:val="ListBullet"/>
        <w:spacing w:after="80"/>
        <w:ind w:left="567"/>
      </w:pPr>
      <w:r>
        <w:rPr>
          <w:rFonts w:ascii="Times New Roman" w:hAnsi="Times New Roman"/>
          <w:b/>
          <w:i w:val="0"/>
          <w:sz w:val="24"/>
        </w:rPr>
        <w:t xml:space="preserve">Bypass (BYP):  </w:t>
      </w:r>
      <w:r>
        <w:rPr>
          <w:rFonts w:ascii="Times New Roman" w:hAnsi="Times New Roman"/>
          <w:b w:val="0"/>
          <w:i w:val="0"/>
          <w:sz w:val="24"/>
        </w:rPr>
        <w:t>Feed passes directly to biological pretreatment or conversion without mechanical treatment. Required for landfill and incineration pathways.</w:t>
      </w:r>
    </w:p>
    <w:p>
      <w:pPr>
        <w:pStyle w:val="Heading2"/>
        <w:spacing w:before="240" w:after="80"/>
      </w:pPr>
      <w:r>
        <w:rPr>
          <w:rFonts w:ascii="Times New Roman" w:hAnsi="Times New Roman"/>
          <w:b/>
          <w:color w:val="1F497D"/>
          <w:sz w:val="26"/>
        </w:rPr>
        <w:t>3.2  Stage 2 — Biological Pretreatment</w:t>
      </w:r>
    </w:p>
    <w:p>
      <w:pPr>
        <w:spacing w:after="160" w:before="0"/>
        <w:ind w:firstLine="425"/>
      </w:pPr>
      <w:r>
        <w:rPr>
          <w:rFonts w:ascii="Times New Roman" w:hAnsi="Times New Roman"/>
          <w:b w:val="0"/>
          <w:i w:val="0"/>
          <w:sz w:val="24"/>
        </w:rPr>
        <w:t>An optional biological pretreatment step conditions the feed prior to conversion. One of three options is selected:</w:t>
      </w:r>
    </w:p>
    <w:p>
      <w:pPr>
        <w:pStyle w:val="ListBullet"/>
        <w:spacing w:after="80"/>
        <w:ind w:left="567"/>
      </w:pPr>
      <w:r>
        <w:rPr>
          <w:rFonts w:ascii="Times New Roman" w:hAnsi="Times New Roman"/>
          <w:b/>
          <w:i w:val="0"/>
          <w:sz w:val="24"/>
        </w:rPr>
        <w:t xml:space="preserve">Aerobic Biodigestion (AER):  </w:t>
      </w:r>
      <w:r>
        <w:rPr>
          <w:rFonts w:ascii="Times New Roman" w:hAnsi="Times New Roman"/>
          <w:b w:val="0"/>
          <w:i w:val="0"/>
          <w:sz w:val="24"/>
        </w:rPr>
        <w:t>Partial aerobic degradation of volatile solids fractions at component-specific degradation efficiencies (CBH 0.40, PRT 0.30, FAT 0.15, OTH 0.20 by default). Produces a CO₂/H₂O offgas and a conditioned slurry fed to conversion.</w:t>
      </w:r>
    </w:p>
    <w:p>
      <w:pPr>
        <w:pStyle w:val="ListBullet"/>
        <w:spacing w:after="80"/>
        <w:ind w:left="567"/>
      </w:pPr>
      <w:r>
        <w:rPr>
          <w:rFonts w:ascii="Times New Roman" w:hAnsi="Times New Roman"/>
          <w:b/>
          <w:i w:val="0"/>
          <w:sz w:val="24"/>
        </w:rPr>
        <w:t xml:space="preserve">Enzymatic Hydrolysis (ENZ):  </w:t>
      </w:r>
      <w:r>
        <w:rPr>
          <w:rFonts w:ascii="Times New Roman" w:hAnsi="Times New Roman"/>
          <w:b w:val="0"/>
          <w:i w:val="0"/>
          <w:sz w:val="24"/>
        </w:rPr>
        <w:t>Cellulase enzyme addition (default dose 0.02 kg enzyme per kg dry solids) that hydrolyses carbohydrates into fermentable sugars, improving biogas yields in downstream AND. Hydrolysis efficiency default 0.85.</w:t>
      </w:r>
    </w:p>
    <w:p>
      <w:pPr>
        <w:pStyle w:val="ListBullet"/>
        <w:spacing w:after="80"/>
        <w:ind w:left="567"/>
      </w:pPr>
      <w:r>
        <w:rPr>
          <w:rFonts w:ascii="Times New Roman" w:hAnsi="Times New Roman"/>
          <w:b/>
          <w:i w:val="0"/>
          <w:sz w:val="24"/>
        </w:rPr>
        <w:t xml:space="preserve">Bypass (BYP_bio):  </w:t>
      </w:r>
      <w:r>
        <w:rPr>
          <w:rFonts w:ascii="Times New Roman" w:hAnsi="Times New Roman"/>
          <w:b w:val="0"/>
          <w:i w:val="0"/>
          <w:sz w:val="24"/>
        </w:rPr>
        <w:t>Feed passes directly to the conversion stage. Required for CMP, SLF, INC, and WWT pathways.</w:t>
      </w:r>
    </w:p>
    <w:p>
      <w:pPr>
        <w:pStyle w:val="Heading2"/>
        <w:spacing w:before="240" w:after="80"/>
      </w:pPr>
      <w:r>
        <w:rPr>
          <w:rFonts w:ascii="Times New Roman" w:hAnsi="Times New Roman"/>
          <w:b/>
          <w:color w:val="1F497D"/>
          <w:sz w:val="26"/>
        </w:rPr>
        <w:t>3.3  Stage 3 — Conversion</w:t>
      </w:r>
    </w:p>
    <w:p>
      <w:pPr>
        <w:spacing w:after="160" w:before="0"/>
        <w:ind w:firstLine="425"/>
      </w:pPr>
      <w:r>
        <w:rPr>
          <w:rFonts w:ascii="Times New Roman" w:hAnsi="Times New Roman"/>
          <w:b w:val="0"/>
          <w:i w:val="0"/>
          <w:sz w:val="24"/>
        </w:rPr>
        <w:t>The primary decision of the model: one of six mutually exclusive conversion technologies processes the conditioned feed.</w:t>
      </w:r>
    </w:p>
    <w:tbl>
      <w:tblPr>
        <w:tblStyle w:val="TableGrid"/>
        <w:tblW w:type="auto" w:w="0"/>
        <w:tblLook w:firstColumn="1" w:firstRow="1" w:lastColumn="0" w:lastRow="0" w:noHBand="0" w:noVBand="1" w:val="04A0"/>
      </w:tblPr>
      <w:tblGrid>
        <w:gridCol w:w="2158"/>
        <w:gridCol w:w="2158"/>
        <w:gridCol w:w="2158"/>
        <w:gridCol w:w="2158"/>
      </w:tblGrid>
      <w:tr>
        <w:tc>
          <w:tcPr>
            <w:tcW w:type="dxa" w:w="2268"/>
            <w:shd w:fill="003366" w:color="auto" w:val="clear"/>
          </w:tcPr>
          <w:p>
            <w:pPr>
              <w:jc w:val="center"/>
            </w:pPr>
            <w:r/>
            <w:r>
              <w:rPr>
                <w:rFonts w:ascii="Times New Roman" w:hAnsi="Times New Roman"/>
                <w:b/>
                <w:i w:val="0"/>
                <w:color w:val="FFFFFF"/>
                <w:sz w:val="22"/>
              </w:rPr>
              <w:t>Technology</w:t>
            </w:r>
          </w:p>
        </w:tc>
        <w:tc>
          <w:tcPr>
            <w:tcW w:type="dxa" w:w="1701"/>
            <w:shd w:fill="003366" w:color="auto" w:val="clear"/>
          </w:tcPr>
          <w:p>
            <w:pPr>
              <w:jc w:val="center"/>
            </w:pPr>
            <w:r/>
            <w:r>
              <w:rPr>
                <w:rFonts w:ascii="Times New Roman" w:hAnsi="Times New Roman"/>
                <w:b/>
                <w:i w:val="0"/>
                <w:color w:val="FFFFFF"/>
                <w:sz w:val="22"/>
              </w:rPr>
              <w:t>Abbreviation</w:t>
            </w:r>
          </w:p>
        </w:tc>
        <w:tc>
          <w:tcPr>
            <w:tcW w:type="dxa" w:w="1984"/>
            <w:shd w:fill="003366" w:color="auto" w:val="clear"/>
          </w:tcPr>
          <w:p>
            <w:pPr>
              <w:jc w:val="center"/>
            </w:pPr>
            <w:r/>
            <w:r>
              <w:rPr>
                <w:rFonts w:ascii="Times New Roman" w:hAnsi="Times New Roman"/>
                <w:b/>
                <w:i w:val="0"/>
                <w:color w:val="FFFFFF"/>
                <w:sz w:val="22"/>
              </w:rPr>
              <w:t>Primary Product</w:t>
            </w:r>
          </w:p>
        </w:tc>
        <w:tc>
          <w:tcPr>
            <w:tcW w:type="dxa" w:w="3118"/>
            <w:shd w:fill="003366" w:color="auto" w:val="clear"/>
          </w:tcPr>
          <w:p>
            <w:pPr>
              <w:jc w:val="center"/>
            </w:pPr>
            <w:r/>
            <w:r>
              <w:rPr>
                <w:rFonts w:ascii="Times New Roman" w:hAnsi="Times New Roman"/>
                <w:b/>
                <w:i w:val="0"/>
                <w:color w:val="FFFFFF"/>
                <w:sz w:val="22"/>
              </w:rPr>
              <w:t>Key Parameters</w:t>
            </w:r>
          </w:p>
        </w:tc>
      </w:tr>
      <w:tr>
        <w:tc>
          <w:tcPr>
            <w:tcW w:type="dxa" w:w="2268"/>
            <w:shd w:fill="EAF0FB" w:color="auto" w:val="clear"/>
          </w:tcPr>
          <w:p>
            <w:r/>
            <w:r>
              <w:rPr>
                <w:rFonts w:ascii="Times New Roman" w:hAnsi="Times New Roman"/>
                <w:b w:val="0"/>
                <w:i w:val="0"/>
                <w:sz w:val="22"/>
              </w:rPr>
              <w:t>Hydrothermal Liquefaction</w:t>
            </w:r>
          </w:p>
        </w:tc>
        <w:tc>
          <w:tcPr>
            <w:tcW w:type="dxa" w:w="1701"/>
            <w:shd w:fill="EAF0FB" w:color="auto" w:val="clear"/>
          </w:tcPr>
          <w:p>
            <w:r/>
            <w:r>
              <w:rPr>
                <w:rFonts w:ascii="Times New Roman" w:hAnsi="Times New Roman"/>
                <w:b w:val="0"/>
                <w:i w:val="0"/>
                <w:sz w:val="22"/>
              </w:rPr>
              <w:t>HTL</w:t>
            </w:r>
          </w:p>
        </w:tc>
        <w:tc>
          <w:tcPr>
            <w:tcW w:type="dxa" w:w="1984"/>
            <w:shd w:fill="EAF0FB" w:color="auto" w:val="clear"/>
          </w:tcPr>
          <w:p>
            <w:r/>
            <w:r>
              <w:rPr>
                <w:rFonts w:ascii="Times New Roman" w:hAnsi="Times New Roman"/>
                <w:b w:val="0"/>
                <w:i w:val="0"/>
                <w:sz w:val="22"/>
              </w:rPr>
              <w:t>Biocrude oil</w:t>
            </w:r>
          </w:p>
        </w:tc>
        <w:tc>
          <w:tcPr>
            <w:tcW w:type="dxa" w:w="3118"/>
            <w:shd w:fill="EAF0FB" w:color="auto" w:val="clear"/>
          </w:tcPr>
          <w:p>
            <w:r/>
            <w:r>
              <w:rPr>
                <w:rFonts w:ascii="Times New Roman" w:hAnsi="Times New Roman"/>
                <w:b w:val="0"/>
                <w:i w:val="0"/>
                <w:sz w:val="22"/>
              </w:rPr>
              <w:t>Temperature 300-350 C; pressure 150-250 bar; biocrude yield 0.35 (default)</w:t>
            </w:r>
          </w:p>
        </w:tc>
      </w:tr>
      <w:tr>
        <w:tc>
          <w:tcPr>
            <w:tcW w:type="dxa" w:w="2268"/>
            <w:shd w:fill="FFFFFF" w:color="auto" w:val="clear"/>
          </w:tcPr>
          <w:p>
            <w:r/>
            <w:r>
              <w:rPr>
                <w:rFonts w:ascii="Times New Roman" w:hAnsi="Times New Roman"/>
                <w:b w:val="0"/>
                <w:i w:val="0"/>
                <w:sz w:val="22"/>
              </w:rPr>
              <w:t>Anaerobic Digestion</w:t>
            </w:r>
          </w:p>
        </w:tc>
        <w:tc>
          <w:tcPr>
            <w:tcW w:type="dxa" w:w="1701"/>
            <w:shd w:fill="FFFFFF" w:color="auto" w:val="clear"/>
          </w:tcPr>
          <w:p>
            <w:r/>
            <w:r>
              <w:rPr>
                <w:rFonts w:ascii="Times New Roman" w:hAnsi="Times New Roman"/>
                <w:b w:val="0"/>
                <w:i w:val="0"/>
                <w:sz w:val="22"/>
              </w:rPr>
              <w:t>AND</w:t>
            </w:r>
          </w:p>
        </w:tc>
        <w:tc>
          <w:tcPr>
            <w:tcW w:type="dxa" w:w="1984"/>
            <w:shd w:fill="FFFFFF" w:color="auto" w:val="clear"/>
          </w:tcPr>
          <w:p>
            <w:r/>
            <w:r>
              <w:rPr>
                <w:rFonts w:ascii="Times New Roman" w:hAnsi="Times New Roman"/>
                <w:b w:val="0"/>
                <w:i w:val="0"/>
                <w:sz w:val="22"/>
              </w:rPr>
              <w:t>Biomethane</w:t>
            </w:r>
          </w:p>
        </w:tc>
        <w:tc>
          <w:tcPr>
            <w:tcW w:type="dxa" w:w="3118"/>
            <w:shd w:fill="FFFFFF" w:color="auto" w:val="clear"/>
          </w:tcPr>
          <w:p>
            <w:r/>
            <w:r>
              <w:rPr>
                <w:rFonts w:ascii="Times New Roman" w:hAnsi="Times New Roman"/>
                <w:b w:val="0"/>
                <w:i w:val="0"/>
                <w:sz w:val="22"/>
              </w:rPr>
              <w:t>BMP 400 mL CH4/g VS; VS degradation efficiency 0.85; HRT 720 hr</w:t>
            </w:r>
          </w:p>
        </w:tc>
      </w:tr>
      <w:tr>
        <w:tc>
          <w:tcPr>
            <w:tcW w:type="dxa" w:w="2268"/>
            <w:shd w:fill="EAF0FB" w:color="auto" w:val="clear"/>
          </w:tcPr>
          <w:p>
            <w:r/>
            <w:r>
              <w:rPr>
                <w:rFonts w:ascii="Times New Roman" w:hAnsi="Times New Roman"/>
                <w:b w:val="0"/>
                <w:i w:val="0"/>
                <w:sz w:val="22"/>
              </w:rPr>
              <w:t>Composting</w:t>
            </w:r>
          </w:p>
        </w:tc>
        <w:tc>
          <w:tcPr>
            <w:tcW w:type="dxa" w:w="1701"/>
            <w:shd w:fill="EAF0FB" w:color="auto" w:val="clear"/>
          </w:tcPr>
          <w:p>
            <w:r/>
            <w:r>
              <w:rPr>
                <w:rFonts w:ascii="Times New Roman" w:hAnsi="Times New Roman"/>
                <w:b w:val="0"/>
                <w:i w:val="0"/>
                <w:sz w:val="22"/>
              </w:rPr>
              <w:t>CMP</w:t>
            </w:r>
          </w:p>
        </w:tc>
        <w:tc>
          <w:tcPr>
            <w:tcW w:type="dxa" w:w="1984"/>
            <w:shd w:fill="EAF0FB" w:color="auto" w:val="clear"/>
          </w:tcPr>
          <w:p>
            <w:r/>
            <w:r>
              <w:rPr>
                <w:rFonts w:ascii="Times New Roman" w:hAnsi="Times New Roman"/>
                <w:b w:val="0"/>
                <w:i w:val="0"/>
                <w:sz w:val="22"/>
              </w:rPr>
              <w:t>Compost</w:t>
            </w:r>
          </w:p>
        </w:tc>
        <w:tc>
          <w:tcPr>
            <w:tcW w:type="dxa" w:w="3118"/>
            <w:shd w:fill="EAF0FB" w:color="auto" w:val="clear"/>
          </w:tcPr>
          <w:p>
            <w:r/>
            <w:r>
              <w:rPr>
                <w:rFonts w:ascii="Times New Roman" w:hAnsi="Times New Roman"/>
                <w:b w:val="0"/>
                <w:i w:val="0"/>
                <w:sz w:val="22"/>
              </w:rPr>
              <w:t>VS degradation 50%; composting time 120 hr; IPCC EFs for CH4 and N2O</w:t>
            </w:r>
          </w:p>
        </w:tc>
      </w:tr>
      <w:tr>
        <w:tc>
          <w:tcPr>
            <w:tcW w:type="dxa" w:w="2268"/>
            <w:shd w:fill="FFFFFF" w:color="auto" w:val="clear"/>
          </w:tcPr>
          <w:p>
            <w:r/>
            <w:r>
              <w:rPr>
                <w:rFonts w:ascii="Times New Roman" w:hAnsi="Times New Roman"/>
                <w:b w:val="0"/>
                <w:i w:val="0"/>
                <w:sz w:val="22"/>
              </w:rPr>
              <w:t>Sanitary Landfill</w:t>
            </w:r>
          </w:p>
        </w:tc>
        <w:tc>
          <w:tcPr>
            <w:tcW w:type="dxa" w:w="1701"/>
            <w:shd w:fill="FFFFFF" w:color="auto" w:val="clear"/>
          </w:tcPr>
          <w:p>
            <w:r/>
            <w:r>
              <w:rPr>
                <w:rFonts w:ascii="Times New Roman" w:hAnsi="Times New Roman"/>
                <w:b w:val="0"/>
                <w:i w:val="0"/>
                <w:sz w:val="22"/>
              </w:rPr>
              <w:t>SLF</w:t>
            </w:r>
          </w:p>
        </w:tc>
        <w:tc>
          <w:tcPr>
            <w:tcW w:type="dxa" w:w="1984"/>
            <w:shd w:fill="FFFFFF" w:color="auto" w:val="clear"/>
          </w:tcPr>
          <w:p>
            <w:r/>
            <w:r>
              <w:rPr>
                <w:rFonts w:ascii="Times New Roman" w:hAnsi="Times New Roman"/>
                <w:b w:val="0"/>
                <w:i w:val="0"/>
                <w:sz w:val="22"/>
              </w:rPr>
              <w:t>Landfill gas (CH4)</w:t>
            </w:r>
          </w:p>
        </w:tc>
        <w:tc>
          <w:tcPr>
            <w:tcW w:type="dxa" w:w="3118"/>
            <w:shd w:fill="FFFFFF" w:color="auto" w:val="clear"/>
          </w:tcPr>
          <w:p>
            <w:r/>
            <w:r>
              <w:rPr>
                <w:rFonts w:ascii="Times New Roman" w:hAnsi="Times New Roman"/>
                <w:b w:val="0"/>
                <w:i w:val="0"/>
                <w:sz w:val="22"/>
              </w:rPr>
              <w:t>IPCC first-order decay; gas capture efficiency 0.65; MCF 0.60</w:t>
            </w:r>
          </w:p>
        </w:tc>
      </w:tr>
      <w:tr>
        <w:tc>
          <w:tcPr>
            <w:tcW w:type="dxa" w:w="2268"/>
            <w:shd w:fill="EAF0FB" w:color="auto" w:val="clear"/>
          </w:tcPr>
          <w:p>
            <w:r/>
            <w:r>
              <w:rPr>
                <w:rFonts w:ascii="Times New Roman" w:hAnsi="Times New Roman"/>
                <w:b w:val="0"/>
                <w:i w:val="0"/>
                <w:sz w:val="22"/>
              </w:rPr>
              <w:t>Wastewater Treatment</w:t>
            </w:r>
          </w:p>
        </w:tc>
        <w:tc>
          <w:tcPr>
            <w:tcW w:type="dxa" w:w="1701"/>
            <w:shd w:fill="EAF0FB" w:color="auto" w:val="clear"/>
          </w:tcPr>
          <w:p>
            <w:r/>
            <w:r>
              <w:rPr>
                <w:rFonts w:ascii="Times New Roman" w:hAnsi="Times New Roman"/>
                <w:b w:val="0"/>
                <w:i w:val="0"/>
                <w:sz w:val="22"/>
              </w:rPr>
              <w:t>WWT</w:t>
            </w:r>
          </w:p>
        </w:tc>
        <w:tc>
          <w:tcPr>
            <w:tcW w:type="dxa" w:w="1984"/>
            <w:shd w:fill="EAF0FB" w:color="auto" w:val="clear"/>
          </w:tcPr>
          <w:p>
            <w:r/>
            <w:r>
              <w:rPr>
                <w:rFonts w:ascii="Times New Roman" w:hAnsi="Times New Roman"/>
                <w:b w:val="0"/>
                <w:i w:val="0"/>
                <w:sz w:val="22"/>
              </w:rPr>
              <w:t>Biosolids</w:t>
            </w:r>
          </w:p>
        </w:tc>
        <w:tc>
          <w:tcPr>
            <w:tcW w:type="dxa" w:w="3118"/>
            <w:shd w:fill="EAF0FB" w:color="auto" w:val="clear"/>
          </w:tcPr>
          <w:p>
            <w:r/>
            <w:r>
              <w:rPr>
                <w:rFonts w:ascii="Times New Roman" w:hAnsi="Times New Roman"/>
                <w:b w:val="0"/>
                <w:i w:val="0"/>
                <w:sz w:val="22"/>
              </w:rPr>
              <w:t>F/M ratio 0.30 kg BOD/kg MLSS/day; MLSS 3,000 mg/L; SRT 10 days</w:t>
            </w:r>
          </w:p>
        </w:tc>
      </w:tr>
      <w:tr>
        <w:tc>
          <w:tcPr>
            <w:tcW w:type="dxa" w:w="2268"/>
            <w:shd w:fill="FFFFFF" w:color="auto" w:val="clear"/>
          </w:tcPr>
          <w:p>
            <w:r/>
            <w:r>
              <w:rPr>
                <w:rFonts w:ascii="Times New Roman" w:hAnsi="Times New Roman"/>
                <w:b w:val="0"/>
                <w:i w:val="0"/>
                <w:sz w:val="22"/>
              </w:rPr>
              <w:t>Incineration</w:t>
            </w:r>
          </w:p>
        </w:tc>
        <w:tc>
          <w:tcPr>
            <w:tcW w:type="dxa" w:w="1701"/>
            <w:shd w:fill="FFFFFF" w:color="auto" w:val="clear"/>
          </w:tcPr>
          <w:p>
            <w:r/>
            <w:r>
              <w:rPr>
                <w:rFonts w:ascii="Times New Roman" w:hAnsi="Times New Roman"/>
                <w:b w:val="0"/>
                <w:i w:val="0"/>
                <w:sz w:val="22"/>
              </w:rPr>
              <w:t>INC</w:t>
            </w:r>
          </w:p>
        </w:tc>
        <w:tc>
          <w:tcPr>
            <w:tcW w:type="dxa" w:w="1984"/>
            <w:shd w:fill="FFFFFF" w:color="auto" w:val="clear"/>
          </w:tcPr>
          <w:p>
            <w:r/>
            <w:r>
              <w:rPr>
                <w:rFonts w:ascii="Times New Roman" w:hAnsi="Times New Roman"/>
                <w:b w:val="0"/>
                <w:i w:val="0"/>
                <w:sz w:val="22"/>
              </w:rPr>
              <w:t>Electricity (via STB)</w:t>
            </w:r>
          </w:p>
        </w:tc>
        <w:tc>
          <w:tcPr>
            <w:tcW w:type="dxa" w:w="3118"/>
            <w:shd w:fill="FFFFFF" w:color="auto" w:val="clear"/>
          </w:tcPr>
          <w:p>
            <w:r/>
            <w:r>
              <w:rPr>
                <w:rFonts w:ascii="Times New Roman" w:hAnsi="Times New Roman"/>
                <w:b w:val="0"/>
                <w:i w:val="0"/>
                <w:sz w:val="22"/>
              </w:rPr>
              <w:t>Excess air ratio lambda=1.2; elemental combustion stoichiometry; coupled to steam turbine</w:t>
            </w:r>
          </w:p>
        </w:tc>
      </w:tr>
    </w:tbl>
    <w:p/>
    <w:p>
      <w:pPr>
        <w:pStyle w:val="Heading2"/>
        <w:spacing w:before="240" w:after="80"/>
      </w:pPr>
      <w:r>
        <w:rPr>
          <w:rFonts w:ascii="Times New Roman" w:hAnsi="Times New Roman"/>
          <w:b/>
          <w:color w:val="1F497D"/>
          <w:sz w:val="26"/>
        </w:rPr>
        <w:t>3.4  Stage 4 — Product Recovery and Upgrading</w:t>
      </w:r>
    </w:p>
    <w:p>
      <w:pPr>
        <w:spacing w:after="160" w:before="0"/>
        <w:ind w:firstLine="425"/>
      </w:pPr>
      <w:r>
        <w:rPr>
          <w:rFonts w:ascii="Times New Roman" w:hAnsi="Times New Roman"/>
          <w:b w:val="0"/>
          <w:i w:val="0"/>
          <w:sz w:val="24"/>
        </w:rPr>
        <w:t>Downstream units recover and upgrade conversion products to marketable form:</w:t>
      </w:r>
    </w:p>
    <w:p>
      <w:pPr>
        <w:pStyle w:val="ListBullet"/>
        <w:spacing w:after="80"/>
        <w:ind w:left="567"/>
      </w:pPr>
      <w:r>
        <w:rPr>
          <w:rFonts w:ascii="Times New Roman" w:hAnsi="Times New Roman"/>
          <w:b/>
          <w:i w:val="0"/>
          <w:sz w:val="24"/>
        </w:rPr>
        <w:t xml:space="preserve">Centrifugation (CEN) / Filtration (FLT):  </w:t>
      </w:r>
      <w:r>
        <w:rPr>
          <w:rFonts w:ascii="Times New Roman" w:hAnsi="Times New Roman"/>
          <w:b w:val="0"/>
          <w:i w:val="0"/>
          <w:sz w:val="24"/>
        </w:rPr>
        <w:t>Separate biocrude, char, and aqueous phases from the HTL product stream. CEN achieves 95% biocrude recovery; FLT achieves 98%. One unit is selected when HTL is the chosen conversion pathway.</w:t>
      </w:r>
    </w:p>
    <w:p>
      <w:pPr>
        <w:pStyle w:val="ListBullet"/>
        <w:spacing w:after="80"/>
        <w:ind w:left="567"/>
      </w:pPr>
      <w:r>
        <w:rPr>
          <w:rFonts w:ascii="Times New Roman" w:hAnsi="Times New Roman"/>
          <w:b/>
          <w:i w:val="0"/>
          <w:sz w:val="24"/>
        </w:rPr>
        <w:t xml:space="preserve">Amine Scrubbing (ABS):  </w:t>
      </w:r>
      <w:r>
        <w:rPr>
          <w:rFonts w:ascii="Times New Roman" w:hAnsi="Times New Roman"/>
          <w:b w:val="0"/>
          <w:i w:val="0"/>
          <w:sz w:val="24"/>
        </w:rPr>
        <w:t>Chemical absorption of CO₂ from biogas to produce pipeline-quality biomethane (&gt;=96% CH₄ purity). CH₄ slip 0.1%, CO₂ removal 98.5%, electricity use 0.12 kWh m⁻³.</w:t>
      </w:r>
    </w:p>
    <w:p>
      <w:pPr>
        <w:pStyle w:val="ListBullet"/>
        <w:spacing w:after="80"/>
        <w:ind w:left="567"/>
      </w:pPr>
      <w:r>
        <w:rPr>
          <w:rFonts w:ascii="Times New Roman" w:hAnsi="Times New Roman"/>
          <w:b/>
          <w:i w:val="0"/>
          <w:sz w:val="24"/>
        </w:rPr>
        <w:t xml:space="preserve">Pressure Swing Adsorption (PSA):  </w:t>
      </w:r>
      <w:r>
        <w:rPr>
          <w:rFonts w:ascii="Times New Roman" w:hAnsi="Times New Roman"/>
          <w:b w:val="0"/>
          <w:i w:val="0"/>
          <w:sz w:val="24"/>
        </w:rPr>
        <w:t>Physical adsorption of CO₂ from biogas. CH₄ slip 1.5%, CO₂ removal 97%, electricity use 0.25 kWh m⁻³.</w:t>
      </w:r>
    </w:p>
    <w:p>
      <w:pPr>
        <w:pStyle w:val="ListBullet"/>
        <w:spacing w:after="80"/>
        <w:ind w:left="567"/>
      </w:pPr>
      <w:r>
        <w:rPr>
          <w:rFonts w:ascii="Times New Roman" w:hAnsi="Times New Roman"/>
          <w:b/>
          <w:i w:val="0"/>
          <w:sz w:val="24"/>
        </w:rPr>
        <w:t xml:space="preserve">Steam Turbine (STB):  </w:t>
      </w:r>
      <w:r>
        <w:rPr>
          <w:rFonts w:ascii="Times New Roman" w:hAnsi="Times New Roman"/>
          <w:b w:val="0"/>
          <w:i w:val="0"/>
          <w:sz w:val="24"/>
        </w:rPr>
        <w:t>Recovers energy from INC flue gas to raise superheated steam (h1 = 3,277.9 kJ/kg) that expands through a back-pressure turbine (eta_turbine = 0.85, eta_generator = 0.95, h2 = 2,800 kJ/kg) to generate electricity.</w:t>
      </w:r>
    </w:p>
    <w:p>
      <w:r>
        <w:br w:type="page"/>
      </w:r>
    </w:p>
    <w:p>
      <w:pPr>
        <w:pStyle w:val="Heading1"/>
        <w:spacing w:before="360" w:after="120"/>
      </w:pPr>
      <w:r>
        <w:rPr>
          <w:rFonts w:ascii="Times New Roman" w:hAnsi="Times New Roman"/>
          <w:b/>
          <w:color w:val="003366"/>
          <w:sz w:val="32"/>
        </w:rPr>
        <w:t>4.  Tab 1 — Instructions</w:t>
      </w:r>
    </w:p>
    <w:p>
      <w:pPr>
        <w:spacing w:after="160" w:before="0"/>
        <w:ind w:firstLine="425"/>
      </w:pPr>
      <w:r>
        <w:rPr>
          <w:rFonts w:ascii="Times New Roman" w:hAnsi="Times New Roman"/>
          <w:b w:val="0"/>
          <w:i w:val="0"/>
          <w:sz w:val="24"/>
        </w:rPr>
        <w:t>The Instructions tab is the landing page of ECO-FAST. It requires no user input and is intended to orient new users before they begin entering data. The tab contains the following content:</w:t>
      </w:r>
    </w:p>
    <w:p>
      <w:pPr>
        <w:pStyle w:val="ListBullet"/>
        <w:spacing w:after="80"/>
        <w:ind w:left="567"/>
      </w:pPr>
      <w:r>
        <w:rPr>
          <w:rFonts w:ascii="Times New Roman" w:hAnsi="Times New Roman"/>
          <w:b/>
          <w:i w:val="0"/>
          <w:sz w:val="24"/>
        </w:rPr>
        <w:t xml:space="preserve">Tool purpose statement:  </w:t>
      </w:r>
      <w:r>
        <w:rPr>
          <w:rFonts w:ascii="Times New Roman" w:hAnsi="Times New Roman"/>
          <w:b w:val="0"/>
          <w:i w:val="0"/>
          <w:sz w:val="24"/>
        </w:rPr>
        <w:t>A concise description of what ECO-FAST does and the three objective modes available (Lowest Cost, Lowest Emissions, Lowest Cost and Emissions).</w:t>
      </w:r>
    </w:p>
    <w:p>
      <w:pPr>
        <w:pStyle w:val="ListBullet"/>
        <w:spacing w:after="80"/>
        <w:ind w:left="567"/>
      </w:pPr>
      <w:r>
        <w:rPr>
          <w:rFonts w:ascii="Times New Roman" w:hAnsi="Times New Roman"/>
          <w:b/>
          <w:i w:val="0"/>
          <w:sz w:val="24"/>
        </w:rPr>
        <w:t xml:space="preserve">Superstructure diagram:  </w:t>
      </w:r>
      <w:r>
        <w:rPr>
          <w:rFonts w:ascii="Times New Roman" w:hAnsi="Times New Roman"/>
          <w:b w:val="0"/>
          <w:i w:val="0"/>
          <w:sz w:val="24"/>
        </w:rPr>
        <w:t>A graphical representation of the full technology network (loaded from Superstructure.tif). The diagram shows all 15 processing units and their interconnections across all four processing stages.</w:t>
      </w:r>
    </w:p>
    <w:p>
      <w:pPr>
        <w:pStyle w:val="ListBullet"/>
        <w:spacing w:after="80"/>
        <w:ind w:left="567"/>
      </w:pPr>
      <w:r>
        <w:rPr>
          <w:rFonts w:ascii="Times New Roman" w:hAnsi="Times New Roman"/>
          <w:b/>
          <w:i w:val="0"/>
          <w:sz w:val="24"/>
        </w:rPr>
        <w:t xml:space="preserve">Technology summary panels:  </w:t>
      </w:r>
      <w:r>
        <w:rPr>
          <w:rFonts w:ascii="Times New Roman" w:hAnsi="Times New Roman"/>
          <w:b w:val="0"/>
          <w:i w:val="0"/>
          <w:sz w:val="24"/>
        </w:rPr>
        <w:t>Three side-by-side panels listing the technologies available at each stage: Pretreatment (SHR, MCR, AER, ENZ), Conversion (HTL, AND, CMP, SLF, WWT, INC), and Recovery and Upgrading (CEN, FLT, ABS, PSA, STB).</w:t>
      </w:r>
    </w:p>
    <w:p>
      <w:pPr>
        <w:pStyle w:val="ListBullet"/>
        <w:spacing w:after="80"/>
        <w:ind w:left="567"/>
      </w:pPr>
      <w:r>
        <w:rPr>
          <w:rFonts w:ascii="Times New Roman" w:hAnsi="Times New Roman"/>
          <w:b/>
          <w:i w:val="0"/>
          <w:sz w:val="24"/>
        </w:rPr>
        <w:t xml:space="preserve">Step-by-step usage guide:  </w:t>
      </w:r>
      <w:r>
        <w:rPr>
          <w:rFonts w:ascii="Times New Roman" w:hAnsi="Times New Roman"/>
          <w:b w:val="0"/>
          <w:i w:val="0"/>
          <w:sz w:val="24"/>
        </w:rPr>
        <w:t>Five numbered instructions directing the user through Tabs 2 to 6 in sequence.</w:t>
      </w:r>
    </w:p>
    <w:p>
      <w:r>
        <w:br w:type="page"/>
      </w:r>
    </w:p>
    <w:p>
      <w:pPr>
        <w:pStyle w:val="Heading1"/>
        <w:spacing w:before="360" w:after="120"/>
      </w:pPr>
      <w:r>
        <w:rPr>
          <w:rFonts w:ascii="Times New Roman" w:hAnsi="Times New Roman"/>
          <w:b/>
          <w:color w:val="003366"/>
          <w:sz w:val="32"/>
        </w:rPr>
        <w:t>5.  Tab 2 — Feed Inputs</w:t>
      </w:r>
    </w:p>
    <w:p>
      <w:pPr>
        <w:spacing w:after="160" w:before="0"/>
        <w:ind w:firstLine="425"/>
      </w:pPr>
      <w:r>
        <w:rPr>
          <w:rFonts w:ascii="Times New Roman" w:hAnsi="Times New Roman"/>
          <w:b w:val="0"/>
          <w:i w:val="0"/>
          <w:sz w:val="24"/>
        </w:rPr>
        <w:t>The Feed Inputs tab is the primary data entry interface where the user characterises the food waste stream entering the system. All values entered here are stored in session state and passed to the optimisation backend at the time of execution. The tab is divided into a left input panel and a right visualisation panel.</w:t>
      </w:r>
    </w:p>
    <w:p>
      <w:pPr>
        <w:pStyle w:val="Heading2"/>
        <w:spacing w:before="240" w:after="80"/>
      </w:pPr>
      <w:r>
        <w:rPr>
          <w:rFonts w:ascii="Times New Roman" w:hAnsi="Times New Roman"/>
          <w:b/>
          <w:color w:val="1F497D"/>
          <w:sz w:val="26"/>
        </w:rPr>
        <w:t>5.1  Food Waste Type</w:t>
      </w:r>
    </w:p>
    <w:p>
      <w:pPr>
        <w:spacing w:after="160" w:before="0"/>
        <w:ind w:firstLine="425"/>
      </w:pPr>
      <w:r>
        <w:rPr>
          <w:rFonts w:ascii="Times New Roman" w:hAnsi="Times New Roman"/>
          <w:b w:val="0"/>
          <w:i w:val="0"/>
          <w:sz w:val="24"/>
        </w:rPr>
        <w:t>The user selects a food waste category from a predefined library. The selection automatically populates all composition fields with representative wet-basis mass fractions from the published literature. A 'Custom (Enter Your Own Data)' option unlocks all seven composition fields for manual entry. The tool does not allow the user to proceed further until a waste type is selected.</w:t>
      </w:r>
    </w:p>
    <w:p>
      <w:pPr>
        <w:pStyle w:val="Heading2"/>
        <w:spacing w:before="240" w:after="80"/>
      </w:pPr>
      <w:r>
        <w:rPr>
          <w:rFonts w:ascii="Times New Roman" w:hAnsi="Times New Roman"/>
          <w:b/>
          <w:color w:val="1F497D"/>
          <w:sz w:val="26"/>
        </w:rPr>
        <w:t>5.2  Feed Stream Conditions</w:t>
      </w:r>
    </w:p>
    <w:tbl>
      <w:tblPr>
        <w:tblStyle w:val="TableGrid"/>
        <w:tblW w:type="auto" w:w="0"/>
        <w:tblLook w:firstColumn="1" w:firstRow="1" w:lastColumn="0" w:lastRow="0" w:noHBand="0" w:noVBand="1" w:val="04A0"/>
      </w:tblPr>
      <w:tblGrid>
        <w:gridCol w:w="2158"/>
        <w:gridCol w:w="2158"/>
        <w:gridCol w:w="2158"/>
        <w:gridCol w:w="2158"/>
      </w:tblGrid>
      <w:tr>
        <w:tc>
          <w:tcPr>
            <w:tcW w:type="dxa" w:w="1984"/>
            <w:shd w:fill="003366" w:color="auto" w:val="clear"/>
          </w:tcPr>
          <w:p>
            <w:pPr>
              <w:jc w:val="center"/>
            </w:pPr>
            <w:r/>
            <w:r>
              <w:rPr>
                <w:rFonts w:ascii="Times New Roman" w:hAnsi="Times New Roman"/>
                <w:b/>
                <w:i w:val="0"/>
                <w:color w:val="FFFFFF"/>
                <w:sz w:val="22"/>
              </w:rPr>
              <w:t>Input</w:t>
            </w:r>
          </w:p>
        </w:tc>
        <w:tc>
          <w:tcPr>
            <w:tcW w:type="dxa" w:w="1984"/>
            <w:shd w:fill="003366" w:color="auto" w:val="clear"/>
          </w:tcPr>
          <w:p>
            <w:pPr>
              <w:jc w:val="center"/>
            </w:pPr>
            <w:r/>
            <w:r>
              <w:rPr>
                <w:rFonts w:ascii="Times New Roman" w:hAnsi="Times New Roman"/>
                <w:b/>
                <w:i w:val="0"/>
                <w:color w:val="FFFFFF"/>
                <w:sz w:val="22"/>
              </w:rPr>
              <w:t>Unit Options</w:t>
            </w:r>
          </w:p>
        </w:tc>
        <w:tc>
          <w:tcPr>
            <w:tcW w:type="dxa" w:w="1417"/>
            <w:shd w:fill="003366" w:color="auto" w:val="clear"/>
          </w:tcPr>
          <w:p>
            <w:pPr>
              <w:jc w:val="center"/>
            </w:pPr>
            <w:r/>
            <w:r>
              <w:rPr>
                <w:rFonts w:ascii="Times New Roman" w:hAnsi="Times New Roman"/>
                <w:b/>
                <w:i w:val="0"/>
                <w:color w:val="FFFFFF"/>
                <w:sz w:val="22"/>
              </w:rPr>
              <w:t>Default</w:t>
            </w:r>
          </w:p>
        </w:tc>
        <w:tc>
          <w:tcPr>
            <w:tcW w:type="dxa" w:w="3118"/>
            <w:shd w:fill="003366" w:color="auto" w:val="clear"/>
          </w:tcPr>
          <w:p>
            <w:pPr>
              <w:jc w:val="center"/>
            </w:pPr>
            <w:r/>
            <w:r>
              <w:rPr>
                <w:rFonts w:ascii="Times New Roman" w:hAnsi="Times New Roman"/>
                <w:b/>
                <w:i w:val="0"/>
                <w:color w:val="FFFFFF"/>
                <w:sz w:val="22"/>
              </w:rPr>
              <w:t>Description</w:t>
            </w:r>
          </w:p>
        </w:tc>
      </w:tr>
      <w:tr>
        <w:tc>
          <w:tcPr>
            <w:tcW w:type="dxa" w:w="1984"/>
            <w:shd w:fill="EAF0FB" w:color="auto" w:val="clear"/>
          </w:tcPr>
          <w:p>
            <w:r/>
            <w:r>
              <w:rPr>
                <w:rFonts w:ascii="Times New Roman" w:hAnsi="Times New Roman"/>
                <w:b w:val="0"/>
                <w:i w:val="0"/>
                <w:sz w:val="22"/>
              </w:rPr>
              <w:t>Feed flow rate</w:t>
            </w:r>
          </w:p>
        </w:tc>
        <w:tc>
          <w:tcPr>
            <w:tcW w:type="dxa" w:w="1984"/>
            <w:shd w:fill="EAF0FB" w:color="auto" w:val="clear"/>
          </w:tcPr>
          <w:p>
            <w:r/>
            <w:r>
              <w:rPr>
                <w:rFonts w:ascii="Times New Roman" w:hAnsi="Times New Roman"/>
                <w:b w:val="0"/>
                <w:i w:val="0"/>
                <w:sz w:val="22"/>
              </w:rPr>
              <w:t>kg/hr, t/day, lb/hr, kg/day</w:t>
            </w:r>
          </w:p>
        </w:tc>
        <w:tc>
          <w:tcPr>
            <w:tcW w:type="dxa" w:w="1417"/>
            <w:shd w:fill="EAF0FB" w:color="auto" w:val="clear"/>
          </w:tcPr>
          <w:p>
            <w:r/>
            <w:r>
              <w:rPr>
                <w:rFonts w:ascii="Times New Roman" w:hAnsi="Times New Roman"/>
                <w:b w:val="0"/>
                <w:i w:val="0"/>
                <w:sz w:val="22"/>
              </w:rPr>
              <w:t>1,000 kg/hr</w:t>
            </w:r>
          </w:p>
        </w:tc>
        <w:tc>
          <w:tcPr>
            <w:tcW w:type="dxa" w:w="3118"/>
            <w:shd w:fill="EAF0FB" w:color="auto" w:val="clear"/>
          </w:tcPr>
          <w:p>
            <w:r/>
            <w:r>
              <w:rPr>
                <w:rFonts w:ascii="Times New Roman" w:hAnsi="Times New Roman"/>
                <w:b w:val="0"/>
                <w:i w:val="0"/>
                <w:sz w:val="22"/>
              </w:rPr>
              <w:t>Mass flow rate of the wet food waste feed stream entering the system. Converted internally to kg/hr for all calculations.</w:t>
            </w:r>
          </w:p>
        </w:tc>
      </w:tr>
      <w:tr>
        <w:tc>
          <w:tcPr>
            <w:tcW w:type="dxa" w:w="1984"/>
            <w:shd w:fill="FFFFFF" w:color="auto" w:val="clear"/>
          </w:tcPr>
          <w:p>
            <w:r/>
            <w:r>
              <w:rPr>
                <w:rFonts w:ascii="Times New Roman" w:hAnsi="Times New Roman"/>
                <w:b w:val="0"/>
                <w:i w:val="0"/>
                <w:sz w:val="22"/>
              </w:rPr>
              <w:t>Annual operating hours</w:t>
            </w:r>
          </w:p>
        </w:tc>
        <w:tc>
          <w:tcPr>
            <w:tcW w:type="dxa" w:w="1984"/>
            <w:shd w:fill="FFFFFF" w:color="auto" w:val="clear"/>
          </w:tcPr>
          <w:p>
            <w:r/>
            <w:r>
              <w:rPr>
                <w:rFonts w:ascii="Times New Roman" w:hAnsi="Times New Roman"/>
                <w:b w:val="0"/>
                <w:i w:val="0"/>
                <w:sz w:val="22"/>
              </w:rPr>
              <w:t>hr/yr, days/yr, weeks/yr</w:t>
            </w:r>
          </w:p>
        </w:tc>
        <w:tc>
          <w:tcPr>
            <w:tcW w:type="dxa" w:w="1417"/>
            <w:shd w:fill="FFFFFF" w:color="auto" w:val="clear"/>
          </w:tcPr>
          <w:p>
            <w:r/>
            <w:r>
              <w:rPr>
                <w:rFonts w:ascii="Times New Roman" w:hAnsi="Times New Roman"/>
                <w:b w:val="0"/>
                <w:i w:val="0"/>
                <w:sz w:val="22"/>
              </w:rPr>
              <w:t>7,920 hr/yr</w:t>
            </w:r>
          </w:p>
        </w:tc>
        <w:tc>
          <w:tcPr>
            <w:tcW w:type="dxa" w:w="3118"/>
            <w:shd w:fill="FFFFFF" w:color="auto" w:val="clear"/>
          </w:tcPr>
          <w:p>
            <w:r/>
            <w:r>
              <w:rPr>
                <w:rFonts w:ascii="Times New Roman" w:hAnsi="Times New Roman"/>
                <w:b w:val="0"/>
                <w:i w:val="0"/>
                <w:sz w:val="22"/>
              </w:rPr>
              <w:t>Total hours per year the facility operates. Default corresponds to 330 days/yr of continuous operation. Converted internally to hr/yr.</w:t>
            </w:r>
          </w:p>
        </w:tc>
      </w:tr>
    </w:tbl>
    <w:p/>
    <w:p>
      <w:pPr>
        <w:pStyle w:val="Heading2"/>
        <w:spacing w:before="240" w:after="80"/>
      </w:pPr>
      <w:r>
        <w:rPr>
          <w:rFonts w:ascii="Times New Roman" w:hAnsi="Times New Roman"/>
          <w:b/>
          <w:color w:val="1F497D"/>
          <w:sz w:val="26"/>
        </w:rPr>
        <w:t>5.3  Facility Location</w:t>
      </w:r>
    </w:p>
    <w:p>
      <w:pPr>
        <w:spacing w:after="160" w:before="0"/>
        <w:ind w:firstLine="425"/>
      </w:pPr>
      <w:r>
        <w:rPr>
          <w:rFonts w:ascii="Times New Roman" w:hAnsi="Times New Roman"/>
          <w:b w:val="0"/>
          <w:i w:val="0"/>
          <w:sz w:val="24"/>
        </w:rPr>
        <w:t>The user enters a five-digit US zip code identifying the proposed facility location. This field is optional for the optimisation but required for the Environmental Justice assessment in Tab 6. The zip code is used to retrieve geographic coordinates from the Zippopotam.us API and demographic data from the US Census Bureau ACS API. If no zip code is entered, Tab 6 will remain inactive.</w:t>
      </w:r>
    </w:p>
    <w:p>
      <w:pPr>
        <w:pStyle w:val="Heading2"/>
        <w:spacing w:before="240" w:after="80"/>
      </w:pPr>
      <w:r>
        <w:rPr>
          <w:rFonts w:ascii="Times New Roman" w:hAnsi="Times New Roman"/>
          <w:b/>
          <w:color w:val="1F497D"/>
          <w:sz w:val="26"/>
        </w:rPr>
        <w:t>5.4  Wet-Basis Composition</w:t>
      </w:r>
    </w:p>
    <w:p>
      <w:pPr>
        <w:spacing w:after="160" w:before="0"/>
        <w:ind w:firstLine="425"/>
      </w:pPr>
      <w:r>
        <w:rPr>
          <w:rFonts w:ascii="Times New Roman" w:hAnsi="Times New Roman"/>
          <w:b w:val="0"/>
          <w:i w:val="0"/>
          <w:sz w:val="24"/>
        </w:rPr>
        <w:t>Seven component mass fractions are entered on a wet basis. When a predefined waste type is selected, these fields are auto-populated and locked. For the custom option, all fields are editable. A running total is displayed; the tool raises an error and blocks execution if the sum deviates from 1.0 by more than 0.01.</w:t>
      </w:r>
    </w:p>
    <w:tbl>
      <w:tblPr>
        <w:tblStyle w:val="TableGrid"/>
        <w:tblW w:type="auto" w:w="0"/>
        <w:tblLook w:firstColumn="1" w:firstRow="1" w:lastColumn="0" w:lastRow="0" w:noHBand="0" w:noVBand="1" w:val="04A0"/>
      </w:tblPr>
      <w:tblGrid>
        <w:gridCol w:w="2158"/>
        <w:gridCol w:w="2158"/>
        <w:gridCol w:w="2158"/>
        <w:gridCol w:w="2158"/>
      </w:tblGrid>
      <w:tr>
        <w:tc>
          <w:tcPr>
            <w:tcW w:type="dxa" w:w="1701"/>
            <w:shd w:fill="003366" w:color="auto" w:val="clear"/>
          </w:tcPr>
          <w:p>
            <w:pPr>
              <w:jc w:val="center"/>
            </w:pPr>
            <w:r/>
            <w:r>
              <w:rPr>
                <w:rFonts w:ascii="Times New Roman" w:hAnsi="Times New Roman"/>
                <w:b/>
                <w:i w:val="0"/>
                <w:color w:val="FFFFFF"/>
                <w:sz w:val="22"/>
              </w:rPr>
              <w:t>Component</w:t>
            </w:r>
          </w:p>
        </w:tc>
        <w:tc>
          <w:tcPr>
            <w:tcW w:type="dxa" w:w="1134"/>
            <w:shd w:fill="003366" w:color="auto" w:val="clear"/>
          </w:tcPr>
          <w:p>
            <w:pPr>
              <w:jc w:val="center"/>
            </w:pPr>
            <w:r/>
            <w:r>
              <w:rPr>
                <w:rFonts w:ascii="Times New Roman" w:hAnsi="Times New Roman"/>
                <w:b/>
                <w:i w:val="0"/>
                <w:color w:val="FFFFFF"/>
                <w:sz w:val="22"/>
              </w:rPr>
              <w:t>Symbol</w:t>
            </w:r>
          </w:p>
        </w:tc>
        <w:tc>
          <w:tcPr>
            <w:tcW w:type="dxa" w:w="1701"/>
            <w:shd w:fill="003366" w:color="auto" w:val="clear"/>
          </w:tcPr>
          <w:p>
            <w:pPr>
              <w:jc w:val="center"/>
            </w:pPr>
            <w:r/>
            <w:r>
              <w:rPr>
                <w:rFonts w:ascii="Times New Roman" w:hAnsi="Times New Roman"/>
                <w:b/>
                <w:i w:val="0"/>
                <w:color w:val="FFFFFF"/>
                <w:sz w:val="22"/>
              </w:rPr>
              <w:t>Typical Range (wet basis)</w:t>
            </w:r>
          </w:p>
        </w:tc>
        <w:tc>
          <w:tcPr>
            <w:tcW w:type="dxa" w:w="3969"/>
            <w:shd w:fill="003366" w:color="auto" w:val="clear"/>
          </w:tcPr>
          <w:p>
            <w:pPr>
              <w:jc w:val="center"/>
            </w:pPr>
            <w:r/>
            <w:r>
              <w:rPr>
                <w:rFonts w:ascii="Times New Roman" w:hAnsi="Times New Roman"/>
                <w:b/>
                <w:i w:val="0"/>
                <w:color w:val="FFFFFF"/>
                <w:sz w:val="22"/>
              </w:rPr>
              <w:t>Role in the Model</w:t>
            </w:r>
          </w:p>
        </w:tc>
      </w:tr>
      <w:tr>
        <w:tc>
          <w:tcPr>
            <w:tcW w:type="dxa" w:w="1701"/>
            <w:shd w:fill="EAF0FB" w:color="auto" w:val="clear"/>
          </w:tcPr>
          <w:p>
            <w:r/>
            <w:r>
              <w:rPr>
                <w:rFonts w:ascii="Times New Roman" w:hAnsi="Times New Roman"/>
                <w:b w:val="0"/>
                <w:i w:val="0"/>
                <w:sz w:val="22"/>
              </w:rPr>
              <w:t>Water</w:t>
            </w:r>
          </w:p>
        </w:tc>
        <w:tc>
          <w:tcPr>
            <w:tcW w:type="dxa" w:w="1134"/>
            <w:shd w:fill="EAF0FB" w:color="auto" w:val="clear"/>
          </w:tcPr>
          <w:p>
            <w:r/>
            <w:r>
              <w:rPr>
                <w:rFonts w:ascii="Times New Roman" w:hAnsi="Times New Roman"/>
                <w:b w:val="0"/>
                <w:i w:val="0"/>
                <w:sz w:val="22"/>
              </w:rPr>
              <w:t>WATER</w:t>
            </w:r>
          </w:p>
        </w:tc>
        <w:tc>
          <w:tcPr>
            <w:tcW w:type="dxa" w:w="1701"/>
            <w:shd w:fill="EAF0FB" w:color="auto" w:val="clear"/>
          </w:tcPr>
          <w:p>
            <w:r/>
            <w:r>
              <w:rPr>
                <w:rFonts w:ascii="Times New Roman" w:hAnsi="Times New Roman"/>
                <w:b w:val="0"/>
                <w:i w:val="0"/>
                <w:sz w:val="22"/>
              </w:rPr>
              <w:t>0.60 - 0.85</w:t>
            </w:r>
          </w:p>
        </w:tc>
        <w:tc>
          <w:tcPr>
            <w:tcW w:type="dxa" w:w="3969"/>
            <w:shd w:fill="EAF0FB" w:color="auto" w:val="clear"/>
          </w:tcPr>
          <w:p>
            <w:r/>
            <w:r>
              <w:rPr>
                <w:rFonts w:ascii="Times New Roman" w:hAnsi="Times New Roman"/>
                <w:b w:val="0"/>
                <w:i w:val="0"/>
                <w:sz w:val="22"/>
              </w:rPr>
              <w:t>Determines drying and evaporation loads. Dilutes organic content, reducing volumetric energy density and biogas yield per unit feed.</w:t>
            </w:r>
          </w:p>
        </w:tc>
      </w:tr>
      <w:tr>
        <w:tc>
          <w:tcPr>
            <w:tcW w:type="dxa" w:w="1701"/>
            <w:shd w:fill="FFFFFF" w:color="auto" w:val="clear"/>
          </w:tcPr>
          <w:p>
            <w:r/>
            <w:r>
              <w:rPr>
                <w:rFonts w:ascii="Times New Roman" w:hAnsi="Times New Roman"/>
                <w:b w:val="0"/>
                <w:i w:val="0"/>
                <w:sz w:val="22"/>
              </w:rPr>
              <w:t>Carbohydrates</w:t>
            </w:r>
          </w:p>
        </w:tc>
        <w:tc>
          <w:tcPr>
            <w:tcW w:type="dxa" w:w="1134"/>
            <w:shd w:fill="FFFFFF" w:color="auto" w:val="clear"/>
          </w:tcPr>
          <w:p>
            <w:r/>
            <w:r>
              <w:rPr>
                <w:rFonts w:ascii="Times New Roman" w:hAnsi="Times New Roman"/>
                <w:b w:val="0"/>
                <w:i w:val="0"/>
                <w:sz w:val="22"/>
              </w:rPr>
              <w:t>CBH</w:t>
            </w:r>
          </w:p>
        </w:tc>
        <w:tc>
          <w:tcPr>
            <w:tcW w:type="dxa" w:w="1701"/>
            <w:shd w:fill="FFFFFF" w:color="auto" w:val="clear"/>
          </w:tcPr>
          <w:p>
            <w:r/>
            <w:r>
              <w:rPr>
                <w:rFonts w:ascii="Times New Roman" w:hAnsi="Times New Roman"/>
                <w:b w:val="0"/>
                <w:i w:val="0"/>
                <w:sz w:val="22"/>
              </w:rPr>
              <w:t>0.01 - 0.12</w:t>
            </w:r>
          </w:p>
        </w:tc>
        <w:tc>
          <w:tcPr>
            <w:tcW w:type="dxa" w:w="3969"/>
            <w:shd w:fill="FFFFFF" w:color="auto" w:val="clear"/>
          </w:tcPr>
          <w:p>
            <w:r/>
            <w:r>
              <w:rPr>
                <w:rFonts w:ascii="Times New Roman" w:hAnsi="Times New Roman"/>
                <w:b w:val="0"/>
                <w:i w:val="0"/>
                <w:sz w:val="22"/>
              </w:rPr>
              <w:t>Primary substrate for biological conversion pathways. Governs BMP contribution from carbohydrates and AER/ENZ degradation kinetics.</w:t>
            </w:r>
          </w:p>
        </w:tc>
      </w:tr>
      <w:tr>
        <w:tc>
          <w:tcPr>
            <w:tcW w:type="dxa" w:w="1701"/>
            <w:shd w:fill="EAF0FB" w:color="auto" w:val="clear"/>
          </w:tcPr>
          <w:p>
            <w:r/>
            <w:r>
              <w:rPr>
                <w:rFonts w:ascii="Times New Roman" w:hAnsi="Times New Roman"/>
                <w:b w:val="0"/>
                <w:i w:val="0"/>
                <w:sz w:val="22"/>
              </w:rPr>
              <w:t>Protein</w:t>
            </w:r>
          </w:p>
        </w:tc>
        <w:tc>
          <w:tcPr>
            <w:tcW w:type="dxa" w:w="1134"/>
            <w:shd w:fill="EAF0FB" w:color="auto" w:val="clear"/>
          </w:tcPr>
          <w:p>
            <w:r/>
            <w:r>
              <w:rPr>
                <w:rFonts w:ascii="Times New Roman" w:hAnsi="Times New Roman"/>
                <w:b w:val="0"/>
                <w:i w:val="0"/>
                <w:sz w:val="22"/>
              </w:rPr>
              <w:t>PRT</w:t>
            </w:r>
          </w:p>
        </w:tc>
        <w:tc>
          <w:tcPr>
            <w:tcW w:type="dxa" w:w="1701"/>
            <w:shd w:fill="EAF0FB" w:color="auto" w:val="clear"/>
          </w:tcPr>
          <w:p>
            <w:r/>
            <w:r>
              <w:rPr>
                <w:rFonts w:ascii="Times New Roman" w:hAnsi="Times New Roman"/>
                <w:b w:val="0"/>
                <w:i w:val="0"/>
                <w:sz w:val="22"/>
              </w:rPr>
              <w:t>0.02 - 0.15</w:t>
            </w:r>
          </w:p>
        </w:tc>
        <w:tc>
          <w:tcPr>
            <w:tcW w:type="dxa" w:w="3969"/>
            <w:shd w:fill="EAF0FB" w:color="auto" w:val="clear"/>
          </w:tcPr>
          <w:p>
            <w:r/>
            <w:r>
              <w:rPr>
                <w:rFonts w:ascii="Times New Roman" w:hAnsi="Times New Roman"/>
                <w:b w:val="0"/>
                <w:i w:val="0"/>
                <w:sz w:val="22"/>
              </w:rPr>
              <w:t>Key nitrogen source. Determines C/N ratio (important for composting stability and AD inhibition risk). Participates in AER and ENZ degradation.</w:t>
            </w:r>
          </w:p>
        </w:tc>
      </w:tr>
      <w:tr>
        <w:tc>
          <w:tcPr>
            <w:tcW w:type="dxa" w:w="1701"/>
            <w:shd w:fill="FFFFFF" w:color="auto" w:val="clear"/>
          </w:tcPr>
          <w:p>
            <w:r/>
            <w:r>
              <w:rPr>
                <w:rFonts w:ascii="Times New Roman" w:hAnsi="Times New Roman"/>
                <w:b w:val="0"/>
                <w:i w:val="0"/>
                <w:sz w:val="22"/>
              </w:rPr>
              <w:t>Fat / Lipid</w:t>
            </w:r>
          </w:p>
        </w:tc>
        <w:tc>
          <w:tcPr>
            <w:tcW w:type="dxa" w:w="1134"/>
            <w:shd w:fill="FFFFFF" w:color="auto" w:val="clear"/>
          </w:tcPr>
          <w:p>
            <w:r/>
            <w:r>
              <w:rPr>
                <w:rFonts w:ascii="Times New Roman" w:hAnsi="Times New Roman"/>
                <w:b w:val="0"/>
                <w:i w:val="0"/>
                <w:sz w:val="22"/>
              </w:rPr>
              <w:t>FAT</w:t>
            </w:r>
          </w:p>
        </w:tc>
        <w:tc>
          <w:tcPr>
            <w:tcW w:type="dxa" w:w="1701"/>
            <w:shd w:fill="FFFFFF" w:color="auto" w:val="clear"/>
          </w:tcPr>
          <w:p>
            <w:r/>
            <w:r>
              <w:rPr>
                <w:rFonts w:ascii="Times New Roman" w:hAnsi="Times New Roman"/>
                <w:b w:val="0"/>
                <w:i w:val="0"/>
                <w:sz w:val="22"/>
              </w:rPr>
              <w:t>0.01 - 0.08</w:t>
            </w:r>
          </w:p>
        </w:tc>
        <w:tc>
          <w:tcPr>
            <w:tcW w:type="dxa" w:w="3969"/>
            <w:shd w:fill="FFFFFF" w:color="auto" w:val="clear"/>
          </w:tcPr>
          <w:p>
            <w:r/>
            <w:r>
              <w:rPr>
                <w:rFonts w:ascii="Times New Roman" w:hAnsi="Times New Roman"/>
                <w:b w:val="0"/>
                <w:i w:val="0"/>
                <w:sz w:val="22"/>
              </w:rPr>
              <w:t>Highest energy density of all components. Disproportionately contributes to biocrude yield in HTL and to methane yield in AND due to high BMP of lipids.</w:t>
            </w:r>
          </w:p>
        </w:tc>
      </w:tr>
      <w:tr>
        <w:tc>
          <w:tcPr>
            <w:tcW w:type="dxa" w:w="1701"/>
            <w:shd w:fill="EAF0FB" w:color="auto" w:val="clear"/>
          </w:tcPr>
          <w:p>
            <w:r/>
            <w:r>
              <w:rPr>
                <w:rFonts w:ascii="Times New Roman" w:hAnsi="Times New Roman"/>
                <w:b w:val="0"/>
                <w:i w:val="0"/>
                <w:sz w:val="22"/>
              </w:rPr>
              <w:t>Other Organics</w:t>
            </w:r>
          </w:p>
        </w:tc>
        <w:tc>
          <w:tcPr>
            <w:tcW w:type="dxa" w:w="1134"/>
            <w:shd w:fill="EAF0FB" w:color="auto" w:val="clear"/>
          </w:tcPr>
          <w:p>
            <w:r/>
            <w:r>
              <w:rPr>
                <w:rFonts w:ascii="Times New Roman" w:hAnsi="Times New Roman"/>
                <w:b w:val="0"/>
                <w:i w:val="0"/>
                <w:sz w:val="22"/>
              </w:rPr>
              <w:t>OTH</w:t>
            </w:r>
          </w:p>
        </w:tc>
        <w:tc>
          <w:tcPr>
            <w:tcW w:type="dxa" w:w="1701"/>
            <w:shd w:fill="EAF0FB" w:color="auto" w:val="clear"/>
          </w:tcPr>
          <w:p>
            <w:r/>
            <w:r>
              <w:rPr>
                <w:rFonts w:ascii="Times New Roman" w:hAnsi="Times New Roman"/>
                <w:b w:val="0"/>
                <w:i w:val="0"/>
                <w:sz w:val="22"/>
              </w:rPr>
              <w:t>0.01 - 0.05</w:t>
            </w:r>
          </w:p>
        </w:tc>
        <w:tc>
          <w:tcPr>
            <w:tcW w:type="dxa" w:w="3969"/>
            <w:shd w:fill="EAF0FB" w:color="auto" w:val="clear"/>
          </w:tcPr>
          <w:p>
            <w:r/>
            <w:r>
              <w:rPr>
                <w:rFonts w:ascii="Times New Roman" w:hAnsi="Times New Roman"/>
                <w:b w:val="0"/>
                <w:i w:val="0"/>
                <w:sz w:val="22"/>
              </w:rPr>
              <w:t>Catch-all for non-classified organic matter (e.g. cellulose, lignin, mixed organics). Participates in all biological and thermal conversion pathways.</w:t>
            </w:r>
          </w:p>
        </w:tc>
      </w:tr>
      <w:tr>
        <w:tc>
          <w:tcPr>
            <w:tcW w:type="dxa" w:w="1701"/>
            <w:shd w:fill="FFFFFF" w:color="auto" w:val="clear"/>
          </w:tcPr>
          <w:p>
            <w:r/>
            <w:r>
              <w:rPr>
                <w:rFonts w:ascii="Times New Roman" w:hAnsi="Times New Roman"/>
                <w:b w:val="0"/>
                <w:i w:val="0"/>
                <w:sz w:val="22"/>
              </w:rPr>
              <w:t>Ash</w:t>
            </w:r>
          </w:p>
        </w:tc>
        <w:tc>
          <w:tcPr>
            <w:tcW w:type="dxa" w:w="1134"/>
            <w:shd w:fill="FFFFFF" w:color="auto" w:val="clear"/>
          </w:tcPr>
          <w:p>
            <w:r/>
            <w:r>
              <w:rPr>
                <w:rFonts w:ascii="Times New Roman" w:hAnsi="Times New Roman"/>
                <w:b w:val="0"/>
                <w:i w:val="0"/>
                <w:sz w:val="22"/>
              </w:rPr>
              <w:t>ASH</w:t>
            </w:r>
          </w:p>
        </w:tc>
        <w:tc>
          <w:tcPr>
            <w:tcW w:type="dxa" w:w="1701"/>
            <w:shd w:fill="FFFFFF" w:color="auto" w:val="clear"/>
          </w:tcPr>
          <w:p>
            <w:r/>
            <w:r>
              <w:rPr>
                <w:rFonts w:ascii="Times New Roman" w:hAnsi="Times New Roman"/>
                <w:b w:val="0"/>
                <w:i w:val="0"/>
                <w:sz w:val="22"/>
              </w:rPr>
              <w:t>0.005 - 0.02</w:t>
            </w:r>
          </w:p>
        </w:tc>
        <w:tc>
          <w:tcPr>
            <w:tcW w:type="dxa" w:w="3969"/>
            <w:shd w:fill="FFFFFF" w:color="auto" w:val="clear"/>
          </w:tcPr>
          <w:p>
            <w:r/>
            <w:r>
              <w:rPr>
                <w:rFonts w:ascii="Times New Roman" w:hAnsi="Times New Roman"/>
                <w:b w:val="0"/>
                <w:i w:val="0"/>
                <w:sz w:val="22"/>
              </w:rPr>
              <w:t>Inert mineral content. Passes through all conversion units unchanged and reports to residue, char, or biosolids output streams.</w:t>
            </w:r>
          </w:p>
        </w:tc>
      </w:tr>
      <w:tr>
        <w:tc>
          <w:tcPr>
            <w:tcW w:type="dxa" w:w="1701"/>
            <w:shd w:fill="EAF0FB" w:color="auto" w:val="clear"/>
          </w:tcPr>
          <w:p>
            <w:r/>
            <w:r>
              <w:rPr>
                <w:rFonts w:ascii="Times New Roman" w:hAnsi="Times New Roman"/>
                <w:b w:val="0"/>
                <w:i w:val="0"/>
                <w:sz w:val="22"/>
              </w:rPr>
              <w:t>Fixed Carbon</w:t>
            </w:r>
          </w:p>
        </w:tc>
        <w:tc>
          <w:tcPr>
            <w:tcW w:type="dxa" w:w="1134"/>
            <w:shd w:fill="EAF0FB" w:color="auto" w:val="clear"/>
          </w:tcPr>
          <w:p>
            <w:r/>
            <w:r>
              <w:rPr>
                <w:rFonts w:ascii="Times New Roman" w:hAnsi="Times New Roman"/>
                <w:b w:val="0"/>
                <w:i w:val="0"/>
                <w:sz w:val="22"/>
              </w:rPr>
              <w:t>FC</w:t>
            </w:r>
          </w:p>
        </w:tc>
        <w:tc>
          <w:tcPr>
            <w:tcW w:type="dxa" w:w="1701"/>
            <w:shd w:fill="EAF0FB" w:color="auto" w:val="clear"/>
          </w:tcPr>
          <w:p>
            <w:r/>
            <w:r>
              <w:rPr>
                <w:rFonts w:ascii="Times New Roman" w:hAnsi="Times New Roman"/>
                <w:b w:val="0"/>
                <w:i w:val="0"/>
                <w:sz w:val="22"/>
              </w:rPr>
              <w:t>0.01 - 0.05</w:t>
            </w:r>
          </w:p>
        </w:tc>
        <w:tc>
          <w:tcPr>
            <w:tcW w:type="dxa" w:w="3969"/>
            <w:shd w:fill="EAF0FB" w:color="auto" w:val="clear"/>
          </w:tcPr>
          <w:p>
            <w:r/>
            <w:r>
              <w:rPr>
                <w:rFonts w:ascii="Times New Roman" w:hAnsi="Times New Roman"/>
                <w:b w:val="0"/>
                <w:i w:val="0"/>
                <w:sz w:val="22"/>
              </w:rPr>
              <w:t>Stable carbonaceous material (e.g. charcoal-like fractions). Slow to degrade biologically; contributes to char yield in HTL and increases ash-like residue in INC.</w:t>
            </w:r>
          </w:p>
        </w:tc>
      </w:tr>
    </w:tbl>
    <w:p/>
    <w:p>
      <w:pPr>
        <w:pStyle w:val="Heading2"/>
        <w:spacing w:before="240" w:after="80"/>
      </w:pPr>
      <w:r>
        <w:rPr>
          <w:rFonts w:ascii="Times New Roman" w:hAnsi="Times New Roman"/>
          <w:b/>
          <w:color w:val="1F497D"/>
          <w:sz w:val="26"/>
        </w:rPr>
        <w:t>5.5  Feedstock Quality Indicators</w:t>
      </w:r>
    </w:p>
    <w:p>
      <w:pPr>
        <w:spacing w:after="160" w:before="0"/>
        <w:ind w:firstLine="425"/>
      </w:pPr>
      <w:r>
        <w:rPr>
          <w:rFonts w:ascii="Times New Roman" w:hAnsi="Times New Roman"/>
          <w:b w:val="0"/>
          <w:i w:val="0"/>
          <w:sz w:val="24"/>
        </w:rPr>
        <w:t>The right panel automatically computes and displays four quality indicators from the entered composition. These metrics give the user an immediate sense of which processing pathways are likely to be feasible and economically attractive for their specific feedstock.</w:t>
      </w:r>
    </w:p>
    <w:tbl>
      <w:tblPr>
        <w:tblStyle w:val="TableGrid"/>
        <w:tblW w:type="auto" w:w="0"/>
        <w:tblLook w:firstColumn="1" w:firstRow="1" w:lastColumn="0" w:lastRow="0" w:noHBand="0" w:noVBand="1" w:val="04A0"/>
      </w:tblPr>
      <w:tblGrid>
        <w:gridCol w:w="2878"/>
        <w:gridCol w:w="2878"/>
        <w:gridCol w:w="2878"/>
      </w:tblGrid>
      <w:tr>
        <w:tc>
          <w:tcPr>
            <w:tcW w:type="dxa" w:w="2268"/>
            <w:shd w:fill="003366" w:color="auto" w:val="clear"/>
          </w:tcPr>
          <w:p>
            <w:pPr>
              <w:jc w:val="center"/>
            </w:pPr>
            <w:r/>
            <w:r>
              <w:rPr>
                <w:rFonts w:ascii="Times New Roman" w:hAnsi="Times New Roman"/>
                <w:b/>
                <w:i w:val="0"/>
                <w:color w:val="FFFFFF"/>
                <w:sz w:val="22"/>
              </w:rPr>
              <w:t>Indicator</w:t>
            </w:r>
          </w:p>
        </w:tc>
        <w:tc>
          <w:tcPr>
            <w:tcW w:type="dxa" w:w="2551"/>
            <w:shd w:fill="003366" w:color="auto" w:val="clear"/>
          </w:tcPr>
          <w:p>
            <w:pPr>
              <w:jc w:val="center"/>
            </w:pPr>
            <w:r/>
            <w:r>
              <w:rPr>
                <w:rFonts w:ascii="Times New Roman" w:hAnsi="Times New Roman"/>
                <w:b/>
                <w:i w:val="0"/>
                <w:color w:val="FFFFFF"/>
                <w:sz w:val="22"/>
              </w:rPr>
              <w:t>Basis</w:t>
            </w:r>
          </w:p>
        </w:tc>
        <w:tc>
          <w:tcPr>
            <w:tcW w:type="dxa" w:w="3685"/>
            <w:shd w:fill="003366" w:color="auto" w:val="clear"/>
          </w:tcPr>
          <w:p>
            <w:pPr>
              <w:jc w:val="center"/>
            </w:pPr>
            <w:r/>
            <w:r>
              <w:rPr>
                <w:rFonts w:ascii="Times New Roman" w:hAnsi="Times New Roman"/>
                <w:b/>
                <w:i w:val="0"/>
                <w:color w:val="FFFFFF"/>
                <w:sz w:val="22"/>
              </w:rPr>
              <w:t>Interpretation</w:t>
            </w:r>
          </w:p>
        </w:tc>
      </w:tr>
      <w:tr>
        <w:tc>
          <w:tcPr>
            <w:tcW w:type="dxa" w:w="2268"/>
            <w:shd w:fill="EAF0FB" w:color="auto" w:val="clear"/>
          </w:tcPr>
          <w:p>
            <w:r/>
            <w:r>
              <w:rPr>
                <w:rFonts w:ascii="Times New Roman" w:hAnsi="Times New Roman"/>
                <w:b w:val="0"/>
                <w:i w:val="0"/>
                <w:sz w:val="22"/>
              </w:rPr>
              <w:t>Higher Heating Value (HHV, MJ/kg)</w:t>
            </w:r>
          </w:p>
        </w:tc>
        <w:tc>
          <w:tcPr>
            <w:tcW w:type="dxa" w:w="2551"/>
            <w:shd w:fill="EAF0FB" w:color="auto" w:val="clear"/>
          </w:tcPr>
          <w:p>
            <w:r/>
            <w:r>
              <w:rPr>
                <w:rFonts w:ascii="Times New Roman" w:hAnsi="Times New Roman"/>
                <w:b w:val="0"/>
                <w:i w:val="0"/>
                <w:sz w:val="22"/>
              </w:rPr>
              <w:t>Correlation based on organic component fractions</w:t>
            </w:r>
          </w:p>
        </w:tc>
        <w:tc>
          <w:tcPr>
            <w:tcW w:type="dxa" w:w="3685"/>
            <w:shd w:fill="EAF0FB" w:color="auto" w:val="clear"/>
          </w:tcPr>
          <w:p>
            <w:r/>
            <w:r>
              <w:rPr>
                <w:rFonts w:ascii="Times New Roman" w:hAnsi="Times New Roman"/>
                <w:b w:val="0"/>
                <w:i w:val="0"/>
                <w:sz w:val="22"/>
              </w:rPr>
              <w:t>Gross energy content of the feed. Higher HHV favours INC and HTL pathways for energy recovery.</w:t>
            </w:r>
          </w:p>
        </w:tc>
      </w:tr>
      <w:tr>
        <w:tc>
          <w:tcPr>
            <w:tcW w:type="dxa" w:w="2268"/>
            <w:shd w:fill="FFFFFF" w:color="auto" w:val="clear"/>
          </w:tcPr>
          <w:p>
            <w:r/>
            <w:r>
              <w:rPr>
                <w:rFonts w:ascii="Times New Roman" w:hAnsi="Times New Roman"/>
                <w:b w:val="0"/>
                <w:i w:val="0"/>
                <w:sz w:val="22"/>
              </w:rPr>
              <w:t>Volatile Solids (VS, %)</w:t>
            </w:r>
          </w:p>
        </w:tc>
        <w:tc>
          <w:tcPr>
            <w:tcW w:type="dxa" w:w="2551"/>
            <w:shd w:fill="FFFFFF" w:color="auto" w:val="clear"/>
          </w:tcPr>
          <w:p>
            <w:r/>
            <w:r>
              <w:rPr>
                <w:rFonts w:ascii="Times New Roman" w:hAnsi="Times New Roman"/>
                <w:b w:val="0"/>
                <w:i w:val="0"/>
                <w:sz w:val="22"/>
              </w:rPr>
              <w:t>(CBH + PRT + FAT + OTH) x 100</w:t>
            </w:r>
          </w:p>
        </w:tc>
        <w:tc>
          <w:tcPr>
            <w:tcW w:type="dxa" w:w="3685"/>
            <w:shd w:fill="FFFFFF" w:color="auto" w:val="clear"/>
          </w:tcPr>
          <w:p>
            <w:r/>
            <w:r>
              <w:rPr>
                <w:rFonts w:ascii="Times New Roman" w:hAnsi="Times New Roman"/>
                <w:b w:val="0"/>
                <w:i w:val="0"/>
                <w:sz w:val="22"/>
              </w:rPr>
              <w:t>Biodegradable organic fraction. Primary basis for BMP and degradation calculations in AND, AER, CMP, and WWT.</w:t>
            </w:r>
          </w:p>
        </w:tc>
      </w:tr>
      <w:tr>
        <w:tc>
          <w:tcPr>
            <w:tcW w:type="dxa" w:w="2268"/>
            <w:shd w:fill="EAF0FB" w:color="auto" w:val="clear"/>
          </w:tcPr>
          <w:p>
            <w:r/>
            <w:r>
              <w:rPr>
                <w:rFonts w:ascii="Times New Roman" w:hAnsi="Times New Roman"/>
                <w:b w:val="0"/>
                <w:i w:val="0"/>
                <w:sz w:val="22"/>
              </w:rPr>
              <w:t>Total Solids (TS, %)</w:t>
            </w:r>
          </w:p>
        </w:tc>
        <w:tc>
          <w:tcPr>
            <w:tcW w:type="dxa" w:w="2551"/>
            <w:shd w:fill="EAF0FB" w:color="auto" w:val="clear"/>
          </w:tcPr>
          <w:p>
            <w:r/>
            <w:r>
              <w:rPr>
                <w:rFonts w:ascii="Times New Roman" w:hAnsi="Times New Roman"/>
                <w:b w:val="0"/>
                <w:i w:val="0"/>
                <w:sz w:val="22"/>
              </w:rPr>
              <w:t>(1 - WATER) x 100</w:t>
            </w:r>
          </w:p>
        </w:tc>
        <w:tc>
          <w:tcPr>
            <w:tcW w:type="dxa" w:w="3685"/>
            <w:shd w:fill="EAF0FB" w:color="auto" w:val="clear"/>
          </w:tcPr>
          <w:p>
            <w:r/>
            <w:r>
              <w:rPr>
                <w:rFonts w:ascii="Times New Roman" w:hAnsi="Times New Roman"/>
                <w:b w:val="0"/>
                <w:i w:val="0"/>
                <w:sz w:val="22"/>
              </w:rPr>
              <w:t>Dry matter content. Low TS (high moisture) limits thermochemical conversion efficiency but suits aqueous processes like HTL and WWT.</w:t>
            </w:r>
          </w:p>
        </w:tc>
      </w:tr>
      <w:tr>
        <w:tc>
          <w:tcPr>
            <w:tcW w:type="dxa" w:w="2268"/>
            <w:shd w:fill="FFFFFF" w:color="auto" w:val="clear"/>
          </w:tcPr>
          <w:p>
            <w:r/>
            <w:r>
              <w:rPr>
                <w:rFonts w:ascii="Times New Roman" w:hAnsi="Times New Roman"/>
                <w:b w:val="0"/>
                <w:i w:val="0"/>
                <w:sz w:val="22"/>
              </w:rPr>
              <w:t>C/N Ratio</w:t>
            </w:r>
          </w:p>
        </w:tc>
        <w:tc>
          <w:tcPr>
            <w:tcW w:type="dxa" w:w="2551"/>
            <w:shd w:fill="FFFFFF" w:color="auto" w:val="clear"/>
          </w:tcPr>
          <w:p>
            <w:r/>
            <w:r>
              <w:rPr>
                <w:rFonts w:ascii="Times New Roman" w:hAnsi="Times New Roman"/>
                <w:b w:val="0"/>
                <w:i w:val="0"/>
                <w:sz w:val="22"/>
              </w:rPr>
              <w:t>Carbon in organics / Nitrogen in protein</w:t>
            </w:r>
          </w:p>
        </w:tc>
        <w:tc>
          <w:tcPr>
            <w:tcW w:type="dxa" w:w="3685"/>
            <w:shd w:fill="FFFFFF" w:color="auto" w:val="clear"/>
          </w:tcPr>
          <w:p>
            <w:r/>
            <w:r>
              <w:rPr>
                <w:rFonts w:ascii="Times New Roman" w:hAnsi="Times New Roman"/>
                <w:b w:val="0"/>
                <w:i w:val="0"/>
                <w:sz w:val="22"/>
              </w:rPr>
              <w:t>Indicator of composting suitability (optimal 25-35:1) and AD stability. High C/N may inhibit microbial activity in biological pathways.</w:t>
            </w:r>
          </w:p>
        </w:tc>
      </w:tr>
    </w:tbl>
    <w:p/>
    <w:p>
      <w:pPr>
        <w:spacing w:after="160" w:before="0"/>
        <w:ind w:firstLine="425"/>
      </w:pPr>
      <w:r>
        <w:rPr>
          <w:rFonts w:ascii="Times New Roman" w:hAnsi="Times New Roman"/>
          <w:b w:val="0"/>
          <w:i w:val="0"/>
          <w:sz w:val="24"/>
        </w:rPr>
        <w:t>A donut chart in the right panel visualises the wet-basis composition breakdown by component with a colour-coded legend, updating in real time as the user changes composition values.</w:t>
      </w:r>
    </w:p>
    <w:p>
      <w:r>
        <w:br w:type="page"/>
      </w:r>
    </w:p>
    <w:p>
      <w:pPr>
        <w:pStyle w:val="Heading1"/>
        <w:spacing w:before="360" w:after="120"/>
      </w:pPr>
      <w:r>
        <w:rPr>
          <w:rFonts w:ascii="Times New Roman" w:hAnsi="Times New Roman"/>
          <w:b/>
          <w:color w:val="003366"/>
          <w:sz w:val="32"/>
        </w:rPr>
        <w:t>6.  Tab 3 — Technology Specifications</w:t>
      </w:r>
    </w:p>
    <w:p>
      <w:pPr>
        <w:spacing w:after="160" w:before="0"/>
        <w:ind w:firstLine="425"/>
      </w:pPr>
      <w:r>
        <w:rPr>
          <w:rFonts w:ascii="Times New Roman" w:hAnsi="Times New Roman"/>
          <w:b w:val="0"/>
          <w:i w:val="0"/>
          <w:sz w:val="24"/>
        </w:rPr>
        <w:t>The Technology Specifications tab provides access to the engineering parameters for each of the 15 processing units in the superstructure. Users can review and adjust default values before running the optimisation. Default values are drawn from peer-reviewed literature, IPCC 2006 Tier 1 guidelines, and standard chemical engineering references. A dropdown menu at the top of the tab selects the technology; the corresponding parameter panel appears below.</w:t>
      </w:r>
    </w:p>
    <w:p>
      <w:pPr>
        <w:pStyle w:val="Heading2"/>
        <w:spacing w:before="240" w:after="80"/>
      </w:pPr>
      <w:r>
        <w:rPr>
          <w:rFonts w:ascii="Times New Roman" w:hAnsi="Times New Roman"/>
          <w:b/>
          <w:color w:val="1F497D"/>
          <w:sz w:val="26"/>
        </w:rPr>
        <w:t>6.1  Hydrothermal Liquefaction (HTL)</w:t>
      </w:r>
    </w:p>
    <w:tbl>
      <w:tblPr>
        <w:tblStyle w:val="TableGrid"/>
        <w:tblW w:type="auto" w:w="0"/>
        <w:tblLook w:firstColumn="1" w:firstRow="1" w:lastColumn="0" w:lastRow="0" w:noHBand="0" w:noVBand="1" w:val="04A0"/>
      </w:tblPr>
      <w:tblGrid>
        <w:gridCol w:w="2158"/>
        <w:gridCol w:w="2158"/>
        <w:gridCol w:w="2158"/>
        <w:gridCol w:w="2158"/>
      </w:tblGrid>
      <w:tr>
        <w:tc>
          <w:tcPr>
            <w:tcW w:type="dxa" w:w="2835"/>
            <w:shd w:fill="003366" w:color="auto" w:val="clear"/>
          </w:tcPr>
          <w:p>
            <w:pPr>
              <w:jc w:val="center"/>
            </w:pPr>
            <w:r/>
            <w:r>
              <w:rPr>
                <w:rFonts w:ascii="Times New Roman" w:hAnsi="Times New Roman"/>
                <w:b/>
                <w:i w:val="0"/>
                <w:color w:val="FFFFFF"/>
                <w:sz w:val="22"/>
              </w:rPr>
              <w:t>Parameter</w:t>
            </w:r>
          </w:p>
        </w:tc>
        <w:tc>
          <w:tcPr>
            <w:tcW w:type="dxa" w:w="850"/>
            <w:shd w:fill="003366" w:color="auto" w:val="clear"/>
          </w:tcPr>
          <w:p>
            <w:pPr>
              <w:jc w:val="center"/>
            </w:pPr>
            <w:r/>
            <w:r>
              <w:rPr>
                <w:rFonts w:ascii="Times New Roman" w:hAnsi="Times New Roman"/>
                <w:b/>
                <w:i w:val="0"/>
                <w:color w:val="FFFFFF"/>
                <w:sz w:val="22"/>
              </w:rPr>
              <w:t>Unit</w:t>
            </w:r>
          </w:p>
        </w:tc>
        <w:tc>
          <w:tcPr>
            <w:tcW w:type="dxa" w:w="1134"/>
            <w:shd w:fill="003366" w:color="auto" w:val="clear"/>
          </w:tcPr>
          <w:p>
            <w:pPr>
              <w:jc w:val="center"/>
            </w:pPr>
            <w:r/>
            <w:r>
              <w:rPr>
                <w:rFonts w:ascii="Times New Roman" w:hAnsi="Times New Roman"/>
                <w:b/>
                <w:i w:val="0"/>
                <w:color w:val="FFFFFF"/>
                <w:sz w:val="22"/>
              </w:rPr>
              <w:t>Default</w:t>
            </w:r>
          </w:p>
        </w:tc>
        <w:tc>
          <w:tcPr>
            <w:tcW w:type="dxa" w:w="3685"/>
            <w:shd w:fill="003366" w:color="auto" w:val="clear"/>
          </w:tcPr>
          <w:p>
            <w:pPr>
              <w:jc w:val="center"/>
            </w:pPr>
            <w:r/>
            <w:r>
              <w:rPr>
                <w:rFonts w:ascii="Times New Roman" w:hAnsi="Times New Roman"/>
                <w:b/>
                <w:i w:val="0"/>
                <w:color w:val="FFFFFF"/>
                <w:sz w:val="22"/>
              </w:rPr>
              <w:t>Description</w:t>
            </w:r>
          </w:p>
        </w:tc>
      </w:tr>
      <w:tr>
        <w:tc>
          <w:tcPr>
            <w:tcW w:type="dxa" w:w="2835"/>
            <w:shd w:fill="EAF0FB" w:color="auto" w:val="clear"/>
          </w:tcPr>
          <w:p>
            <w:r/>
            <w:r>
              <w:rPr>
                <w:rFonts w:ascii="Times New Roman" w:hAnsi="Times New Roman"/>
                <w:b w:val="0"/>
                <w:i w:val="0"/>
                <w:sz w:val="22"/>
              </w:rPr>
              <w:t>Biocrude yield fraction</w:t>
            </w:r>
          </w:p>
        </w:tc>
        <w:tc>
          <w:tcPr>
            <w:tcW w:type="dxa" w:w="850"/>
            <w:shd w:fill="EAF0FB" w:color="auto" w:val="clear"/>
          </w:tcPr>
          <w:p>
            <w:r/>
            <w:r>
              <w:rPr>
                <w:rFonts w:ascii="Times New Roman" w:hAnsi="Times New Roman"/>
                <w:b w:val="0"/>
                <w:i w:val="0"/>
                <w:sz w:val="22"/>
              </w:rPr>
              <w:t>-</w:t>
            </w:r>
          </w:p>
        </w:tc>
        <w:tc>
          <w:tcPr>
            <w:tcW w:type="dxa" w:w="1134"/>
            <w:shd w:fill="EAF0FB" w:color="auto" w:val="clear"/>
          </w:tcPr>
          <w:p>
            <w:r/>
            <w:r>
              <w:rPr>
                <w:rFonts w:ascii="Times New Roman" w:hAnsi="Times New Roman"/>
                <w:b w:val="0"/>
                <w:i w:val="0"/>
                <w:sz w:val="22"/>
              </w:rPr>
              <w:t>0.35</w:t>
            </w:r>
          </w:p>
        </w:tc>
        <w:tc>
          <w:tcPr>
            <w:tcW w:type="dxa" w:w="3685"/>
            <w:shd w:fill="EAF0FB" w:color="auto" w:val="clear"/>
          </w:tcPr>
          <w:p>
            <w:r/>
            <w:r>
              <w:rPr>
                <w:rFonts w:ascii="Times New Roman" w:hAnsi="Times New Roman"/>
                <w:b w:val="0"/>
                <w:i w:val="0"/>
                <w:sz w:val="22"/>
              </w:rPr>
              <w:t>Mass fraction of DAF feed converted to biocrude oil product</w:t>
            </w:r>
          </w:p>
        </w:tc>
      </w:tr>
      <w:tr>
        <w:tc>
          <w:tcPr>
            <w:tcW w:type="dxa" w:w="2835"/>
            <w:shd w:fill="FFFFFF" w:color="auto" w:val="clear"/>
          </w:tcPr>
          <w:p>
            <w:r/>
            <w:r>
              <w:rPr>
                <w:rFonts w:ascii="Times New Roman" w:hAnsi="Times New Roman"/>
                <w:b w:val="0"/>
                <w:i w:val="0"/>
                <w:sz w:val="22"/>
              </w:rPr>
              <w:t>Char yield fraction</w:t>
            </w:r>
          </w:p>
        </w:tc>
        <w:tc>
          <w:tcPr>
            <w:tcW w:type="dxa" w:w="850"/>
            <w:shd w:fill="FFFFFF" w:color="auto" w:val="clear"/>
          </w:tcPr>
          <w:p>
            <w:r/>
            <w:r>
              <w:rPr>
                <w:rFonts w:ascii="Times New Roman" w:hAnsi="Times New Roman"/>
                <w:b w:val="0"/>
                <w:i w:val="0"/>
                <w:sz w:val="22"/>
              </w:rPr>
              <w:t>-</w:t>
            </w:r>
          </w:p>
        </w:tc>
        <w:tc>
          <w:tcPr>
            <w:tcW w:type="dxa" w:w="1134"/>
            <w:shd w:fill="FFFFFF" w:color="auto" w:val="clear"/>
          </w:tcPr>
          <w:p>
            <w:r/>
            <w:r>
              <w:rPr>
                <w:rFonts w:ascii="Times New Roman" w:hAnsi="Times New Roman"/>
                <w:b w:val="0"/>
                <w:i w:val="0"/>
                <w:sz w:val="22"/>
              </w:rPr>
              <w:t>0.10</w:t>
            </w:r>
          </w:p>
        </w:tc>
        <w:tc>
          <w:tcPr>
            <w:tcW w:type="dxa" w:w="3685"/>
            <w:shd w:fill="FFFFFF" w:color="auto" w:val="clear"/>
          </w:tcPr>
          <w:p>
            <w:r/>
            <w:r>
              <w:rPr>
                <w:rFonts w:ascii="Times New Roman" w:hAnsi="Times New Roman"/>
                <w:b w:val="0"/>
                <w:i w:val="0"/>
                <w:sz w:val="22"/>
              </w:rPr>
              <w:t>Mass fraction converted to solid char by-product</w:t>
            </w:r>
          </w:p>
        </w:tc>
      </w:tr>
      <w:tr>
        <w:tc>
          <w:tcPr>
            <w:tcW w:type="dxa" w:w="2835"/>
            <w:shd w:fill="EAF0FB" w:color="auto" w:val="clear"/>
          </w:tcPr>
          <w:p>
            <w:r/>
            <w:r>
              <w:rPr>
                <w:rFonts w:ascii="Times New Roman" w:hAnsi="Times New Roman"/>
                <w:b w:val="0"/>
                <w:i w:val="0"/>
                <w:sz w:val="22"/>
              </w:rPr>
              <w:t>Aqueous phase yield fraction</w:t>
            </w:r>
          </w:p>
        </w:tc>
        <w:tc>
          <w:tcPr>
            <w:tcW w:type="dxa" w:w="850"/>
            <w:shd w:fill="EAF0FB" w:color="auto" w:val="clear"/>
          </w:tcPr>
          <w:p>
            <w:r/>
            <w:r>
              <w:rPr>
                <w:rFonts w:ascii="Times New Roman" w:hAnsi="Times New Roman"/>
                <w:b w:val="0"/>
                <w:i w:val="0"/>
                <w:sz w:val="22"/>
              </w:rPr>
              <w:t>-</w:t>
            </w:r>
          </w:p>
        </w:tc>
        <w:tc>
          <w:tcPr>
            <w:tcW w:type="dxa" w:w="1134"/>
            <w:shd w:fill="EAF0FB" w:color="auto" w:val="clear"/>
          </w:tcPr>
          <w:p>
            <w:r/>
            <w:r>
              <w:rPr>
                <w:rFonts w:ascii="Times New Roman" w:hAnsi="Times New Roman"/>
                <w:b w:val="0"/>
                <w:i w:val="0"/>
                <w:sz w:val="22"/>
              </w:rPr>
              <w:t>0.40</w:t>
            </w:r>
          </w:p>
        </w:tc>
        <w:tc>
          <w:tcPr>
            <w:tcW w:type="dxa" w:w="3685"/>
            <w:shd w:fill="EAF0FB" w:color="auto" w:val="clear"/>
          </w:tcPr>
          <w:p>
            <w:r/>
            <w:r>
              <w:rPr>
                <w:rFonts w:ascii="Times New Roman" w:hAnsi="Times New Roman"/>
                <w:b w:val="0"/>
                <w:i w:val="0"/>
                <w:sz w:val="22"/>
              </w:rPr>
              <w:t>Mass fraction reporting to the aqueous by-product phase</w:t>
            </w:r>
          </w:p>
        </w:tc>
      </w:tr>
      <w:tr>
        <w:tc>
          <w:tcPr>
            <w:tcW w:type="dxa" w:w="2835"/>
            <w:shd w:fill="FFFFFF" w:color="auto" w:val="clear"/>
          </w:tcPr>
          <w:p>
            <w:r/>
            <w:r>
              <w:rPr>
                <w:rFonts w:ascii="Times New Roman" w:hAnsi="Times New Roman"/>
                <w:b w:val="0"/>
                <w:i w:val="0"/>
                <w:sz w:val="22"/>
              </w:rPr>
              <w:t>Gas product yield fraction</w:t>
            </w:r>
          </w:p>
        </w:tc>
        <w:tc>
          <w:tcPr>
            <w:tcW w:type="dxa" w:w="850"/>
            <w:shd w:fill="FFFFFF" w:color="auto" w:val="clear"/>
          </w:tcPr>
          <w:p>
            <w:r/>
            <w:r>
              <w:rPr>
                <w:rFonts w:ascii="Times New Roman" w:hAnsi="Times New Roman"/>
                <w:b w:val="0"/>
                <w:i w:val="0"/>
                <w:sz w:val="22"/>
              </w:rPr>
              <w:t>-</w:t>
            </w:r>
          </w:p>
        </w:tc>
        <w:tc>
          <w:tcPr>
            <w:tcW w:type="dxa" w:w="1134"/>
            <w:shd w:fill="FFFFFF" w:color="auto" w:val="clear"/>
          </w:tcPr>
          <w:p>
            <w:r/>
            <w:r>
              <w:rPr>
                <w:rFonts w:ascii="Times New Roman" w:hAnsi="Times New Roman"/>
                <w:b w:val="0"/>
                <w:i w:val="0"/>
                <w:sz w:val="22"/>
              </w:rPr>
              <w:t>0.15</w:t>
            </w:r>
          </w:p>
        </w:tc>
        <w:tc>
          <w:tcPr>
            <w:tcW w:type="dxa" w:w="3685"/>
            <w:shd w:fill="FFFFFF" w:color="auto" w:val="clear"/>
          </w:tcPr>
          <w:p>
            <w:r/>
            <w:r>
              <w:rPr>
                <w:rFonts w:ascii="Times New Roman" w:hAnsi="Times New Roman"/>
                <w:b w:val="0"/>
                <w:i w:val="0"/>
                <w:sz w:val="22"/>
              </w:rPr>
              <w:t>Mass fraction released as non-condensable gas; sum of four yield fractions must equal 1.0</w:t>
            </w:r>
          </w:p>
        </w:tc>
      </w:tr>
      <w:tr>
        <w:tc>
          <w:tcPr>
            <w:tcW w:type="dxa" w:w="2835"/>
            <w:shd w:fill="EAF0FB" w:color="auto" w:val="clear"/>
          </w:tcPr>
          <w:p>
            <w:r/>
            <w:r>
              <w:rPr>
                <w:rFonts w:ascii="Times New Roman" w:hAnsi="Times New Roman"/>
                <w:b w:val="0"/>
                <w:i w:val="0"/>
                <w:sz w:val="22"/>
              </w:rPr>
              <w:t>Reaction temperature</w:t>
            </w:r>
          </w:p>
        </w:tc>
        <w:tc>
          <w:tcPr>
            <w:tcW w:type="dxa" w:w="850"/>
            <w:shd w:fill="EAF0FB" w:color="auto" w:val="clear"/>
          </w:tcPr>
          <w:p>
            <w:r/>
            <w:r>
              <w:rPr>
                <w:rFonts w:ascii="Times New Roman" w:hAnsi="Times New Roman"/>
                <w:b w:val="0"/>
                <w:i w:val="0"/>
                <w:sz w:val="22"/>
              </w:rPr>
              <w:t>C</w:t>
            </w:r>
          </w:p>
        </w:tc>
        <w:tc>
          <w:tcPr>
            <w:tcW w:type="dxa" w:w="1134"/>
            <w:shd w:fill="EAF0FB" w:color="auto" w:val="clear"/>
          </w:tcPr>
          <w:p>
            <w:r/>
            <w:r>
              <w:rPr>
                <w:rFonts w:ascii="Times New Roman" w:hAnsi="Times New Roman"/>
                <w:b w:val="0"/>
                <w:i w:val="0"/>
                <w:sz w:val="22"/>
              </w:rPr>
              <w:t>340</w:t>
            </w:r>
          </w:p>
        </w:tc>
        <w:tc>
          <w:tcPr>
            <w:tcW w:type="dxa" w:w="3685"/>
            <w:shd w:fill="EAF0FB" w:color="auto" w:val="clear"/>
          </w:tcPr>
          <w:p>
            <w:r/>
            <w:r>
              <w:rPr>
                <w:rFonts w:ascii="Times New Roman" w:hAnsi="Times New Roman"/>
                <w:b w:val="0"/>
                <w:i w:val="0"/>
                <w:sz w:val="22"/>
              </w:rPr>
              <w:t>HTL reactor operating temperature; 280-370 C range for food waste</w:t>
            </w:r>
          </w:p>
        </w:tc>
      </w:tr>
      <w:tr>
        <w:tc>
          <w:tcPr>
            <w:tcW w:type="dxa" w:w="2835"/>
            <w:shd w:fill="FFFFFF" w:color="auto" w:val="clear"/>
          </w:tcPr>
          <w:p>
            <w:r/>
            <w:r>
              <w:rPr>
                <w:rFonts w:ascii="Times New Roman" w:hAnsi="Times New Roman"/>
                <w:b w:val="0"/>
                <w:i w:val="0"/>
                <w:sz w:val="22"/>
              </w:rPr>
              <w:t>Residence time</w:t>
            </w:r>
          </w:p>
        </w:tc>
        <w:tc>
          <w:tcPr>
            <w:tcW w:type="dxa" w:w="850"/>
            <w:shd w:fill="FFFFFF" w:color="auto" w:val="clear"/>
          </w:tcPr>
          <w:p>
            <w:r/>
            <w:r>
              <w:rPr>
                <w:rFonts w:ascii="Times New Roman" w:hAnsi="Times New Roman"/>
                <w:b w:val="0"/>
                <w:i w:val="0"/>
                <w:sz w:val="22"/>
              </w:rPr>
              <w:t>min</w:t>
            </w:r>
          </w:p>
        </w:tc>
        <w:tc>
          <w:tcPr>
            <w:tcW w:type="dxa" w:w="1134"/>
            <w:shd w:fill="FFFFFF" w:color="auto" w:val="clear"/>
          </w:tcPr>
          <w:p>
            <w:r/>
            <w:r>
              <w:rPr>
                <w:rFonts w:ascii="Times New Roman" w:hAnsi="Times New Roman"/>
                <w:b w:val="0"/>
                <w:i w:val="0"/>
                <w:sz w:val="22"/>
              </w:rPr>
              <w:t>60</w:t>
            </w:r>
          </w:p>
        </w:tc>
        <w:tc>
          <w:tcPr>
            <w:tcW w:type="dxa" w:w="3685"/>
            <w:shd w:fill="FFFFFF" w:color="auto" w:val="clear"/>
          </w:tcPr>
          <w:p>
            <w:r/>
            <w:r>
              <w:rPr>
                <w:rFonts w:ascii="Times New Roman" w:hAnsi="Times New Roman"/>
                <w:b w:val="0"/>
                <w:i w:val="0"/>
                <w:sz w:val="22"/>
              </w:rPr>
              <w:t>Mean residence time in the HTL reactor</w:t>
            </w:r>
          </w:p>
        </w:tc>
      </w:tr>
      <w:tr>
        <w:tc>
          <w:tcPr>
            <w:tcW w:type="dxa" w:w="2835"/>
            <w:shd w:fill="EAF0FB" w:color="auto" w:val="clear"/>
          </w:tcPr>
          <w:p>
            <w:r/>
            <w:r>
              <w:rPr>
                <w:rFonts w:ascii="Times New Roman" w:hAnsi="Times New Roman"/>
                <w:b w:val="0"/>
                <w:i w:val="0"/>
                <w:sz w:val="22"/>
              </w:rPr>
              <w:t>Dry solid loading</w:t>
            </w:r>
          </w:p>
        </w:tc>
        <w:tc>
          <w:tcPr>
            <w:tcW w:type="dxa" w:w="850"/>
            <w:shd w:fill="EAF0FB" w:color="auto" w:val="clear"/>
          </w:tcPr>
          <w:p>
            <w:r/>
            <w:r>
              <w:rPr>
                <w:rFonts w:ascii="Times New Roman" w:hAnsi="Times New Roman"/>
                <w:b w:val="0"/>
                <w:i w:val="0"/>
                <w:sz w:val="22"/>
              </w:rPr>
              <w:t>%</w:t>
            </w:r>
          </w:p>
        </w:tc>
        <w:tc>
          <w:tcPr>
            <w:tcW w:type="dxa" w:w="1134"/>
            <w:shd w:fill="EAF0FB" w:color="auto" w:val="clear"/>
          </w:tcPr>
          <w:p>
            <w:r/>
            <w:r>
              <w:rPr>
                <w:rFonts w:ascii="Times New Roman" w:hAnsi="Times New Roman"/>
                <w:b w:val="0"/>
                <w:i w:val="0"/>
                <w:sz w:val="22"/>
              </w:rPr>
              <w:t>7.0</w:t>
            </w:r>
          </w:p>
        </w:tc>
        <w:tc>
          <w:tcPr>
            <w:tcW w:type="dxa" w:w="3685"/>
            <w:shd w:fill="EAF0FB" w:color="auto" w:val="clear"/>
          </w:tcPr>
          <w:p>
            <w:r/>
            <w:r>
              <w:rPr>
                <w:rFonts w:ascii="Times New Roman" w:hAnsi="Times New Roman"/>
                <w:b w:val="0"/>
                <w:i w:val="0"/>
                <w:sz w:val="22"/>
              </w:rPr>
              <w:t>Mass fraction of dry solids in the feed slurry entering the reactor</w:t>
            </w:r>
          </w:p>
        </w:tc>
      </w:tr>
    </w:tbl>
    <w:p/>
    <w:p>
      <w:pPr>
        <w:pStyle w:val="Heading2"/>
        <w:spacing w:before="240" w:after="80"/>
      </w:pPr>
      <w:r>
        <w:rPr>
          <w:rFonts w:ascii="Times New Roman" w:hAnsi="Times New Roman"/>
          <w:b/>
          <w:color w:val="1F497D"/>
          <w:sz w:val="26"/>
        </w:rPr>
        <w:t>6.2  Anaerobic Digestion (AND)</w:t>
      </w:r>
    </w:p>
    <w:tbl>
      <w:tblPr>
        <w:tblStyle w:val="TableGrid"/>
        <w:tblW w:type="auto" w:w="0"/>
        <w:tblLook w:firstColumn="1" w:firstRow="1" w:lastColumn="0" w:lastRow="0" w:noHBand="0" w:noVBand="1" w:val="04A0"/>
      </w:tblPr>
      <w:tblGrid>
        <w:gridCol w:w="2158"/>
        <w:gridCol w:w="2158"/>
        <w:gridCol w:w="2158"/>
        <w:gridCol w:w="2158"/>
      </w:tblGrid>
      <w:tr>
        <w:tc>
          <w:tcPr>
            <w:tcW w:type="dxa" w:w="3118"/>
            <w:shd w:fill="003366" w:color="auto" w:val="clear"/>
          </w:tcPr>
          <w:p>
            <w:pPr>
              <w:jc w:val="center"/>
            </w:pPr>
            <w:r/>
            <w:r>
              <w:rPr>
                <w:rFonts w:ascii="Times New Roman" w:hAnsi="Times New Roman"/>
                <w:b/>
                <w:i w:val="0"/>
                <w:color w:val="FFFFFF"/>
                <w:sz w:val="22"/>
              </w:rPr>
              <w:t>Parameter</w:t>
            </w:r>
          </w:p>
        </w:tc>
        <w:tc>
          <w:tcPr>
            <w:tcW w:type="dxa" w:w="1417"/>
            <w:shd w:fill="003366" w:color="auto" w:val="clear"/>
          </w:tcPr>
          <w:p>
            <w:pPr>
              <w:jc w:val="center"/>
            </w:pPr>
            <w:r/>
            <w:r>
              <w:rPr>
                <w:rFonts w:ascii="Times New Roman" w:hAnsi="Times New Roman"/>
                <w:b/>
                <w:i w:val="0"/>
                <w:color w:val="FFFFFF"/>
                <w:sz w:val="22"/>
              </w:rPr>
              <w:t>Unit</w:t>
            </w:r>
          </w:p>
        </w:tc>
        <w:tc>
          <w:tcPr>
            <w:tcW w:type="dxa" w:w="1134"/>
            <w:shd w:fill="003366" w:color="auto" w:val="clear"/>
          </w:tcPr>
          <w:p>
            <w:pPr>
              <w:jc w:val="center"/>
            </w:pPr>
            <w:r/>
            <w:r>
              <w:rPr>
                <w:rFonts w:ascii="Times New Roman" w:hAnsi="Times New Roman"/>
                <w:b/>
                <w:i w:val="0"/>
                <w:color w:val="FFFFFF"/>
                <w:sz w:val="22"/>
              </w:rPr>
              <w:t>Default</w:t>
            </w:r>
          </w:p>
        </w:tc>
        <w:tc>
          <w:tcPr>
            <w:tcW w:type="dxa" w:w="2835"/>
            <w:shd w:fill="003366" w:color="auto" w:val="clear"/>
          </w:tcPr>
          <w:p>
            <w:pPr>
              <w:jc w:val="center"/>
            </w:pPr>
            <w:r/>
            <w:r>
              <w:rPr>
                <w:rFonts w:ascii="Times New Roman" w:hAnsi="Times New Roman"/>
                <w:b/>
                <w:i w:val="0"/>
                <w:color w:val="FFFFFF"/>
                <w:sz w:val="22"/>
              </w:rPr>
              <w:t>Description</w:t>
            </w:r>
          </w:p>
        </w:tc>
      </w:tr>
      <w:tr>
        <w:tc>
          <w:tcPr>
            <w:tcW w:type="dxa" w:w="3118"/>
            <w:shd w:fill="EAF0FB" w:color="auto" w:val="clear"/>
          </w:tcPr>
          <w:p>
            <w:r/>
            <w:r>
              <w:rPr>
                <w:rFonts w:ascii="Times New Roman" w:hAnsi="Times New Roman"/>
                <w:b w:val="0"/>
                <w:i w:val="0"/>
                <w:sz w:val="22"/>
              </w:rPr>
              <w:t>Biochemical methane potential (BMP)</w:t>
            </w:r>
          </w:p>
        </w:tc>
        <w:tc>
          <w:tcPr>
            <w:tcW w:type="dxa" w:w="1417"/>
            <w:shd w:fill="EAF0FB" w:color="auto" w:val="clear"/>
          </w:tcPr>
          <w:p>
            <w:r/>
            <w:r>
              <w:rPr>
                <w:rFonts w:ascii="Times New Roman" w:hAnsi="Times New Roman"/>
                <w:b w:val="0"/>
                <w:i w:val="0"/>
                <w:sz w:val="22"/>
              </w:rPr>
              <w:t>mL CH4/g VS</w:t>
            </w:r>
          </w:p>
        </w:tc>
        <w:tc>
          <w:tcPr>
            <w:tcW w:type="dxa" w:w="1134"/>
            <w:shd w:fill="EAF0FB" w:color="auto" w:val="clear"/>
          </w:tcPr>
          <w:p>
            <w:r/>
            <w:r>
              <w:rPr>
                <w:rFonts w:ascii="Times New Roman" w:hAnsi="Times New Roman"/>
                <w:b w:val="0"/>
                <w:i w:val="0"/>
                <w:sz w:val="22"/>
              </w:rPr>
              <w:t>400</w:t>
            </w:r>
          </w:p>
        </w:tc>
        <w:tc>
          <w:tcPr>
            <w:tcW w:type="dxa" w:w="2835"/>
            <w:shd w:fill="EAF0FB" w:color="auto" w:val="clear"/>
          </w:tcPr>
          <w:p>
            <w:r/>
            <w:r>
              <w:rPr>
                <w:rFonts w:ascii="Times New Roman" w:hAnsi="Times New Roman"/>
                <w:b w:val="0"/>
                <w:i w:val="0"/>
                <w:sz w:val="22"/>
              </w:rPr>
              <w:t>Maximum specific methane yield under batch test conditions; represents the biodegradability of the VS fraction. Literature range for food waste: 357-490 mL CH4/g VS.</w:t>
            </w:r>
          </w:p>
        </w:tc>
      </w:tr>
      <w:tr>
        <w:tc>
          <w:tcPr>
            <w:tcW w:type="dxa" w:w="3118"/>
            <w:shd w:fill="FFFFFF" w:color="auto" w:val="clear"/>
          </w:tcPr>
          <w:p>
            <w:r/>
            <w:r>
              <w:rPr>
                <w:rFonts w:ascii="Times New Roman" w:hAnsi="Times New Roman"/>
                <w:b w:val="0"/>
                <w:i w:val="0"/>
                <w:sz w:val="22"/>
              </w:rPr>
              <w:t>VS degradation efficiency</w:t>
            </w:r>
          </w:p>
        </w:tc>
        <w:tc>
          <w:tcPr>
            <w:tcW w:type="dxa" w:w="1417"/>
            <w:shd w:fill="FFFFFF" w:color="auto" w:val="clear"/>
          </w:tcPr>
          <w:p>
            <w:r/>
            <w:r>
              <w:rPr>
                <w:rFonts w:ascii="Times New Roman" w:hAnsi="Times New Roman"/>
                <w:b w:val="0"/>
                <w:i w:val="0"/>
                <w:sz w:val="22"/>
              </w:rPr>
              <w:t>-</w:t>
            </w:r>
          </w:p>
        </w:tc>
        <w:tc>
          <w:tcPr>
            <w:tcW w:type="dxa" w:w="1134"/>
            <w:shd w:fill="FFFFFF" w:color="auto" w:val="clear"/>
          </w:tcPr>
          <w:p>
            <w:r/>
            <w:r>
              <w:rPr>
                <w:rFonts w:ascii="Times New Roman" w:hAnsi="Times New Roman"/>
                <w:b w:val="0"/>
                <w:i w:val="0"/>
                <w:sz w:val="22"/>
              </w:rPr>
              <w:t>0.85</w:t>
            </w:r>
          </w:p>
        </w:tc>
        <w:tc>
          <w:tcPr>
            <w:tcW w:type="dxa" w:w="2835"/>
            <w:shd w:fill="FFFFFF" w:color="auto" w:val="clear"/>
          </w:tcPr>
          <w:p>
            <w:r/>
            <w:r>
              <w:rPr>
                <w:rFonts w:ascii="Times New Roman" w:hAnsi="Times New Roman"/>
                <w:b w:val="0"/>
                <w:i w:val="0"/>
                <w:sz w:val="22"/>
              </w:rPr>
              <w:t>Fraction of BMP achieved in a continuous digester; accounts for kinetic limitations relative to the batch BMP assay</w:t>
            </w:r>
          </w:p>
        </w:tc>
      </w:tr>
      <w:tr>
        <w:tc>
          <w:tcPr>
            <w:tcW w:type="dxa" w:w="3118"/>
            <w:shd w:fill="EAF0FB" w:color="auto" w:val="clear"/>
          </w:tcPr>
          <w:p>
            <w:r/>
            <w:r>
              <w:rPr>
                <w:rFonts w:ascii="Times New Roman" w:hAnsi="Times New Roman"/>
                <w:b w:val="0"/>
                <w:i w:val="0"/>
                <w:sz w:val="22"/>
              </w:rPr>
              <w:t>Biogas capture efficiency</w:t>
            </w:r>
          </w:p>
        </w:tc>
        <w:tc>
          <w:tcPr>
            <w:tcW w:type="dxa" w:w="1417"/>
            <w:shd w:fill="EAF0FB" w:color="auto" w:val="clear"/>
          </w:tcPr>
          <w:p>
            <w:r/>
            <w:r>
              <w:rPr>
                <w:rFonts w:ascii="Times New Roman" w:hAnsi="Times New Roman"/>
                <w:b w:val="0"/>
                <w:i w:val="0"/>
                <w:sz w:val="22"/>
              </w:rPr>
              <w:t>-</w:t>
            </w:r>
          </w:p>
        </w:tc>
        <w:tc>
          <w:tcPr>
            <w:tcW w:type="dxa" w:w="1134"/>
            <w:shd w:fill="EAF0FB" w:color="auto" w:val="clear"/>
          </w:tcPr>
          <w:p>
            <w:r/>
            <w:r>
              <w:rPr>
                <w:rFonts w:ascii="Times New Roman" w:hAnsi="Times New Roman"/>
                <w:b w:val="0"/>
                <w:i w:val="0"/>
                <w:sz w:val="22"/>
              </w:rPr>
              <w:t>0.98</w:t>
            </w:r>
          </w:p>
        </w:tc>
        <w:tc>
          <w:tcPr>
            <w:tcW w:type="dxa" w:w="2835"/>
            <w:shd w:fill="EAF0FB" w:color="auto" w:val="clear"/>
          </w:tcPr>
          <w:p>
            <w:r/>
            <w:r>
              <w:rPr>
                <w:rFonts w:ascii="Times New Roman" w:hAnsi="Times New Roman"/>
                <w:b w:val="0"/>
                <w:i w:val="0"/>
                <w:sz w:val="22"/>
              </w:rPr>
              <w:t>Fraction of produced biogas successfully collected</w:t>
            </w:r>
          </w:p>
        </w:tc>
      </w:tr>
      <w:tr>
        <w:tc>
          <w:tcPr>
            <w:tcW w:type="dxa" w:w="3118"/>
            <w:shd w:fill="FFFFFF" w:color="auto" w:val="clear"/>
          </w:tcPr>
          <w:p>
            <w:r/>
            <w:r>
              <w:rPr>
                <w:rFonts w:ascii="Times New Roman" w:hAnsi="Times New Roman"/>
                <w:b w:val="0"/>
                <w:i w:val="0"/>
                <w:sz w:val="22"/>
              </w:rPr>
              <w:t>Other organics degradation fraction</w:t>
            </w:r>
          </w:p>
        </w:tc>
        <w:tc>
          <w:tcPr>
            <w:tcW w:type="dxa" w:w="1417"/>
            <w:shd w:fill="FFFFFF" w:color="auto" w:val="clear"/>
          </w:tcPr>
          <w:p>
            <w:r/>
            <w:r>
              <w:rPr>
                <w:rFonts w:ascii="Times New Roman" w:hAnsi="Times New Roman"/>
                <w:b w:val="0"/>
                <w:i w:val="0"/>
                <w:sz w:val="22"/>
              </w:rPr>
              <w:t>-</w:t>
            </w:r>
          </w:p>
        </w:tc>
        <w:tc>
          <w:tcPr>
            <w:tcW w:type="dxa" w:w="1134"/>
            <w:shd w:fill="FFFFFF" w:color="auto" w:val="clear"/>
          </w:tcPr>
          <w:p>
            <w:r/>
            <w:r>
              <w:rPr>
                <w:rFonts w:ascii="Times New Roman" w:hAnsi="Times New Roman"/>
                <w:b w:val="0"/>
                <w:i w:val="0"/>
                <w:sz w:val="22"/>
              </w:rPr>
              <w:t>0.30</w:t>
            </w:r>
          </w:p>
        </w:tc>
        <w:tc>
          <w:tcPr>
            <w:tcW w:type="dxa" w:w="2835"/>
            <w:shd w:fill="FFFFFF" w:color="auto" w:val="clear"/>
          </w:tcPr>
          <w:p>
            <w:r/>
            <w:r>
              <w:rPr>
                <w:rFonts w:ascii="Times New Roman" w:hAnsi="Times New Roman"/>
                <w:b w:val="0"/>
                <w:i w:val="0"/>
                <w:sz w:val="22"/>
              </w:rPr>
              <w:t>Fraction of OTH component degraded in the digester</w:t>
            </w:r>
          </w:p>
        </w:tc>
      </w:tr>
      <w:tr>
        <w:tc>
          <w:tcPr>
            <w:tcW w:type="dxa" w:w="3118"/>
            <w:shd w:fill="EAF0FB" w:color="auto" w:val="clear"/>
          </w:tcPr>
          <w:p>
            <w:r/>
            <w:r>
              <w:rPr>
                <w:rFonts w:ascii="Times New Roman" w:hAnsi="Times New Roman"/>
                <w:b w:val="0"/>
                <w:i w:val="0"/>
                <w:sz w:val="22"/>
              </w:rPr>
              <w:t>Hydraulic retention time (HRT)</w:t>
            </w:r>
          </w:p>
        </w:tc>
        <w:tc>
          <w:tcPr>
            <w:tcW w:type="dxa" w:w="1417"/>
            <w:shd w:fill="EAF0FB" w:color="auto" w:val="clear"/>
          </w:tcPr>
          <w:p>
            <w:r/>
            <w:r>
              <w:rPr>
                <w:rFonts w:ascii="Times New Roman" w:hAnsi="Times New Roman"/>
                <w:b w:val="0"/>
                <w:i w:val="0"/>
                <w:sz w:val="22"/>
              </w:rPr>
              <w:t>hr</w:t>
            </w:r>
          </w:p>
        </w:tc>
        <w:tc>
          <w:tcPr>
            <w:tcW w:type="dxa" w:w="1134"/>
            <w:shd w:fill="EAF0FB" w:color="auto" w:val="clear"/>
          </w:tcPr>
          <w:p>
            <w:r/>
            <w:r>
              <w:rPr>
                <w:rFonts w:ascii="Times New Roman" w:hAnsi="Times New Roman"/>
                <w:b w:val="0"/>
                <w:i w:val="0"/>
                <w:sz w:val="22"/>
              </w:rPr>
              <w:t>720</w:t>
            </w:r>
          </w:p>
        </w:tc>
        <w:tc>
          <w:tcPr>
            <w:tcW w:type="dxa" w:w="2835"/>
            <w:shd w:fill="EAF0FB" w:color="auto" w:val="clear"/>
          </w:tcPr>
          <w:p>
            <w:r/>
            <w:r>
              <w:rPr>
                <w:rFonts w:ascii="Times New Roman" w:hAnsi="Times New Roman"/>
                <w:b w:val="0"/>
                <w:i w:val="0"/>
                <w:sz w:val="22"/>
              </w:rPr>
              <w:t>Mean residence time of feed in the digester (30 days default)</w:t>
            </w:r>
          </w:p>
        </w:tc>
      </w:tr>
      <w:tr>
        <w:tc>
          <w:tcPr>
            <w:tcW w:type="dxa" w:w="3118"/>
            <w:shd w:fill="FFFFFF" w:color="auto" w:val="clear"/>
          </w:tcPr>
          <w:p>
            <w:r/>
            <w:r>
              <w:rPr>
                <w:rFonts w:ascii="Times New Roman" w:hAnsi="Times New Roman"/>
                <w:b w:val="0"/>
                <w:i w:val="0"/>
                <w:sz w:val="22"/>
              </w:rPr>
              <w:t>Organic loading rate (OLR)</w:t>
            </w:r>
          </w:p>
        </w:tc>
        <w:tc>
          <w:tcPr>
            <w:tcW w:type="dxa" w:w="1417"/>
            <w:shd w:fill="FFFFFF" w:color="auto" w:val="clear"/>
          </w:tcPr>
          <w:p>
            <w:r/>
            <w:r>
              <w:rPr>
                <w:rFonts w:ascii="Times New Roman" w:hAnsi="Times New Roman"/>
                <w:b w:val="0"/>
                <w:i w:val="0"/>
                <w:sz w:val="22"/>
              </w:rPr>
              <w:t>kg VS/m3/day</w:t>
            </w:r>
          </w:p>
        </w:tc>
        <w:tc>
          <w:tcPr>
            <w:tcW w:type="dxa" w:w="1134"/>
            <w:shd w:fill="FFFFFF" w:color="auto" w:val="clear"/>
          </w:tcPr>
          <w:p>
            <w:r/>
            <w:r>
              <w:rPr>
                <w:rFonts w:ascii="Times New Roman" w:hAnsi="Times New Roman"/>
                <w:b w:val="0"/>
                <w:i w:val="0"/>
                <w:sz w:val="22"/>
              </w:rPr>
              <w:t>2.5</w:t>
            </w:r>
          </w:p>
        </w:tc>
        <w:tc>
          <w:tcPr>
            <w:tcW w:type="dxa" w:w="2835"/>
            <w:shd w:fill="FFFFFF" w:color="auto" w:val="clear"/>
          </w:tcPr>
          <w:p>
            <w:r/>
            <w:r>
              <w:rPr>
                <w:rFonts w:ascii="Times New Roman" w:hAnsi="Times New Roman"/>
                <w:b w:val="0"/>
                <w:i w:val="0"/>
                <w:sz w:val="22"/>
              </w:rPr>
              <w:t>Mass of volatile solids fed per unit reactor volume per day; determines reactor volume</w:t>
            </w:r>
          </w:p>
        </w:tc>
      </w:tr>
      <w:tr>
        <w:tc>
          <w:tcPr>
            <w:tcW w:type="dxa" w:w="3118"/>
            <w:shd w:fill="EAF0FB" w:color="auto" w:val="clear"/>
          </w:tcPr>
          <w:p>
            <w:r/>
            <w:r>
              <w:rPr>
                <w:rFonts w:ascii="Times New Roman" w:hAnsi="Times New Roman"/>
                <w:b w:val="0"/>
                <w:i w:val="0"/>
                <w:sz w:val="22"/>
              </w:rPr>
              <w:t>Vessel fill fraction</w:t>
            </w:r>
          </w:p>
        </w:tc>
        <w:tc>
          <w:tcPr>
            <w:tcW w:type="dxa" w:w="1417"/>
            <w:shd w:fill="EAF0FB" w:color="auto" w:val="clear"/>
          </w:tcPr>
          <w:p>
            <w:r/>
            <w:r>
              <w:rPr>
                <w:rFonts w:ascii="Times New Roman" w:hAnsi="Times New Roman"/>
                <w:b w:val="0"/>
                <w:i w:val="0"/>
                <w:sz w:val="22"/>
              </w:rPr>
              <w:t>-</w:t>
            </w:r>
          </w:p>
        </w:tc>
        <w:tc>
          <w:tcPr>
            <w:tcW w:type="dxa" w:w="1134"/>
            <w:shd w:fill="EAF0FB" w:color="auto" w:val="clear"/>
          </w:tcPr>
          <w:p>
            <w:r/>
            <w:r>
              <w:rPr>
                <w:rFonts w:ascii="Times New Roman" w:hAnsi="Times New Roman"/>
                <w:b w:val="0"/>
                <w:i w:val="0"/>
                <w:sz w:val="22"/>
              </w:rPr>
              <w:t>0.85</w:t>
            </w:r>
          </w:p>
        </w:tc>
        <w:tc>
          <w:tcPr>
            <w:tcW w:type="dxa" w:w="2835"/>
            <w:shd w:fill="EAF0FB" w:color="auto" w:val="clear"/>
          </w:tcPr>
          <w:p>
            <w:r/>
            <w:r>
              <w:rPr>
                <w:rFonts w:ascii="Times New Roman" w:hAnsi="Times New Roman"/>
                <w:b w:val="0"/>
                <w:i w:val="0"/>
                <w:sz w:val="22"/>
              </w:rPr>
              <w:t>Fraction of the reactor volume available for liquid; accounts for headspace</w:t>
            </w:r>
          </w:p>
        </w:tc>
      </w:tr>
    </w:tbl>
    <w:p/>
    <w:p>
      <w:pPr>
        <w:pStyle w:val="Heading2"/>
        <w:spacing w:before="240" w:after="80"/>
      </w:pPr>
      <w:r>
        <w:rPr>
          <w:rFonts w:ascii="Times New Roman" w:hAnsi="Times New Roman"/>
          <w:b/>
          <w:color w:val="1F497D"/>
          <w:sz w:val="26"/>
        </w:rPr>
        <w:t>6.3  Aerobic Biodigestion (AER)</w:t>
      </w:r>
    </w:p>
    <w:tbl>
      <w:tblPr>
        <w:tblStyle w:val="TableGrid"/>
        <w:tblW w:type="auto" w:w="0"/>
        <w:tblLook w:firstColumn="1" w:firstRow="1" w:lastColumn="0" w:lastRow="0" w:noHBand="0" w:noVBand="1" w:val="04A0"/>
      </w:tblPr>
      <w:tblGrid>
        <w:gridCol w:w="2158"/>
        <w:gridCol w:w="2158"/>
        <w:gridCol w:w="2158"/>
        <w:gridCol w:w="2158"/>
      </w:tblGrid>
      <w:tr>
        <w:tc>
          <w:tcPr>
            <w:tcW w:type="dxa" w:w="3402"/>
            <w:shd w:fill="003366" w:color="auto" w:val="clear"/>
          </w:tcPr>
          <w:p>
            <w:pPr>
              <w:jc w:val="center"/>
            </w:pPr>
            <w:r/>
            <w:r>
              <w:rPr>
                <w:rFonts w:ascii="Times New Roman" w:hAnsi="Times New Roman"/>
                <w:b/>
                <w:i w:val="0"/>
                <w:color w:val="FFFFFF"/>
                <w:sz w:val="22"/>
              </w:rPr>
              <w:t>Parameter</w:t>
            </w:r>
          </w:p>
        </w:tc>
        <w:tc>
          <w:tcPr>
            <w:tcW w:type="dxa" w:w="1134"/>
            <w:shd w:fill="003366" w:color="auto" w:val="clear"/>
          </w:tcPr>
          <w:p>
            <w:pPr>
              <w:jc w:val="center"/>
            </w:pPr>
            <w:r/>
            <w:r>
              <w:rPr>
                <w:rFonts w:ascii="Times New Roman" w:hAnsi="Times New Roman"/>
                <w:b/>
                <w:i w:val="0"/>
                <w:color w:val="FFFFFF"/>
                <w:sz w:val="22"/>
              </w:rPr>
              <w:t>Unit</w:t>
            </w:r>
          </w:p>
        </w:tc>
        <w:tc>
          <w:tcPr>
            <w:tcW w:type="dxa" w:w="1134"/>
            <w:shd w:fill="003366" w:color="auto" w:val="clear"/>
          </w:tcPr>
          <w:p>
            <w:pPr>
              <w:jc w:val="center"/>
            </w:pPr>
            <w:r/>
            <w:r>
              <w:rPr>
                <w:rFonts w:ascii="Times New Roman" w:hAnsi="Times New Roman"/>
                <w:b/>
                <w:i w:val="0"/>
                <w:color w:val="FFFFFF"/>
                <w:sz w:val="22"/>
              </w:rPr>
              <w:t>Default</w:t>
            </w:r>
          </w:p>
        </w:tc>
        <w:tc>
          <w:tcPr>
            <w:tcW w:type="dxa" w:w="2835"/>
            <w:shd w:fill="003366" w:color="auto" w:val="clear"/>
          </w:tcPr>
          <w:p>
            <w:pPr>
              <w:jc w:val="center"/>
            </w:pPr>
            <w:r/>
            <w:r>
              <w:rPr>
                <w:rFonts w:ascii="Times New Roman" w:hAnsi="Times New Roman"/>
                <w:b/>
                <w:i w:val="0"/>
                <w:color w:val="FFFFFF"/>
                <w:sz w:val="22"/>
              </w:rPr>
              <w:t>Description</w:t>
            </w:r>
          </w:p>
        </w:tc>
      </w:tr>
      <w:tr>
        <w:tc>
          <w:tcPr>
            <w:tcW w:type="dxa" w:w="3402"/>
            <w:shd w:fill="EAF0FB" w:color="auto" w:val="clear"/>
          </w:tcPr>
          <w:p>
            <w:r/>
            <w:r>
              <w:rPr>
                <w:rFonts w:ascii="Times New Roman" w:hAnsi="Times New Roman"/>
                <w:b w:val="0"/>
                <w:i w:val="0"/>
                <w:sz w:val="22"/>
              </w:rPr>
              <w:t>Carbohydrate degradation fraction (fdeg_CBH)</w:t>
            </w:r>
          </w:p>
        </w:tc>
        <w:tc>
          <w:tcPr>
            <w:tcW w:type="dxa" w:w="1134"/>
            <w:shd w:fill="EAF0FB" w:color="auto" w:val="clear"/>
          </w:tcPr>
          <w:p>
            <w:r/>
            <w:r>
              <w:rPr>
                <w:rFonts w:ascii="Times New Roman" w:hAnsi="Times New Roman"/>
                <w:b w:val="0"/>
                <w:i w:val="0"/>
                <w:sz w:val="22"/>
              </w:rPr>
              <w:t>-</w:t>
            </w:r>
          </w:p>
        </w:tc>
        <w:tc>
          <w:tcPr>
            <w:tcW w:type="dxa" w:w="1134"/>
            <w:shd w:fill="EAF0FB" w:color="auto" w:val="clear"/>
          </w:tcPr>
          <w:p>
            <w:r/>
            <w:r>
              <w:rPr>
                <w:rFonts w:ascii="Times New Roman" w:hAnsi="Times New Roman"/>
                <w:b w:val="0"/>
                <w:i w:val="0"/>
                <w:sz w:val="22"/>
              </w:rPr>
              <w:t>0.40</w:t>
            </w:r>
          </w:p>
        </w:tc>
        <w:tc>
          <w:tcPr>
            <w:tcW w:type="dxa" w:w="2835"/>
            <w:shd w:fill="EAF0FB" w:color="auto" w:val="clear"/>
          </w:tcPr>
          <w:p>
            <w:r/>
            <w:r>
              <w:rPr>
                <w:rFonts w:ascii="Times New Roman" w:hAnsi="Times New Roman"/>
                <w:b w:val="0"/>
                <w:i w:val="0"/>
                <w:sz w:val="22"/>
              </w:rPr>
              <w:t>Fraction of carbohydrates aerobically degraded to CO2 and H2O</w:t>
            </w:r>
          </w:p>
        </w:tc>
      </w:tr>
      <w:tr>
        <w:tc>
          <w:tcPr>
            <w:tcW w:type="dxa" w:w="3402"/>
            <w:shd w:fill="FFFFFF" w:color="auto" w:val="clear"/>
          </w:tcPr>
          <w:p>
            <w:r/>
            <w:r>
              <w:rPr>
                <w:rFonts w:ascii="Times New Roman" w:hAnsi="Times New Roman"/>
                <w:b w:val="0"/>
                <w:i w:val="0"/>
                <w:sz w:val="22"/>
              </w:rPr>
              <w:t>Protein degradation fraction (fdeg_PRT)</w:t>
            </w:r>
          </w:p>
        </w:tc>
        <w:tc>
          <w:tcPr>
            <w:tcW w:type="dxa" w:w="1134"/>
            <w:shd w:fill="FFFFFF" w:color="auto" w:val="clear"/>
          </w:tcPr>
          <w:p>
            <w:r/>
            <w:r>
              <w:rPr>
                <w:rFonts w:ascii="Times New Roman" w:hAnsi="Times New Roman"/>
                <w:b w:val="0"/>
                <w:i w:val="0"/>
                <w:sz w:val="22"/>
              </w:rPr>
              <w:t>-</w:t>
            </w:r>
          </w:p>
        </w:tc>
        <w:tc>
          <w:tcPr>
            <w:tcW w:type="dxa" w:w="1134"/>
            <w:shd w:fill="FFFFFF" w:color="auto" w:val="clear"/>
          </w:tcPr>
          <w:p>
            <w:r/>
            <w:r>
              <w:rPr>
                <w:rFonts w:ascii="Times New Roman" w:hAnsi="Times New Roman"/>
                <w:b w:val="0"/>
                <w:i w:val="0"/>
                <w:sz w:val="22"/>
              </w:rPr>
              <w:t>0.30</w:t>
            </w:r>
          </w:p>
        </w:tc>
        <w:tc>
          <w:tcPr>
            <w:tcW w:type="dxa" w:w="2835"/>
            <w:shd w:fill="FFFFFF" w:color="auto" w:val="clear"/>
          </w:tcPr>
          <w:p>
            <w:r/>
            <w:r>
              <w:rPr>
                <w:rFonts w:ascii="Times New Roman" w:hAnsi="Times New Roman"/>
                <w:b w:val="0"/>
                <w:i w:val="0"/>
                <w:sz w:val="22"/>
              </w:rPr>
              <w:t>Fraction of protein degraded aerobically</w:t>
            </w:r>
          </w:p>
        </w:tc>
      </w:tr>
      <w:tr>
        <w:tc>
          <w:tcPr>
            <w:tcW w:type="dxa" w:w="3402"/>
            <w:shd w:fill="EAF0FB" w:color="auto" w:val="clear"/>
          </w:tcPr>
          <w:p>
            <w:r/>
            <w:r>
              <w:rPr>
                <w:rFonts w:ascii="Times New Roman" w:hAnsi="Times New Roman"/>
                <w:b w:val="0"/>
                <w:i w:val="0"/>
                <w:sz w:val="22"/>
              </w:rPr>
              <w:t>Fat degradation fraction (fdeg_FAT)</w:t>
            </w:r>
          </w:p>
        </w:tc>
        <w:tc>
          <w:tcPr>
            <w:tcW w:type="dxa" w:w="1134"/>
            <w:shd w:fill="EAF0FB" w:color="auto" w:val="clear"/>
          </w:tcPr>
          <w:p>
            <w:r/>
            <w:r>
              <w:rPr>
                <w:rFonts w:ascii="Times New Roman" w:hAnsi="Times New Roman"/>
                <w:b w:val="0"/>
                <w:i w:val="0"/>
                <w:sz w:val="22"/>
              </w:rPr>
              <w:t>-</w:t>
            </w:r>
          </w:p>
        </w:tc>
        <w:tc>
          <w:tcPr>
            <w:tcW w:type="dxa" w:w="1134"/>
            <w:shd w:fill="EAF0FB" w:color="auto" w:val="clear"/>
          </w:tcPr>
          <w:p>
            <w:r/>
            <w:r>
              <w:rPr>
                <w:rFonts w:ascii="Times New Roman" w:hAnsi="Times New Roman"/>
                <w:b w:val="0"/>
                <w:i w:val="0"/>
                <w:sz w:val="22"/>
              </w:rPr>
              <w:t>0.15</w:t>
            </w:r>
          </w:p>
        </w:tc>
        <w:tc>
          <w:tcPr>
            <w:tcW w:type="dxa" w:w="2835"/>
            <w:shd w:fill="EAF0FB" w:color="auto" w:val="clear"/>
          </w:tcPr>
          <w:p>
            <w:r/>
            <w:r>
              <w:rPr>
                <w:rFonts w:ascii="Times New Roman" w:hAnsi="Times New Roman"/>
                <w:b w:val="0"/>
                <w:i w:val="0"/>
                <w:sz w:val="22"/>
              </w:rPr>
              <w:t>Fraction of fat degraded aerobically</w:t>
            </w:r>
          </w:p>
        </w:tc>
      </w:tr>
      <w:tr>
        <w:tc>
          <w:tcPr>
            <w:tcW w:type="dxa" w:w="3402"/>
            <w:shd w:fill="FFFFFF" w:color="auto" w:val="clear"/>
          </w:tcPr>
          <w:p>
            <w:r/>
            <w:r>
              <w:rPr>
                <w:rFonts w:ascii="Times New Roman" w:hAnsi="Times New Roman"/>
                <w:b w:val="0"/>
                <w:i w:val="0"/>
                <w:sz w:val="22"/>
              </w:rPr>
              <w:t>Other organics degradation (fdeg_OTH)</w:t>
            </w:r>
          </w:p>
        </w:tc>
        <w:tc>
          <w:tcPr>
            <w:tcW w:type="dxa" w:w="1134"/>
            <w:shd w:fill="FFFFFF" w:color="auto" w:val="clear"/>
          </w:tcPr>
          <w:p>
            <w:r/>
            <w:r>
              <w:rPr>
                <w:rFonts w:ascii="Times New Roman" w:hAnsi="Times New Roman"/>
                <w:b w:val="0"/>
                <w:i w:val="0"/>
                <w:sz w:val="22"/>
              </w:rPr>
              <w:t>-</w:t>
            </w:r>
          </w:p>
        </w:tc>
        <w:tc>
          <w:tcPr>
            <w:tcW w:type="dxa" w:w="1134"/>
            <w:shd w:fill="FFFFFF" w:color="auto" w:val="clear"/>
          </w:tcPr>
          <w:p>
            <w:r/>
            <w:r>
              <w:rPr>
                <w:rFonts w:ascii="Times New Roman" w:hAnsi="Times New Roman"/>
                <w:b w:val="0"/>
                <w:i w:val="0"/>
                <w:sz w:val="22"/>
              </w:rPr>
              <w:t>0.20</w:t>
            </w:r>
          </w:p>
        </w:tc>
        <w:tc>
          <w:tcPr>
            <w:tcW w:type="dxa" w:w="2835"/>
            <w:shd w:fill="FFFFFF" w:color="auto" w:val="clear"/>
          </w:tcPr>
          <w:p>
            <w:r/>
            <w:r>
              <w:rPr>
                <w:rFonts w:ascii="Times New Roman" w:hAnsi="Times New Roman"/>
                <w:b w:val="0"/>
                <w:i w:val="0"/>
                <w:sz w:val="22"/>
              </w:rPr>
              <w:t>Fraction of other organics degraded aerobically</w:t>
            </w:r>
          </w:p>
        </w:tc>
      </w:tr>
      <w:tr>
        <w:tc>
          <w:tcPr>
            <w:tcW w:type="dxa" w:w="3402"/>
            <w:shd w:fill="EAF0FB" w:color="auto" w:val="clear"/>
          </w:tcPr>
          <w:p>
            <w:r/>
            <w:r>
              <w:rPr>
                <w:rFonts w:ascii="Times New Roman" w:hAnsi="Times New Roman"/>
                <w:b w:val="0"/>
                <w:i w:val="0"/>
                <w:sz w:val="22"/>
              </w:rPr>
              <w:t>Hydraulic retention time</w:t>
            </w:r>
          </w:p>
        </w:tc>
        <w:tc>
          <w:tcPr>
            <w:tcW w:type="dxa" w:w="1134"/>
            <w:shd w:fill="EAF0FB" w:color="auto" w:val="clear"/>
          </w:tcPr>
          <w:p>
            <w:r/>
            <w:r>
              <w:rPr>
                <w:rFonts w:ascii="Times New Roman" w:hAnsi="Times New Roman"/>
                <w:b w:val="0"/>
                <w:i w:val="0"/>
                <w:sz w:val="22"/>
              </w:rPr>
              <w:t>hr</w:t>
            </w:r>
          </w:p>
        </w:tc>
        <w:tc>
          <w:tcPr>
            <w:tcW w:type="dxa" w:w="1134"/>
            <w:shd w:fill="EAF0FB" w:color="auto" w:val="clear"/>
          </w:tcPr>
          <w:p>
            <w:r/>
            <w:r>
              <w:rPr>
                <w:rFonts w:ascii="Times New Roman" w:hAnsi="Times New Roman"/>
                <w:b w:val="0"/>
                <w:i w:val="0"/>
                <w:sz w:val="22"/>
              </w:rPr>
              <w:t>24</w:t>
            </w:r>
          </w:p>
        </w:tc>
        <w:tc>
          <w:tcPr>
            <w:tcW w:type="dxa" w:w="2835"/>
            <w:shd w:fill="EAF0FB" w:color="auto" w:val="clear"/>
          </w:tcPr>
          <w:p>
            <w:r/>
            <w:r>
              <w:rPr>
                <w:rFonts w:ascii="Times New Roman" w:hAnsi="Times New Roman"/>
                <w:b w:val="0"/>
                <w:i w:val="0"/>
                <w:sz w:val="22"/>
              </w:rPr>
              <w:t>Residence time in the aerobic biodigester</w:t>
            </w:r>
          </w:p>
        </w:tc>
      </w:tr>
      <w:tr>
        <w:tc>
          <w:tcPr>
            <w:tcW w:type="dxa" w:w="3402"/>
            <w:shd w:fill="FFFFFF" w:color="auto" w:val="clear"/>
          </w:tcPr>
          <w:p>
            <w:r/>
            <w:r>
              <w:rPr>
                <w:rFonts w:ascii="Times New Roman" w:hAnsi="Times New Roman"/>
                <w:b w:val="0"/>
                <w:i w:val="0"/>
                <w:sz w:val="22"/>
              </w:rPr>
              <w:t>Water addition ratio</w:t>
            </w:r>
          </w:p>
        </w:tc>
        <w:tc>
          <w:tcPr>
            <w:tcW w:type="dxa" w:w="1134"/>
            <w:shd w:fill="FFFFFF" w:color="auto" w:val="clear"/>
          </w:tcPr>
          <w:p>
            <w:r/>
            <w:r>
              <w:rPr>
                <w:rFonts w:ascii="Times New Roman" w:hAnsi="Times New Roman"/>
                <w:b w:val="0"/>
                <w:i w:val="0"/>
                <w:sz w:val="22"/>
              </w:rPr>
              <w:t>kg/kg dry feed</w:t>
            </w:r>
          </w:p>
        </w:tc>
        <w:tc>
          <w:tcPr>
            <w:tcW w:type="dxa" w:w="1134"/>
            <w:shd w:fill="FFFFFF" w:color="auto" w:val="clear"/>
          </w:tcPr>
          <w:p>
            <w:r/>
            <w:r>
              <w:rPr>
                <w:rFonts w:ascii="Times New Roman" w:hAnsi="Times New Roman"/>
                <w:b w:val="0"/>
                <w:i w:val="0"/>
                <w:sz w:val="22"/>
              </w:rPr>
              <w:t>1.5</w:t>
            </w:r>
          </w:p>
        </w:tc>
        <w:tc>
          <w:tcPr>
            <w:tcW w:type="dxa" w:w="2835"/>
            <w:shd w:fill="FFFFFF" w:color="auto" w:val="clear"/>
          </w:tcPr>
          <w:p>
            <w:r/>
            <w:r>
              <w:rPr>
                <w:rFonts w:ascii="Times New Roman" w:hAnsi="Times New Roman"/>
                <w:b w:val="0"/>
                <w:i w:val="0"/>
                <w:sz w:val="22"/>
              </w:rPr>
              <w:t>Water added to maintain slurry consistency for pumping</w:t>
            </w:r>
          </w:p>
        </w:tc>
      </w:tr>
    </w:tbl>
    <w:p/>
    <w:p>
      <w:pPr>
        <w:pStyle w:val="Heading2"/>
        <w:spacing w:before="240" w:after="80"/>
      </w:pPr>
      <w:r>
        <w:rPr>
          <w:rFonts w:ascii="Times New Roman" w:hAnsi="Times New Roman"/>
          <w:b/>
          <w:color w:val="1F497D"/>
          <w:sz w:val="26"/>
        </w:rPr>
        <w:t>6.4  Enzymatic Hydrolysis (ENZ)</w:t>
      </w:r>
    </w:p>
    <w:tbl>
      <w:tblPr>
        <w:tblStyle w:val="TableGrid"/>
        <w:tblW w:type="auto" w:w="0"/>
        <w:tblLook w:firstColumn="1" w:firstRow="1" w:lastColumn="0" w:lastRow="0" w:noHBand="0" w:noVBand="1" w:val="04A0"/>
      </w:tblPr>
      <w:tblGrid>
        <w:gridCol w:w="2158"/>
        <w:gridCol w:w="2158"/>
        <w:gridCol w:w="2158"/>
        <w:gridCol w:w="2158"/>
      </w:tblGrid>
      <w:tr>
        <w:tc>
          <w:tcPr>
            <w:tcW w:type="dxa" w:w="3118"/>
            <w:shd w:fill="003366" w:color="auto" w:val="clear"/>
          </w:tcPr>
          <w:p>
            <w:pPr>
              <w:jc w:val="center"/>
            </w:pPr>
            <w:r/>
            <w:r>
              <w:rPr>
                <w:rFonts w:ascii="Times New Roman" w:hAnsi="Times New Roman"/>
                <w:b/>
                <w:i w:val="0"/>
                <w:color w:val="FFFFFF"/>
                <w:sz w:val="22"/>
              </w:rPr>
              <w:t>Parameter</w:t>
            </w:r>
          </w:p>
        </w:tc>
        <w:tc>
          <w:tcPr>
            <w:tcW w:type="dxa" w:w="1984"/>
            <w:shd w:fill="003366" w:color="auto" w:val="clear"/>
          </w:tcPr>
          <w:p>
            <w:pPr>
              <w:jc w:val="center"/>
            </w:pPr>
            <w:r/>
            <w:r>
              <w:rPr>
                <w:rFonts w:ascii="Times New Roman" w:hAnsi="Times New Roman"/>
                <w:b/>
                <w:i w:val="0"/>
                <w:color w:val="FFFFFF"/>
                <w:sz w:val="22"/>
              </w:rPr>
              <w:t>Unit</w:t>
            </w:r>
          </w:p>
        </w:tc>
        <w:tc>
          <w:tcPr>
            <w:tcW w:type="dxa" w:w="1134"/>
            <w:shd w:fill="003366" w:color="auto" w:val="clear"/>
          </w:tcPr>
          <w:p>
            <w:pPr>
              <w:jc w:val="center"/>
            </w:pPr>
            <w:r/>
            <w:r>
              <w:rPr>
                <w:rFonts w:ascii="Times New Roman" w:hAnsi="Times New Roman"/>
                <w:b/>
                <w:i w:val="0"/>
                <w:color w:val="FFFFFF"/>
                <w:sz w:val="22"/>
              </w:rPr>
              <w:t>Default</w:t>
            </w:r>
          </w:p>
        </w:tc>
        <w:tc>
          <w:tcPr>
            <w:tcW w:type="dxa" w:w="2268"/>
            <w:shd w:fill="003366" w:color="auto" w:val="clear"/>
          </w:tcPr>
          <w:p>
            <w:pPr>
              <w:jc w:val="center"/>
            </w:pPr>
            <w:r/>
            <w:r>
              <w:rPr>
                <w:rFonts w:ascii="Times New Roman" w:hAnsi="Times New Roman"/>
                <w:b/>
                <w:i w:val="0"/>
                <w:color w:val="FFFFFF"/>
                <w:sz w:val="22"/>
              </w:rPr>
              <w:t>Description</w:t>
            </w:r>
          </w:p>
        </w:tc>
      </w:tr>
      <w:tr>
        <w:tc>
          <w:tcPr>
            <w:tcW w:type="dxa" w:w="3118"/>
            <w:shd w:fill="EAF0FB" w:color="auto" w:val="clear"/>
          </w:tcPr>
          <w:p>
            <w:r/>
            <w:r>
              <w:rPr>
                <w:rFonts w:ascii="Times New Roman" w:hAnsi="Times New Roman"/>
                <w:b w:val="0"/>
                <w:i w:val="0"/>
                <w:sz w:val="22"/>
              </w:rPr>
              <w:t>Hydrolysis efficiency (eta_ENZ)</w:t>
            </w:r>
          </w:p>
        </w:tc>
        <w:tc>
          <w:tcPr>
            <w:tcW w:type="dxa" w:w="1984"/>
            <w:shd w:fill="EAF0FB" w:color="auto" w:val="clear"/>
          </w:tcPr>
          <w:p>
            <w:r/>
            <w:r>
              <w:rPr>
                <w:rFonts w:ascii="Times New Roman" w:hAnsi="Times New Roman"/>
                <w:b w:val="0"/>
                <w:i w:val="0"/>
                <w:sz w:val="22"/>
              </w:rPr>
              <w:t>-</w:t>
            </w:r>
          </w:p>
        </w:tc>
        <w:tc>
          <w:tcPr>
            <w:tcW w:type="dxa" w:w="1134"/>
            <w:shd w:fill="EAF0FB" w:color="auto" w:val="clear"/>
          </w:tcPr>
          <w:p>
            <w:r/>
            <w:r>
              <w:rPr>
                <w:rFonts w:ascii="Times New Roman" w:hAnsi="Times New Roman"/>
                <w:b w:val="0"/>
                <w:i w:val="0"/>
                <w:sz w:val="22"/>
              </w:rPr>
              <w:t>0.85</w:t>
            </w:r>
          </w:p>
        </w:tc>
        <w:tc>
          <w:tcPr>
            <w:tcW w:type="dxa" w:w="2268"/>
            <w:shd w:fill="EAF0FB" w:color="auto" w:val="clear"/>
          </w:tcPr>
          <w:p>
            <w:r/>
            <w:r>
              <w:rPr>
                <w:rFonts w:ascii="Times New Roman" w:hAnsi="Times New Roman"/>
                <w:b w:val="0"/>
                <w:i w:val="0"/>
                <w:sz w:val="22"/>
              </w:rPr>
              <w:t>Fraction of carbohydrates successfully hydrolysed to soluble sugars</w:t>
            </w:r>
          </w:p>
        </w:tc>
      </w:tr>
      <w:tr>
        <w:tc>
          <w:tcPr>
            <w:tcW w:type="dxa" w:w="3118"/>
            <w:shd w:fill="FFFFFF" w:color="auto" w:val="clear"/>
          </w:tcPr>
          <w:p>
            <w:r/>
            <w:r>
              <w:rPr>
                <w:rFonts w:ascii="Times New Roman" w:hAnsi="Times New Roman"/>
                <w:b w:val="0"/>
                <w:i w:val="0"/>
                <w:sz w:val="22"/>
              </w:rPr>
              <w:t>Enzyme dose (r_enz)</w:t>
            </w:r>
          </w:p>
        </w:tc>
        <w:tc>
          <w:tcPr>
            <w:tcW w:type="dxa" w:w="1984"/>
            <w:shd w:fill="FFFFFF" w:color="auto" w:val="clear"/>
          </w:tcPr>
          <w:p>
            <w:r/>
            <w:r>
              <w:rPr>
                <w:rFonts w:ascii="Times New Roman" w:hAnsi="Times New Roman"/>
                <w:b w:val="0"/>
                <w:i w:val="0"/>
                <w:sz w:val="22"/>
              </w:rPr>
              <w:t>kg enzyme/kg dry solids</w:t>
            </w:r>
          </w:p>
        </w:tc>
        <w:tc>
          <w:tcPr>
            <w:tcW w:type="dxa" w:w="1134"/>
            <w:shd w:fill="FFFFFF" w:color="auto" w:val="clear"/>
          </w:tcPr>
          <w:p>
            <w:r/>
            <w:r>
              <w:rPr>
                <w:rFonts w:ascii="Times New Roman" w:hAnsi="Times New Roman"/>
                <w:b w:val="0"/>
                <w:i w:val="0"/>
                <w:sz w:val="22"/>
              </w:rPr>
              <w:t>0.02</w:t>
            </w:r>
          </w:p>
        </w:tc>
        <w:tc>
          <w:tcPr>
            <w:tcW w:type="dxa" w:w="2268"/>
            <w:shd w:fill="FFFFFF" w:color="auto" w:val="clear"/>
          </w:tcPr>
          <w:p>
            <w:r/>
            <w:r>
              <w:rPr>
                <w:rFonts w:ascii="Times New Roman" w:hAnsi="Times New Roman"/>
                <w:b w:val="0"/>
                <w:i w:val="0"/>
                <w:sz w:val="22"/>
              </w:rPr>
              <w:t>Mass of cellulase enzyme added per kg of dry feed solids</w:t>
            </w:r>
          </w:p>
        </w:tc>
      </w:tr>
      <w:tr>
        <w:tc>
          <w:tcPr>
            <w:tcW w:type="dxa" w:w="3118"/>
            <w:shd w:fill="EAF0FB" w:color="auto" w:val="clear"/>
          </w:tcPr>
          <w:p>
            <w:r/>
            <w:r>
              <w:rPr>
                <w:rFonts w:ascii="Times New Roman" w:hAnsi="Times New Roman"/>
                <w:b w:val="0"/>
                <w:i w:val="0"/>
                <w:sz w:val="22"/>
              </w:rPr>
              <w:t>Hydraulic retention time (HRT_ENZ)</w:t>
            </w:r>
          </w:p>
        </w:tc>
        <w:tc>
          <w:tcPr>
            <w:tcW w:type="dxa" w:w="1984"/>
            <w:shd w:fill="EAF0FB" w:color="auto" w:val="clear"/>
          </w:tcPr>
          <w:p>
            <w:r/>
            <w:r>
              <w:rPr>
                <w:rFonts w:ascii="Times New Roman" w:hAnsi="Times New Roman"/>
                <w:b w:val="0"/>
                <w:i w:val="0"/>
                <w:sz w:val="22"/>
              </w:rPr>
              <w:t>hr</w:t>
            </w:r>
          </w:p>
        </w:tc>
        <w:tc>
          <w:tcPr>
            <w:tcW w:type="dxa" w:w="1134"/>
            <w:shd w:fill="EAF0FB" w:color="auto" w:val="clear"/>
          </w:tcPr>
          <w:p>
            <w:r/>
            <w:r>
              <w:rPr>
                <w:rFonts w:ascii="Times New Roman" w:hAnsi="Times New Roman"/>
                <w:b w:val="0"/>
                <w:i w:val="0"/>
                <w:sz w:val="22"/>
              </w:rPr>
              <w:t>6.0</w:t>
            </w:r>
          </w:p>
        </w:tc>
        <w:tc>
          <w:tcPr>
            <w:tcW w:type="dxa" w:w="2268"/>
            <w:shd w:fill="EAF0FB" w:color="auto" w:val="clear"/>
          </w:tcPr>
          <w:p>
            <w:r/>
            <w:r>
              <w:rPr>
                <w:rFonts w:ascii="Times New Roman" w:hAnsi="Times New Roman"/>
                <w:b w:val="0"/>
                <w:i w:val="0"/>
                <w:sz w:val="22"/>
              </w:rPr>
              <w:t>Contact time between enzyme and substrate</w:t>
            </w:r>
          </w:p>
        </w:tc>
      </w:tr>
    </w:tbl>
    <w:p/>
    <w:p>
      <w:pPr>
        <w:pStyle w:val="Heading2"/>
        <w:spacing w:before="240" w:after="80"/>
      </w:pPr>
      <w:r>
        <w:rPr>
          <w:rFonts w:ascii="Times New Roman" w:hAnsi="Times New Roman"/>
          <w:b/>
          <w:color w:val="1F497D"/>
          <w:sz w:val="26"/>
        </w:rPr>
        <w:t>6.5  Composting (CMP)</w:t>
      </w:r>
    </w:p>
    <w:tbl>
      <w:tblPr>
        <w:tblStyle w:val="TableGrid"/>
        <w:tblW w:type="auto" w:w="0"/>
        <w:tblLook w:firstColumn="1" w:firstRow="1" w:lastColumn="0" w:lastRow="0" w:noHBand="0" w:noVBand="1" w:val="04A0"/>
      </w:tblPr>
      <w:tblGrid>
        <w:gridCol w:w="2158"/>
        <w:gridCol w:w="2158"/>
        <w:gridCol w:w="2158"/>
        <w:gridCol w:w="2158"/>
      </w:tblGrid>
      <w:tr>
        <w:tc>
          <w:tcPr>
            <w:tcW w:type="dxa" w:w="3118"/>
            <w:shd w:fill="003366" w:color="auto" w:val="clear"/>
          </w:tcPr>
          <w:p>
            <w:pPr>
              <w:jc w:val="center"/>
            </w:pPr>
            <w:r/>
            <w:r>
              <w:rPr>
                <w:rFonts w:ascii="Times New Roman" w:hAnsi="Times New Roman"/>
                <w:b/>
                <w:i w:val="0"/>
                <w:color w:val="FFFFFF"/>
                <w:sz w:val="22"/>
              </w:rPr>
              <w:t>Parameter</w:t>
            </w:r>
          </w:p>
        </w:tc>
        <w:tc>
          <w:tcPr>
            <w:tcW w:type="dxa" w:w="1417"/>
            <w:shd w:fill="003366" w:color="auto" w:val="clear"/>
          </w:tcPr>
          <w:p>
            <w:pPr>
              <w:jc w:val="center"/>
            </w:pPr>
            <w:r/>
            <w:r>
              <w:rPr>
                <w:rFonts w:ascii="Times New Roman" w:hAnsi="Times New Roman"/>
                <w:b/>
                <w:i w:val="0"/>
                <w:color w:val="FFFFFF"/>
                <w:sz w:val="22"/>
              </w:rPr>
              <w:t>Unit</w:t>
            </w:r>
          </w:p>
        </w:tc>
        <w:tc>
          <w:tcPr>
            <w:tcW w:type="dxa" w:w="1134"/>
            <w:shd w:fill="003366" w:color="auto" w:val="clear"/>
          </w:tcPr>
          <w:p>
            <w:pPr>
              <w:jc w:val="center"/>
            </w:pPr>
            <w:r/>
            <w:r>
              <w:rPr>
                <w:rFonts w:ascii="Times New Roman" w:hAnsi="Times New Roman"/>
                <w:b/>
                <w:i w:val="0"/>
                <w:color w:val="FFFFFF"/>
                <w:sz w:val="22"/>
              </w:rPr>
              <w:t>Default</w:t>
            </w:r>
          </w:p>
        </w:tc>
        <w:tc>
          <w:tcPr>
            <w:tcW w:type="dxa" w:w="2835"/>
            <w:shd w:fill="003366" w:color="auto" w:val="clear"/>
          </w:tcPr>
          <w:p>
            <w:pPr>
              <w:jc w:val="center"/>
            </w:pPr>
            <w:r/>
            <w:r>
              <w:rPr>
                <w:rFonts w:ascii="Times New Roman" w:hAnsi="Times New Roman"/>
                <w:b/>
                <w:i w:val="0"/>
                <w:color w:val="FFFFFF"/>
                <w:sz w:val="22"/>
              </w:rPr>
              <w:t>Source</w:t>
            </w:r>
          </w:p>
        </w:tc>
      </w:tr>
      <w:tr>
        <w:tc>
          <w:tcPr>
            <w:tcW w:type="dxa" w:w="3118"/>
            <w:shd w:fill="EAF0FB" w:color="auto" w:val="clear"/>
          </w:tcPr>
          <w:p>
            <w:r/>
            <w:r>
              <w:rPr>
                <w:rFonts w:ascii="Times New Roman" w:hAnsi="Times New Roman"/>
                <w:b w:val="0"/>
                <w:i w:val="0"/>
                <w:sz w:val="22"/>
              </w:rPr>
              <w:t>Volatile solids degradation fraction</w:t>
            </w:r>
          </w:p>
        </w:tc>
        <w:tc>
          <w:tcPr>
            <w:tcW w:type="dxa" w:w="1417"/>
            <w:shd w:fill="EAF0FB" w:color="auto" w:val="clear"/>
          </w:tcPr>
          <w:p>
            <w:r/>
            <w:r>
              <w:rPr>
                <w:rFonts w:ascii="Times New Roman" w:hAnsi="Times New Roman"/>
                <w:b w:val="0"/>
                <w:i w:val="0"/>
                <w:sz w:val="22"/>
              </w:rPr>
              <w:t>-</w:t>
            </w:r>
          </w:p>
        </w:tc>
        <w:tc>
          <w:tcPr>
            <w:tcW w:type="dxa" w:w="1134"/>
            <w:shd w:fill="EAF0FB" w:color="auto" w:val="clear"/>
          </w:tcPr>
          <w:p>
            <w:r/>
            <w:r>
              <w:rPr>
                <w:rFonts w:ascii="Times New Roman" w:hAnsi="Times New Roman"/>
                <w:b w:val="0"/>
                <w:i w:val="0"/>
                <w:sz w:val="22"/>
              </w:rPr>
              <w:t>0.50</w:t>
            </w:r>
          </w:p>
        </w:tc>
        <w:tc>
          <w:tcPr>
            <w:tcW w:type="dxa" w:w="2835"/>
            <w:shd w:fill="EAF0FB" w:color="auto" w:val="clear"/>
          </w:tcPr>
          <w:p>
            <w:r/>
            <w:r>
              <w:rPr>
                <w:rFonts w:ascii="Times New Roman" w:hAnsi="Times New Roman"/>
                <w:b w:val="0"/>
                <w:i w:val="0"/>
                <w:sz w:val="22"/>
              </w:rPr>
              <w:t>Standard composting literature</w:t>
            </w:r>
          </w:p>
        </w:tc>
      </w:tr>
      <w:tr>
        <w:tc>
          <w:tcPr>
            <w:tcW w:type="dxa" w:w="3118"/>
            <w:shd w:fill="FFFFFF" w:color="auto" w:val="clear"/>
          </w:tcPr>
          <w:p>
            <w:r/>
            <w:r>
              <w:rPr>
                <w:rFonts w:ascii="Times New Roman" w:hAnsi="Times New Roman"/>
                <w:b w:val="0"/>
                <w:i w:val="0"/>
                <w:sz w:val="22"/>
              </w:rPr>
              <w:t>Other organics degradation fraction</w:t>
            </w:r>
          </w:p>
        </w:tc>
        <w:tc>
          <w:tcPr>
            <w:tcW w:type="dxa" w:w="1417"/>
            <w:shd w:fill="FFFFFF" w:color="auto" w:val="clear"/>
          </w:tcPr>
          <w:p>
            <w:r/>
            <w:r>
              <w:rPr>
                <w:rFonts w:ascii="Times New Roman" w:hAnsi="Times New Roman"/>
                <w:b w:val="0"/>
                <w:i w:val="0"/>
                <w:sz w:val="22"/>
              </w:rPr>
              <w:t>-</w:t>
            </w:r>
          </w:p>
        </w:tc>
        <w:tc>
          <w:tcPr>
            <w:tcW w:type="dxa" w:w="1134"/>
            <w:shd w:fill="FFFFFF" w:color="auto" w:val="clear"/>
          </w:tcPr>
          <w:p>
            <w:r/>
            <w:r>
              <w:rPr>
                <w:rFonts w:ascii="Times New Roman" w:hAnsi="Times New Roman"/>
                <w:b w:val="0"/>
                <w:i w:val="0"/>
                <w:sz w:val="22"/>
              </w:rPr>
              <w:t>0.60</w:t>
            </w:r>
          </w:p>
        </w:tc>
        <w:tc>
          <w:tcPr>
            <w:tcW w:type="dxa" w:w="2835"/>
            <w:shd w:fill="FFFFFF" w:color="auto" w:val="clear"/>
          </w:tcPr>
          <w:p>
            <w:r/>
            <w:r>
              <w:rPr>
                <w:rFonts w:ascii="Times New Roman" w:hAnsi="Times New Roman"/>
                <w:b w:val="0"/>
                <w:i w:val="0"/>
                <w:sz w:val="22"/>
              </w:rPr>
              <w:t>Process-specific estimate</w:t>
            </w:r>
          </w:p>
        </w:tc>
      </w:tr>
      <w:tr>
        <w:tc>
          <w:tcPr>
            <w:tcW w:type="dxa" w:w="3118"/>
            <w:shd w:fill="EAF0FB" w:color="auto" w:val="clear"/>
          </w:tcPr>
          <w:p>
            <w:r/>
            <w:r>
              <w:rPr>
                <w:rFonts w:ascii="Times New Roman" w:hAnsi="Times New Roman"/>
                <w:b w:val="0"/>
                <w:i w:val="0"/>
                <w:sz w:val="22"/>
              </w:rPr>
              <w:t>Composting time</w:t>
            </w:r>
          </w:p>
        </w:tc>
        <w:tc>
          <w:tcPr>
            <w:tcW w:type="dxa" w:w="1417"/>
            <w:shd w:fill="EAF0FB" w:color="auto" w:val="clear"/>
          </w:tcPr>
          <w:p>
            <w:r/>
            <w:r>
              <w:rPr>
                <w:rFonts w:ascii="Times New Roman" w:hAnsi="Times New Roman"/>
                <w:b w:val="0"/>
                <w:i w:val="0"/>
                <w:sz w:val="22"/>
              </w:rPr>
              <w:t>hr</w:t>
            </w:r>
          </w:p>
        </w:tc>
        <w:tc>
          <w:tcPr>
            <w:tcW w:type="dxa" w:w="1134"/>
            <w:shd w:fill="EAF0FB" w:color="auto" w:val="clear"/>
          </w:tcPr>
          <w:p>
            <w:r/>
            <w:r>
              <w:rPr>
                <w:rFonts w:ascii="Times New Roman" w:hAnsi="Times New Roman"/>
                <w:b w:val="0"/>
                <w:i w:val="0"/>
                <w:sz w:val="22"/>
              </w:rPr>
              <w:t>120</w:t>
            </w:r>
          </w:p>
        </w:tc>
        <w:tc>
          <w:tcPr>
            <w:tcW w:type="dxa" w:w="2835"/>
            <w:shd w:fill="EAF0FB" w:color="auto" w:val="clear"/>
          </w:tcPr>
          <w:p>
            <w:r/>
            <w:r>
              <w:rPr>
                <w:rFonts w:ascii="Times New Roman" w:hAnsi="Times New Roman"/>
                <w:b w:val="0"/>
                <w:i w:val="0"/>
                <w:sz w:val="22"/>
              </w:rPr>
              <w:t>Typical active composting phase duration (5 days)</w:t>
            </w:r>
          </w:p>
        </w:tc>
      </w:tr>
      <w:tr>
        <w:tc>
          <w:tcPr>
            <w:tcW w:type="dxa" w:w="3118"/>
            <w:shd w:fill="FFFFFF" w:color="auto" w:val="clear"/>
          </w:tcPr>
          <w:p>
            <w:r/>
            <w:r>
              <w:rPr>
                <w:rFonts w:ascii="Times New Roman" w:hAnsi="Times New Roman"/>
                <w:b w:val="0"/>
                <w:i w:val="0"/>
                <w:sz w:val="22"/>
              </w:rPr>
              <w:t>CH4 emission factor</w:t>
            </w:r>
          </w:p>
        </w:tc>
        <w:tc>
          <w:tcPr>
            <w:tcW w:type="dxa" w:w="1417"/>
            <w:shd w:fill="FFFFFF" w:color="auto" w:val="clear"/>
          </w:tcPr>
          <w:p>
            <w:r/>
            <w:r>
              <w:rPr>
                <w:rFonts w:ascii="Times New Roman" w:hAnsi="Times New Roman"/>
                <w:b w:val="0"/>
                <w:i w:val="0"/>
                <w:sz w:val="22"/>
              </w:rPr>
              <w:t>kg CH4/kg wet feed</w:t>
            </w:r>
          </w:p>
        </w:tc>
        <w:tc>
          <w:tcPr>
            <w:tcW w:type="dxa" w:w="1134"/>
            <w:shd w:fill="FFFFFF" w:color="auto" w:val="clear"/>
          </w:tcPr>
          <w:p>
            <w:r/>
            <w:r>
              <w:rPr>
                <w:rFonts w:ascii="Times New Roman" w:hAnsi="Times New Roman"/>
                <w:b w:val="0"/>
                <w:i w:val="0"/>
                <w:sz w:val="22"/>
              </w:rPr>
              <w:t>0.004</w:t>
            </w:r>
          </w:p>
        </w:tc>
        <w:tc>
          <w:tcPr>
            <w:tcW w:type="dxa" w:w="2835"/>
            <w:shd w:fill="FFFFFF" w:color="auto" w:val="clear"/>
          </w:tcPr>
          <w:p>
            <w:r/>
            <w:r>
              <w:rPr>
                <w:rFonts w:ascii="Times New Roman" w:hAnsi="Times New Roman"/>
                <w:b w:val="0"/>
                <w:i w:val="0"/>
                <w:sz w:val="22"/>
              </w:rPr>
              <w:t>IPCC 2006 Tier 1 default for aerobic composting</w:t>
            </w:r>
          </w:p>
        </w:tc>
      </w:tr>
      <w:tr>
        <w:tc>
          <w:tcPr>
            <w:tcW w:type="dxa" w:w="3118"/>
            <w:shd w:fill="EAF0FB" w:color="auto" w:val="clear"/>
          </w:tcPr>
          <w:p>
            <w:r/>
            <w:r>
              <w:rPr>
                <w:rFonts w:ascii="Times New Roman" w:hAnsi="Times New Roman"/>
                <w:b w:val="0"/>
                <w:i w:val="0"/>
                <w:sz w:val="22"/>
              </w:rPr>
              <w:t>N2O emission factor</w:t>
            </w:r>
          </w:p>
        </w:tc>
        <w:tc>
          <w:tcPr>
            <w:tcW w:type="dxa" w:w="1417"/>
            <w:shd w:fill="EAF0FB" w:color="auto" w:val="clear"/>
          </w:tcPr>
          <w:p>
            <w:r/>
            <w:r>
              <w:rPr>
                <w:rFonts w:ascii="Times New Roman" w:hAnsi="Times New Roman"/>
                <w:b w:val="0"/>
                <w:i w:val="0"/>
                <w:sz w:val="22"/>
              </w:rPr>
              <w:t>kg N2O/kg wet feed</w:t>
            </w:r>
          </w:p>
        </w:tc>
        <w:tc>
          <w:tcPr>
            <w:tcW w:type="dxa" w:w="1134"/>
            <w:shd w:fill="EAF0FB" w:color="auto" w:val="clear"/>
          </w:tcPr>
          <w:p>
            <w:r/>
            <w:r>
              <w:rPr>
                <w:rFonts w:ascii="Times New Roman" w:hAnsi="Times New Roman"/>
                <w:b w:val="0"/>
                <w:i w:val="0"/>
                <w:sz w:val="22"/>
              </w:rPr>
              <w:t>0.0003</w:t>
            </w:r>
          </w:p>
        </w:tc>
        <w:tc>
          <w:tcPr>
            <w:tcW w:type="dxa" w:w="2835"/>
            <w:shd w:fill="EAF0FB" w:color="auto" w:val="clear"/>
          </w:tcPr>
          <w:p>
            <w:r/>
            <w:r>
              <w:rPr>
                <w:rFonts w:ascii="Times New Roman" w:hAnsi="Times New Roman"/>
                <w:b w:val="0"/>
                <w:i w:val="0"/>
                <w:sz w:val="22"/>
              </w:rPr>
              <w:t>IPCC 2006 Tier 1 default for aerobic composting</w:t>
            </w:r>
          </w:p>
        </w:tc>
      </w:tr>
    </w:tbl>
    <w:p/>
    <w:p>
      <w:pPr>
        <w:pStyle w:val="Heading2"/>
        <w:spacing w:before="240" w:after="80"/>
      </w:pPr>
      <w:r>
        <w:rPr>
          <w:rFonts w:ascii="Times New Roman" w:hAnsi="Times New Roman"/>
          <w:b/>
          <w:color w:val="1F497D"/>
          <w:sz w:val="26"/>
        </w:rPr>
        <w:t>6.6  Wastewater Treatment (WWT)</w:t>
      </w:r>
    </w:p>
    <w:tbl>
      <w:tblPr>
        <w:tblStyle w:val="TableGrid"/>
        <w:tblW w:type="auto" w:w="0"/>
        <w:tblLook w:firstColumn="1" w:firstRow="1" w:lastColumn="0" w:lastRow="0" w:noHBand="0" w:noVBand="1" w:val="04A0"/>
      </w:tblPr>
      <w:tblGrid>
        <w:gridCol w:w="2158"/>
        <w:gridCol w:w="2158"/>
        <w:gridCol w:w="2158"/>
        <w:gridCol w:w="2158"/>
      </w:tblGrid>
      <w:tr>
        <w:tc>
          <w:tcPr>
            <w:tcW w:type="dxa" w:w="3118"/>
            <w:shd w:fill="003366" w:color="auto" w:val="clear"/>
          </w:tcPr>
          <w:p>
            <w:pPr>
              <w:jc w:val="center"/>
            </w:pPr>
            <w:r/>
            <w:r>
              <w:rPr>
                <w:rFonts w:ascii="Times New Roman" w:hAnsi="Times New Roman"/>
                <w:b/>
                <w:i w:val="0"/>
                <w:color w:val="FFFFFF"/>
                <w:sz w:val="22"/>
              </w:rPr>
              <w:t>Parameter</w:t>
            </w:r>
          </w:p>
        </w:tc>
        <w:tc>
          <w:tcPr>
            <w:tcW w:type="dxa" w:w="850"/>
            <w:shd w:fill="003366" w:color="auto" w:val="clear"/>
          </w:tcPr>
          <w:p>
            <w:pPr>
              <w:jc w:val="center"/>
            </w:pPr>
            <w:r/>
            <w:r>
              <w:rPr>
                <w:rFonts w:ascii="Times New Roman" w:hAnsi="Times New Roman"/>
                <w:b/>
                <w:i w:val="0"/>
                <w:color w:val="FFFFFF"/>
                <w:sz w:val="22"/>
              </w:rPr>
              <w:t>Unit</w:t>
            </w:r>
          </w:p>
        </w:tc>
        <w:tc>
          <w:tcPr>
            <w:tcW w:type="dxa" w:w="1134"/>
            <w:shd w:fill="003366" w:color="auto" w:val="clear"/>
          </w:tcPr>
          <w:p>
            <w:pPr>
              <w:jc w:val="center"/>
            </w:pPr>
            <w:r/>
            <w:r>
              <w:rPr>
                <w:rFonts w:ascii="Times New Roman" w:hAnsi="Times New Roman"/>
                <w:b/>
                <w:i w:val="0"/>
                <w:color w:val="FFFFFF"/>
                <w:sz w:val="22"/>
              </w:rPr>
              <w:t>Default</w:t>
            </w:r>
          </w:p>
        </w:tc>
        <w:tc>
          <w:tcPr>
            <w:tcW w:type="dxa" w:w="3402"/>
            <w:shd w:fill="003366" w:color="auto" w:val="clear"/>
          </w:tcPr>
          <w:p>
            <w:pPr>
              <w:jc w:val="center"/>
            </w:pPr>
            <w:r/>
            <w:r>
              <w:rPr>
                <w:rFonts w:ascii="Times New Roman" w:hAnsi="Times New Roman"/>
                <w:b/>
                <w:i w:val="0"/>
                <w:color w:val="FFFFFF"/>
                <w:sz w:val="22"/>
              </w:rPr>
              <w:t>Description</w:t>
            </w:r>
          </w:p>
        </w:tc>
      </w:tr>
      <w:tr>
        <w:tc>
          <w:tcPr>
            <w:tcW w:type="dxa" w:w="3118"/>
            <w:shd w:fill="EAF0FB" w:color="auto" w:val="clear"/>
          </w:tcPr>
          <w:p>
            <w:r/>
            <w:r>
              <w:rPr>
                <w:rFonts w:ascii="Times New Roman" w:hAnsi="Times New Roman"/>
                <w:b w:val="0"/>
                <w:i w:val="0"/>
                <w:sz w:val="22"/>
              </w:rPr>
              <w:t>BOD fraction of volatile solids (fBOD)</w:t>
            </w:r>
          </w:p>
        </w:tc>
        <w:tc>
          <w:tcPr>
            <w:tcW w:type="dxa" w:w="850"/>
            <w:shd w:fill="EAF0FB" w:color="auto" w:val="clear"/>
          </w:tcPr>
          <w:p>
            <w:r/>
            <w:r>
              <w:rPr>
                <w:rFonts w:ascii="Times New Roman" w:hAnsi="Times New Roman"/>
                <w:b w:val="0"/>
                <w:i w:val="0"/>
                <w:sz w:val="22"/>
              </w:rPr>
              <w:t>-</w:t>
            </w:r>
          </w:p>
        </w:tc>
        <w:tc>
          <w:tcPr>
            <w:tcW w:type="dxa" w:w="1134"/>
            <w:shd w:fill="EAF0FB" w:color="auto" w:val="clear"/>
          </w:tcPr>
          <w:p>
            <w:r/>
            <w:r>
              <w:rPr>
                <w:rFonts w:ascii="Times New Roman" w:hAnsi="Times New Roman"/>
                <w:b w:val="0"/>
                <w:i w:val="0"/>
                <w:sz w:val="22"/>
              </w:rPr>
              <w:t>1.20</w:t>
            </w:r>
          </w:p>
        </w:tc>
        <w:tc>
          <w:tcPr>
            <w:tcW w:type="dxa" w:w="3402"/>
            <w:shd w:fill="EAF0FB" w:color="auto" w:val="clear"/>
          </w:tcPr>
          <w:p>
            <w:r/>
            <w:r>
              <w:rPr>
                <w:rFonts w:ascii="Times New Roman" w:hAnsi="Times New Roman"/>
                <w:b w:val="0"/>
                <w:i w:val="0"/>
                <w:sz w:val="22"/>
              </w:rPr>
              <w:t>Ratio of biochemical oxygen demand to volatile solids mass; reflects oxygen demand of the organic substrate</w:t>
            </w:r>
          </w:p>
        </w:tc>
      </w:tr>
      <w:tr>
        <w:tc>
          <w:tcPr>
            <w:tcW w:type="dxa" w:w="3118"/>
            <w:shd w:fill="FFFFFF" w:color="auto" w:val="clear"/>
          </w:tcPr>
          <w:p>
            <w:r/>
            <w:r>
              <w:rPr>
                <w:rFonts w:ascii="Times New Roman" w:hAnsi="Times New Roman"/>
                <w:b w:val="0"/>
                <w:i w:val="0"/>
                <w:sz w:val="22"/>
              </w:rPr>
              <w:t>Sludge retention time (SRT)</w:t>
            </w:r>
          </w:p>
        </w:tc>
        <w:tc>
          <w:tcPr>
            <w:tcW w:type="dxa" w:w="850"/>
            <w:shd w:fill="FFFFFF" w:color="auto" w:val="clear"/>
          </w:tcPr>
          <w:p>
            <w:r/>
            <w:r>
              <w:rPr>
                <w:rFonts w:ascii="Times New Roman" w:hAnsi="Times New Roman"/>
                <w:b w:val="0"/>
                <w:i w:val="0"/>
                <w:sz w:val="22"/>
              </w:rPr>
              <w:t>days</w:t>
            </w:r>
          </w:p>
        </w:tc>
        <w:tc>
          <w:tcPr>
            <w:tcW w:type="dxa" w:w="1134"/>
            <w:shd w:fill="FFFFFF" w:color="auto" w:val="clear"/>
          </w:tcPr>
          <w:p>
            <w:r/>
            <w:r>
              <w:rPr>
                <w:rFonts w:ascii="Times New Roman" w:hAnsi="Times New Roman"/>
                <w:b w:val="0"/>
                <w:i w:val="0"/>
                <w:sz w:val="22"/>
              </w:rPr>
              <w:t>10</w:t>
            </w:r>
          </w:p>
        </w:tc>
        <w:tc>
          <w:tcPr>
            <w:tcW w:type="dxa" w:w="3402"/>
            <w:shd w:fill="FFFFFF" w:color="auto" w:val="clear"/>
          </w:tcPr>
          <w:p>
            <w:r/>
            <w:r>
              <w:rPr>
                <w:rFonts w:ascii="Times New Roman" w:hAnsi="Times New Roman"/>
                <w:b w:val="0"/>
                <w:i w:val="0"/>
                <w:sz w:val="22"/>
              </w:rPr>
              <w:t>Mean residence time of biological solids in the activated sludge system; governs biosolids production via yield/decay model</w:t>
            </w:r>
          </w:p>
        </w:tc>
      </w:tr>
      <w:tr>
        <w:tc>
          <w:tcPr>
            <w:tcW w:type="dxa" w:w="3118"/>
            <w:shd w:fill="EAF0FB" w:color="auto" w:val="clear"/>
          </w:tcPr>
          <w:p>
            <w:r/>
            <w:r>
              <w:rPr>
                <w:rFonts w:ascii="Times New Roman" w:hAnsi="Times New Roman"/>
                <w:b w:val="0"/>
                <w:i w:val="0"/>
                <w:sz w:val="22"/>
              </w:rPr>
              <w:t>MLSS concentration (X_MLSS)</w:t>
            </w:r>
          </w:p>
        </w:tc>
        <w:tc>
          <w:tcPr>
            <w:tcW w:type="dxa" w:w="850"/>
            <w:shd w:fill="EAF0FB" w:color="auto" w:val="clear"/>
          </w:tcPr>
          <w:p>
            <w:r/>
            <w:r>
              <w:rPr>
                <w:rFonts w:ascii="Times New Roman" w:hAnsi="Times New Roman"/>
                <w:b w:val="0"/>
                <w:i w:val="0"/>
                <w:sz w:val="22"/>
              </w:rPr>
              <w:t>g/L</w:t>
            </w:r>
          </w:p>
        </w:tc>
        <w:tc>
          <w:tcPr>
            <w:tcW w:type="dxa" w:w="1134"/>
            <w:shd w:fill="EAF0FB" w:color="auto" w:val="clear"/>
          </w:tcPr>
          <w:p>
            <w:r/>
            <w:r>
              <w:rPr>
                <w:rFonts w:ascii="Times New Roman" w:hAnsi="Times New Roman"/>
                <w:b w:val="0"/>
                <w:i w:val="0"/>
                <w:sz w:val="22"/>
              </w:rPr>
              <w:t>3.0</w:t>
            </w:r>
          </w:p>
        </w:tc>
        <w:tc>
          <w:tcPr>
            <w:tcW w:type="dxa" w:w="3402"/>
            <w:shd w:fill="EAF0FB" w:color="auto" w:val="clear"/>
          </w:tcPr>
          <w:p>
            <w:r/>
            <w:r>
              <w:rPr>
                <w:rFonts w:ascii="Times New Roman" w:hAnsi="Times New Roman"/>
                <w:b w:val="0"/>
                <w:i w:val="0"/>
                <w:sz w:val="22"/>
              </w:rPr>
              <w:t>Mixed liquor suspended solids target concentration; typical activated sludge range 2,000-4,000 mg/L</w:t>
            </w:r>
          </w:p>
        </w:tc>
      </w:tr>
      <w:tr>
        <w:tc>
          <w:tcPr>
            <w:tcW w:type="dxa" w:w="3118"/>
            <w:shd w:fill="FFFFFF" w:color="auto" w:val="clear"/>
          </w:tcPr>
          <w:p>
            <w:r/>
            <w:r>
              <w:rPr>
                <w:rFonts w:ascii="Times New Roman" w:hAnsi="Times New Roman"/>
                <w:b w:val="0"/>
                <w:i w:val="0"/>
                <w:sz w:val="22"/>
              </w:rPr>
              <w:t>Minimum HRT</w:t>
            </w:r>
          </w:p>
        </w:tc>
        <w:tc>
          <w:tcPr>
            <w:tcW w:type="dxa" w:w="850"/>
            <w:shd w:fill="FFFFFF" w:color="auto" w:val="clear"/>
          </w:tcPr>
          <w:p>
            <w:r/>
            <w:r>
              <w:rPr>
                <w:rFonts w:ascii="Times New Roman" w:hAnsi="Times New Roman"/>
                <w:b w:val="0"/>
                <w:i w:val="0"/>
                <w:sz w:val="22"/>
              </w:rPr>
              <w:t>hr</w:t>
            </w:r>
          </w:p>
        </w:tc>
        <w:tc>
          <w:tcPr>
            <w:tcW w:type="dxa" w:w="1134"/>
            <w:shd w:fill="FFFFFF" w:color="auto" w:val="clear"/>
          </w:tcPr>
          <w:p>
            <w:r/>
            <w:r>
              <w:rPr>
                <w:rFonts w:ascii="Times New Roman" w:hAnsi="Times New Roman"/>
                <w:b w:val="0"/>
                <w:i w:val="0"/>
                <w:sz w:val="22"/>
              </w:rPr>
              <w:t>6.0</w:t>
            </w:r>
          </w:p>
        </w:tc>
        <w:tc>
          <w:tcPr>
            <w:tcW w:type="dxa" w:w="3402"/>
            <w:shd w:fill="FFFFFF" w:color="auto" w:val="clear"/>
          </w:tcPr>
          <w:p>
            <w:r/>
            <w:r>
              <w:rPr>
                <w:rFonts w:ascii="Times New Roman" w:hAnsi="Times New Roman"/>
                <w:b w:val="0"/>
                <w:i w:val="0"/>
                <w:sz w:val="22"/>
              </w:rPr>
              <w:t>Minimum hydraulic retention time constraint in the aeration basin</w:t>
            </w:r>
          </w:p>
        </w:tc>
      </w:tr>
    </w:tbl>
    <w:p/>
    <w:p>
      <w:pPr>
        <w:pStyle w:val="Heading2"/>
        <w:spacing w:before="240" w:after="80"/>
      </w:pPr>
      <w:r>
        <w:rPr>
          <w:rFonts w:ascii="Times New Roman" w:hAnsi="Times New Roman"/>
          <w:b/>
          <w:color w:val="1F497D"/>
          <w:sz w:val="26"/>
        </w:rPr>
        <w:t>6.7  Sanitary Landfill (SLF)</w:t>
      </w:r>
    </w:p>
    <w:tbl>
      <w:tblPr>
        <w:tblStyle w:val="TableGrid"/>
        <w:tblW w:type="auto" w:w="0"/>
        <w:tblLook w:firstColumn="1" w:firstRow="1" w:lastColumn="0" w:lastRow="0" w:noHBand="0" w:noVBand="1" w:val="04A0"/>
      </w:tblPr>
      <w:tblGrid>
        <w:gridCol w:w="2158"/>
        <w:gridCol w:w="2158"/>
        <w:gridCol w:w="2158"/>
        <w:gridCol w:w="2158"/>
      </w:tblGrid>
      <w:tr>
        <w:tc>
          <w:tcPr>
            <w:tcW w:type="dxa" w:w="3118"/>
            <w:shd w:fill="003366" w:color="auto" w:val="clear"/>
          </w:tcPr>
          <w:p>
            <w:pPr>
              <w:jc w:val="center"/>
            </w:pPr>
            <w:r/>
            <w:r>
              <w:rPr>
                <w:rFonts w:ascii="Times New Roman" w:hAnsi="Times New Roman"/>
                <w:b/>
                <w:i w:val="0"/>
                <w:color w:val="FFFFFF"/>
                <w:sz w:val="22"/>
              </w:rPr>
              <w:t>Parameter</w:t>
            </w:r>
          </w:p>
        </w:tc>
        <w:tc>
          <w:tcPr>
            <w:tcW w:type="dxa" w:w="850"/>
            <w:shd w:fill="003366" w:color="auto" w:val="clear"/>
          </w:tcPr>
          <w:p>
            <w:pPr>
              <w:jc w:val="center"/>
            </w:pPr>
            <w:r/>
            <w:r>
              <w:rPr>
                <w:rFonts w:ascii="Times New Roman" w:hAnsi="Times New Roman"/>
                <w:b/>
                <w:i w:val="0"/>
                <w:color w:val="FFFFFF"/>
                <w:sz w:val="22"/>
              </w:rPr>
              <w:t>Unit</w:t>
            </w:r>
          </w:p>
        </w:tc>
        <w:tc>
          <w:tcPr>
            <w:tcW w:type="dxa" w:w="1134"/>
            <w:shd w:fill="003366" w:color="auto" w:val="clear"/>
          </w:tcPr>
          <w:p>
            <w:pPr>
              <w:jc w:val="center"/>
            </w:pPr>
            <w:r/>
            <w:r>
              <w:rPr>
                <w:rFonts w:ascii="Times New Roman" w:hAnsi="Times New Roman"/>
                <w:b/>
                <w:i w:val="0"/>
                <w:color w:val="FFFFFF"/>
                <w:sz w:val="22"/>
              </w:rPr>
              <w:t>Default</w:t>
            </w:r>
          </w:p>
        </w:tc>
        <w:tc>
          <w:tcPr>
            <w:tcW w:type="dxa" w:w="3402"/>
            <w:shd w:fill="003366" w:color="auto" w:val="clear"/>
          </w:tcPr>
          <w:p>
            <w:pPr>
              <w:jc w:val="center"/>
            </w:pPr>
            <w:r/>
            <w:r>
              <w:rPr>
                <w:rFonts w:ascii="Times New Roman" w:hAnsi="Times New Roman"/>
                <w:b/>
                <w:i w:val="0"/>
                <w:color w:val="FFFFFF"/>
                <w:sz w:val="22"/>
              </w:rPr>
              <w:t>Source</w:t>
            </w:r>
          </w:p>
        </w:tc>
      </w:tr>
      <w:tr>
        <w:tc>
          <w:tcPr>
            <w:tcW w:type="dxa" w:w="3118"/>
            <w:shd w:fill="EAF0FB" w:color="auto" w:val="clear"/>
          </w:tcPr>
          <w:p>
            <w:r/>
            <w:r>
              <w:rPr>
                <w:rFonts w:ascii="Times New Roman" w:hAnsi="Times New Roman"/>
                <w:b w:val="0"/>
                <w:i w:val="0"/>
                <w:sz w:val="22"/>
              </w:rPr>
              <w:t>Degradable organic carbon fraction (DOC)</w:t>
            </w:r>
          </w:p>
        </w:tc>
        <w:tc>
          <w:tcPr>
            <w:tcW w:type="dxa" w:w="850"/>
            <w:shd w:fill="EAF0FB" w:color="auto" w:val="clear"/>
          </w:tcPr>
          <w:p>
            <w:r/>
            <w:r>
              <w:rPr>
                <w:rFonts w:ascii="Times New Roman" w:hAnsi="Times New Roman"/>
                <w:b w:val="0"/>
                <w:i w:val="0"/>
                <w:sz w:val="22"/>
              </w:rPr>
              <w:t>-</w:t>
            </w:r>
          </w:p>
        </w:tc>
        <w:tc>
          <w:tcPr>
            <w:tcW w:type="dxa" w:w="1134"/>
            <w:shd w:fill="EAF0FB" w:color="auto" w:val="clear"/>
          </w:tcPr>
          <w:p>
            <w:r/>
            <w:r>
              <w:rPr>
                <w:rFonts w:ascii="Times New Roman" w:hAnsi="Times New Roman"/>
                <w:b w:val="0"/>
                <w:i w:val="0"/>
                <w:sz w:val="22"/>
              </w:rPr>
              <w:t>0.358</w:t>
            </w:r>
          </w:p>
        </w:tc>
        <w:tc>
          <w:tcPr>
            <w:tcW w:type="dxa" w:w="3402"/>
            <w:shd w:fill="EAF0FB" w:color="auto" w:val="clear"/>
          </w:tcPr>
          <w:p>
            <w:r/>
            <w:r>
              <w:rPr>
                <w:rFonts w:ascii="Times New Roman" w:hAnsi="Times New Roman"/>
                <w:b w:val="0"/>
                <w:i w:val="0"/>
                <w:sz w:val="22"/>
              </w:rPr>
              <w:t>IPCC 2006 Tier 1 default for food waste</w:t>
            </w:r>
          </w:p>
        </w:tc>
      </w:tr>
      <w:tr>
        <w:tc>
          <w:tcPr>
            <w:tcW w:type="dxa" w:w="3118"/>
            <w:shd w:fill="FFFFFF" w:color="auto" w:val="clear"/>
          </w:tcPr>
          <w:p>
            <w:r/>
            <w:r>
              <w:rPr>
                <w:rFonts w:ascii="Times New Roman" w:hAnsi="Times New Roman"/>
                <w:b w:val="0"/>
                <w:i w:val="0"/>
                <w:sz w:val="22"/>
              </w:rPr>
              <w:t>Fraction of DOC that decomposes (DOC_f)</w:t>
            </w:r>
          </w:p>
        </w:tc>
        <w:tc>
          <w:tcPr>
            <w:tcW w:type="dxa" w:w="850"/>
            <w:shd w:fill="FFFFFF" w:color="auto" w:val="clear"/>
          </w:tcPr>
          <w:p>
            <w:r/>
            <w:r>
              <w:rPr>
                <w:rFonts w:ascii="Times New Roman" w:hAnsi="Times New Roman"/>
                <w:b w:val="0"/>
                <w:i w:val="0"/>
                <w:sz w:val="22"/>
              </w:rPr>
              <w:t>-</w:t>
            </w:r>
          </w:p>
        </w:tc>
        <w:tc>
          <w:tcPr>
            <w:tcW w:type="dxa" w:w="1134"/>
            <w:shd w:fill="FFFFFF" w:color="auto" w:val="clear"/>
          </w:tcPr>
          <w:p>
            <w:r/>
            <w:r>
              <w:rPr>
                <w:rFonts w:ascii="Times New Roman" w:hAnsi="Times New Roman"/>
                <w:b w:val="0"/>
                <w:i w:val="0"/>
                <w:sz w:val="22"/>
              </w:rPr>
              <w:t>0.77</w:t>
            </w:r>
          </w:p>
        </w:tc>
        <w:tc>
          <w:tcPr>
            <w:tcW w:type="dxa" w:w="3402"/>
            <w:shd w:fill="FFFFFF" w:color="auto" w:val="clear"/>
          </w:tcPr>
          <w:p>
            <w:r/>
            <w:r>
              <w:rPr>
                <w:rFonts w:ascii="Times New Roman" w:hAnsi="Times New Roman"/>
                <w:b w:val="0"/>
                <w:i w:val="0"/>
                <w:sz w:val="22"/>
              </w:rPr>
              <w:t>IPCC 2006 Tier 1 default</w:t>
            </w:r>
          </w:p>
        </w:tc>
      </w:tr>
      <w:tr>
        <w:tc>
          <w:tcPr>
            <w:tcW w:type="dxa" w:w="3118"/>
            <w:shd w:fill="EAF0FB" w:color="auto" w:val="clear"/>
          </w:tcPr>
          <w:p>
            <w:r/>
            <w:r>
              <w:rPr>
                <w:rFonts w:ascii="Times New Roman" w:hAnsi="Times New Roman"/>
                <w:b w:val="0"/>
                <w:i w:val="0"/>
                <w:sz w:val="22"/>
              </w:rPr>
              <w:t>Methane correction factor (MCF)</w:t>
            </w:r>
          </w:p>
        </w:tc>
        <w:tc>
          <w:tcPr>
            <w:tcW w:type="dxa" w:w="850"/>
            <w:shd w:fill="EAF0FB" w:color="auto" w:val="clear"/>
          </w:tcPr>
          <w:p>
            <w:r/>
            <w:r>
              <w:rPr>
                <w:rFonts w:ascii="Times New Roman" w:hAnsi="Times New Roman"/>
                <w:b w:val="0"/>
                <w:i w:val="0"/>
                <w:sz w:val="22"/>
              </w:rPr>
              <w:t>-</w:t>
            </w:r>
          </w:p>
        </w:tc>
        <w:tc>
          <w:tcPr>
            <w:tcW w:type="dxa" w:w="1134"/>
            <w:shd w:fill="EAF0FB" w:color="auto" w:val="clear"/>
          </w:tcPr>
          <w:p>
            <w:r/>
            <w:r>
              <w:rPr>
                <w:rFonts w:ascii="Times New Roman" w:hAnsi="Times New Roman"/>
                <w:b w:val="0"/>
                <w:i w:val="0"/>
                <w:sz w:val="22"/>
              </w:rPr>
              <w:t>0.60</w:t>
            </w:r>
          </w:p>
        </w:tc>
        <w:tc>
          <w:tcPr>
            <w:tcW w:type="dxa" w:w="3402"/>
            <w:shd w:fill="EAF0FB" w:color="auto" w:val="clear"/>
          </w:tcPr>
          <w:p>
            <w:r/>
            <w:r>
              <w:rPr>
                <w:rFonts w:ascii="Times New Roman" w:hAnsi="Times New Roman"/>
                <w:b w:val="0"/>
                <w:i w:val="0"/>
                <w:sz w:val="22"/>
              </w:rPr>
              <w:t>IPCC 2006 Tier 1 default for managed anaerobic landfill</w:t>
            </w:r>
          </w:p>
        </w:tc>
      </w:tr>
      <w:tr>
        <w:tc>
          <w:tcPr>
            <w:tcW w:type="dxa" w:w="3118"/>
            <w:shd w:fill="FFFFFF" w:color="auto" w:val="clear"/>
          </w:tcPr>
          <w:p>
            <w:r/>
            <w:r>
              <w:rPr>
                <w:rFonts w:ascii="Times New Roman" w:hAnsi="Times New Roman"/>
                <w:b w:val="0"/>
                <w:i w:val="0"/>
                <w:sz w:val="22"/>
              </w:rPr>
              <w:t>CH4 fraction in landfill gas (F)</w:t>
            </w:r>
          </w:p>
        </w:tc>
        <w:tc>
          <w:tcPr>
            <w:tcW w:type="dxa" w:w="850"/>
            <w:shd w:fill="FFFFFF" w:color="auto" w:val="clear"/>
          </w:tcPr>
          <w:p>
            <w:r/>
            <w:r>
              <w:rPr>
                <w:rFonts w:ascii="Times New Roman" w:hAnsi="Times New Roman"/>
                <w:b w:val="0"/>
                <w:i w:val="0"/>
                <w:sz w:val="22"/>
              </w:rPr>
              <w:t>-</w:t>
            </w:r>
          </w:p>
        </w:tc>
        <w:tc>
          <w:tcPr>
            <w:tcW w:type="dxa" w:w="1134"/>
            <w:shd w:fill="FFFFFF" w:color="auto" w:val="clear"/>
          </w:tcPr>
          <w:p>
            <w:r/>
            <w:r>
              <w:rPr>
                <w:rFonts w:ascii="Times New Roman" w:hAnsi="Times New Roman"/>
                <w:b w:val="0"/>
                <w:i w:val="0"/>
                <w:sz w:val="22"/>
              </w:rPr>
              <w:t>0.576</w:t>
            </w:r>
          </w:p>
        </w:tc>
        <w:tc>
          <w:tcPr>
            <w:tcW w:type="dxa" w:w="3402"/>
            <w:shd w:fill="FFFFFF" w:color="auto" w:val="clear"/>
          </w:tcPr>
          <w:p>
            <w:r/>
            <w:r>
              <w:rPr>
                <w:rFonts w:ascii="Times New Roman" w:hAnsi="Times New Roman"/>
                <w:b w:val="0"/>
                <w:i w:val="0"/>
                <w:sz w:val="22"/>
              </w:rPr>
              <w:t>IPCC 2006 Tier 1 default</w:t>
            </w:r>
          </w:p>
        </w:tc>
      </w:tr>
      <w:tr>
        <w:tc>
          <w:tcPr>
            <w:tcW w:type="dxa" w:w="3118"/>
            <w:shd w:fill="EAF0FB" w:color="auto" w:val="clear"/>
          </w:tcPr>
          <w:p>
            <w:r/>
            <w:r>
              <w:rPr>
                <w:rFonts w:ascii="Times New Roman" w:hAnsi="Times New Roman"/>
                <w:b w:val="0"/>
                <w:i w:val="0"/>
                <w:sz w:val="22"/>
              </w:rPr>
              <w:t>Gas capture efficiency</w:t>
            </w:r>
          </w:p>
        </w:tc>
        <w:tc>
          <w:tcPr>
            <w:tcW w:type="dxa" w:w="850"/>
            <w:shd w:fill="EAF0FB" w:color="auto" w:val="clear"/>
          </w:tcPr>
          <w:p>
            <w:r/>
            <w:r>
              <w:rPr>
                <w:rFonts w:ascii="Times New Roman" w:hAnsi="Times New Roman"/>
                <w:b w:val="0"/>
                <w:i w:val="0"/>
                <w:sz w:val="22"/>
              </w:rPr>
              <w:t>-</w:t>
            </w:r>
          </w:p>
        </w:tc>
        <w:tc>
          <w:tcPr>
            <w:tcW w:type="dxa" w:w="1134"/>
            <w:shd w:fill="EAF0FB" w:color="auto" w:val="clear"/>
          </w:tcPr>
          <w:p>
            <w:r/>
            <w:r>
              <w:rPr>
                <w:rFonts w:ascii="Times New Roman" w:hAnsi="Times New Roman"/>
                <w:b w:val="0"/>
                <w:i w:val="0"/>
                <w:sz w:val="22"/>
              </w:rPr>
              <w:t>0.65</w:t>
            </w:r>
          </w:p>
        </w:tc>
        <w:tc>
          <w:tcPr>
            <w:tcW w:type="dxa" w:w="3402"/>
            <w:shd w:fill="EAF0FB" w:color="auto" w:val="clear"/>
          </w:tcPr>
          <w:p>
            <w:r/>
            <w:r>
              <w:rPr>
                <w:rFonts w:ascii="Times New Roman" w:hAnsi="Times New Roman"/>
                <w:b w:val="0"/>
                <w:i w:val="0"/>
                <w:sz w:val="22"/>
              </w:rPr>
              <w:t>Typical value for landfills with active gas collection</w:t>
            </w:r>
          </w:p>
        </w:tc>
      </w:tr>
      <w:tr>
        <w:tc>
          <w:tcPr>
            <w:tcW w:type="dxa" w:w="3118"/>
            <w:shd w:fill="FFFFFF" w:color="auto" w:val="clear"/>
          </w:tcPr>
          <w:p>
            <w:r/>
            <w:r>
              <w:rPr>
                <w:rFonts w:ascii="Times New Roman" w:hAnsi="Times New Roman"/>
                <w:b w:val="0"/>
                <w:i w:val="0"/>
                <w:sz w:val="22"/>
              </w:rPr>
              <w:t>Oxidation factor (OX)</w:t>
            </w:r>
          </w:p>
        </w:tc>
        <w:tc>
          <w:tcPr>
            <w:tcW w:type="dxa" w:w="850"/>
            <w:shd w:fill="FFFFFF" w:color="auto" w:val="clear"/>
          </w:tcPr>
          <w:p>
            <w:r/>
            <w:r>
              <w:rPr>
                <w:rFonts w:ascii="Times New Roman" w:hAnsi="Times New Roman"/>
                <w:b w:val="0"/>
                <w:i w:val="0"/>
                <w:sz w:val="22"/>
              </w:rPr>
              <w:t>-</w:t>
            </w:r>
          </w:p>
        </w:tc>
        <w:tc>
          <w:tcPr>
            <w:tcW w:type="dxa" w:w="1134"/>
            <w:shd w:fill="FFFFFF" w:color="auto" w:val="clear"/>
          </w:tcPr>
          <w:p>
            <w:r/>
            <w:r>
              <w:rPr>
                <w:rFonts w:ascii="Times New Roman" w:hAnsi="Times New Roman"/>
                <w:b w:val="0"/>
                <w:i w:val="0"/>
                <w:sz w:val="22"/>
              </w:rPr>
              <w:t>0.10</w:t>
            </w:r>
          </w:p>
        </w:tc>
        <w:tc>
          <w:tcPr>
            <w:tcW w:type="dxa" w:w="3402"/>
            <w:shd w:fill="FFFFFF" w:color="auto" w:val="clear"/>
          </w:tcPr>
          <w:p>
            <w:r/>
            <w:r>
              <w:rPr>
                <w:rFonts w:ascii="Times New Roman" w:hAnsi="Times New Roman"/>
                <w:b w:val="0"/>
                <w:i w:val="0"/>
                <w:sz w:val="22"/>
              </w:rPr>
              <w:t>IPCC 2006 Tier 1 default; fraction of CH4 oxidised in landfill cover</w:t>
            </w:r>
          </w:p>
        </w:tc>
      </w:tr>
      <w:tr>
        <w:tc>
          <w:tcPr>
            <w:tcW w:type="dxa" w:w="3118"/>
            <w:shd w:fill="EAF0FB" w:color="auto" w:val="clear"/>
          </w:tcPr>
          <w:p>
            <w:r/>
            <w:r>
              <w:rPr>
                <w:rFonts w:ascii="Times New Roman" w:hAnsi="Times New Roman"/>
                <w:b w:val="0"/>
                <w:i w:val="0"/>
                <w:sz w:val="22"/>
              </w:rPr>
              <w:t>Landfill depth</w:t>
            </w:r>
          </w:p>
        </w:tc>
        <w:tc>
          <w:tcPr>
            <w:tcW w:type="dxa" w:w="850"/>
            <w:shd w:fill="EAF0FB" w:color="auto" w:val="clear"/>
          </w:tcPr>
          <w:p>
            <w:r/>
            <w:r>
              <w:rPr>
                <w:rFonts w:ascii="Times New Roman" w:hAnsi="Times New Roman"/>
                <w:b w:val="0"/>
                <w:i w:val="0"/>
                <w:sz w:val="22"/>
              </w:rPr>
              <w:t>m</w:t>
            </w:r>
          </w:p>
        </w:tc>
        <w:tc>
          <w:tcPr>
            <w:tcW w:type="dxa" w:w="1134"/>
            <w:shd w:fill="EAF0FB" w:color="auto" w:val="clear"/>
          </w:tcPr>
          <w:p>
            <w:r/>
            <w:r>
              <w:rPr>
                <w:rFonts w:ascii="Times New Roman" w:hAnsi="Times New Roman"/>
                <w:b w:val="0"/>
                <w:i w:val="0"/>
                <w:sz w:val="22"/>
              </w:rPr>
              <w:t>10</w:t>
            </w:r>
          </w:p>
        </w:tc>
        <w:tc>
          <w:tcPr>
            <w:tcW w:type="dxa" w:w="3402"/>
            <w:shd w:fill="EAF0FB" w:color="auto" w:val="clear"/>
          </w:tcPr>
          <w:p>
            <w:r/>
            <w:r>
              <w:rPr>
                <w:rFonts w:ascii="Times New Roman" w:hAnsi="Times New Roman"/>
                <w:b w:val="0"/>
                <w:i w:val="0"/>
                <w:sz w:val="22"/>
              </w:rPr>
              <w:t>Used in area-based sizing calculations</w:t>
            </w:r>
          </w:p>
        </w:tc>
      </w:tr>
    </w:tbl>
    <w:p/>
    <w:p>
      <w:pPr>
        <w:pStyle w:val="Heading2"/>
        <w:spacing w:before="240" w:after="80"/>
      </w:pPr>
      <w:r>
        <w:rPr>
          <w:rFonts w:ascii="Times New Roman" w:hAnsi="Times New Roman"/>
          <w:b/>
          <w:color w:val="1F497D"/>
          <w:sz w:val="26"/>
        </w:rPr>
        <w:t>6.8  Incineration (INC)</w:t>
      </w:r>
    </w:p>
    <w:p>
      <w:pPr>
        <w:spacing w:after="160" w:before="0"/>
        <w:ind w:firstLine="425"/>
      </w:pPr>
      <w:r>
        <w:rPr>
          <w:rFonts w:ascii="Times New Roman" w:hAnsi="Times New Roman"/>
          <w:b w:val="0"/>
          <w:i w:val="0"/>
          <w:sz w:val="24"/>
        </w:rPr>
        <w:t>INC uses a first-principles elemental combustion model rather than a fixed conversion efficiency. Flue gas composition is computed from mole balances on C, H, O, N, and S using the dry-basis ultimate analysis of the feed. The three adjustable parameters are:</w:t>
      </w:r>
    </w:p>
    <w:tbl>
      <w:tblPr>
        <w:tblStyle w:val="TableGrid"/>
        <w:tblW w:type="auto" w:w="0"/>
        <w:tblLook w:firstColumn="1" w:firstRow="1" w:lastColumn="0" w:lastRow="0" w:noHBand="0" w:noVBand="1" w:val="04A0"/>
      </w:tblPr>
      <w:tblGrid>
        <w:gridCol w:w="2158"/>
        <w:gridCol w:w="2158"/>
        <w:gridCol w:w="2158"/>
        <w:gridCol w:w="2158"/>
      </w:tblGrid>
      <w:tr>
        <w:tc>
          <w:tcPr>
            <w:tcW w:type="dxa" w:w="2268"/>
            <w:shd w:fill="003366" w:color="auto" w:val="clear"/>
          </w:tcPr>
          <w:p>
            <w:pPr>
              <w:jc w:val="center"/>
            </w:pPr>
            <w:r/>
            <w:r>
              <w:rPr>
                <w:rFonts w:ascii="Times New Roman" w:hAnsi="Times New Roman"/>
                <w:b/>
                <w:i w:val="0"/>
                <w:color w:val="FFFFFF"/>
                <w:sz w:val="22"/>
              </w:rPr>
              <w:t>Parameter</w:t>
            </w:r>
          </w:p>
        </w:tc>
        <w:tc>
          <w:tcPr>
            <w:tcW w:type="dxa" w:w="850"/>
            <w:shd w:fill="003366" w:color="auto" w:val="clear"/>
          </w:tcPr>
          <w:p>
            <w:pPr>
              <w:jc w:val="center"/>
            </w:pPr>
            <w:r/>
            <w:r>
              <w:rPr>
                <w:rFonts w:ascii="Times New Roman" w:hAnsi="Times New Roman"/>
                <w:b/>
                <w:i w:val="0"/>
                <w:color w:val="FFFFFF"/>
                <w:sz w:val="22"/>
              </w:rPr>
              <w:t>Unit</w:t>
            </w:r>
          </w:p>
        </w:tc>
        <w:tc>
          <w:tcPr>
            <w:tcW w:type="dxa" w:w="1134"/>
            <w:shd w:fill="003366" w:color="auto" w:val="clear"/>
          </w:tcPr>
          <w:p>
            <w:pPr>
              <w:jc w:val="center"/>
            </w:pPr>
            <w:r/>
            <w:r>
              <w:rPr>
                <w:rFonts w:ascii="Times New Roman" w:hAnsi="Times New Roman"/>
                <w:b/>
                <w:i w:val="0"/>
                <w:color w:val="FFFFFF"/>
                <w:sz w:val="22"/>
              </w:rPr>
              <w:t>Default</w:t>
            </w:r>
          </w:p>
        </w:tc>
        <w:tc>
          <w:tcPr>
            <w:tcW w:type="dxa" w:w="4252"/>
            <w:shd w:fill="003366" w:color="auto" w:val="clear"/>
          </w:tcPr>
          <w:p>
            <w:pPr>
              <w:jc w:val="center"/>
            </w:pPr>
            <w:r/>
            <w:r>
              <w:rPr>
                <w:rFonts w:ascii="Times New Roman" w:hAnsi="Times New Roman"/>
                <w:b/>
                <w:i w:val="0"/>
                <w:color w:val="FFFFFF"/>
                <w:sz w:val="22"/>
              </w:rPr>
              <w:t>Description</w:t>
            </w:r>
          </w:p>
        </w:tc>
      </w:tr>
      <w:tr>
        <w:tc>
          <w:tcPr>
            <w:tcW w:type="dxa" w:w="2268"/>
            <w:shd w:fill="EAF0FB" w:color="auto" w:val="clear"/>
          </w:tcPr>
          <w:p>
            <w:r/>
            <w:r>
              <w:rPr>
                <w:rFonts w:ascii="Times New Roman" w:hAnsi="Times New Roman"/>
                <w:b w:val="0"/>
                <w:i w:val="0"/>
                <w:sz w:val="22"/>
              </w:rPr>
              <w:t>Combustion efficiency</w:t>
            </w:r>
          </w:p>
        </w:tc>
        <w:tc>
          <w:tcPr>
            <w:tcW w:type="dxa" w:w="850"/>
            <w:shd w:fill="EAF0FB" w:color="auto" w:val="clear"/>
          </w:tcPr>
          <w:p>
            <w:r/>
            <w:r>
              <w:rPr>
                <w:rFonts w:ascii="Times New Roman" w:hAnsi="Times New Roman"/>
                <w:b w:val="0"/>
                <w:i w:val="0"/>
                <w:sz w:val="22"/>
              </w:rPr>
              <w:t>-</w:t>
            </w:r>
          </w:p>
        </w:tc>
        <w:tc>
          <w:tcPr>
            <w:tcW w:type="dxa" w:w="1134"/>
            <w:shd w:fill="EAF0FB" w:color="auto" w:val="clear"/>
          </w:tcPr>
          <w:p>
            <w:r/>
            <w:r>
              <w:rPr>
                <w:rFonts w:ascii="Times New Roman" w:hAnsi="Times New Roman"/>
                <w:b w:val="0"/>
                <w:i w:val="0"/>
                <w:sz w:val="22"/>
              </w:rPr>
              <w:t>0.98</w:t>
            </w:r>
          </w:p>
        </w:tc>
        <w:tc>
          <w:tcPr>
            <w:tcW w:type="dxa" w:w="4252"/>
            <w:shd w:fill="EAF0FB" w:color="auto" w:val="clear"/>
          </w:tcPr>
          <w:p>
            <w:r/>
            <w:r>
              <w:rPr>
                <w:rFonts w:ascii="Times New Roman" w:hAnsi="Times New Roman"/>
                <w:b w:val="0"/>
                <w:i w:val="0"/>
                <w:sz w:val="22"/>
              </w:rPr>
              <w:t>Fraction of combustible material fully oxidised in the furnace</w:t>
            </w:r>
          </w:p>
        </w:tc>
      </w:tr>
      <w:tr>
        <w:tc>
          <w:tcPr>
            <w:tcW w:type="dxa" w:w="2268"/>
            <w:shd w:fill="FFFFFF" w:color="auto" w:val="clear"/>
          </w:tcPr>
          <w:p>
            <w:r/>
            <w:r>
              <w:rPr>
                <w:rFonts w:ascii="Times New Roman" w:hAnsi="Times New Roman"/>
                <w:b w:val="0"/>
                <w:i w:val="0"/>
                <w:sz w:val="22"/>
              </w:rPr>
              <w:t>Boiler efficiency</w:t>
            </w:r>
          </w:p>
        </w:tc>
        <w:tc>
          <w:tcPr>
            <w:tcW w:type="dxa" w:w="850"/>
            <w:shd w:fill="FFFFFF" w:color="auto" w:val="clear"/>
          </w:tcPr>
          <w:p>
            <w:r/>
            <w:r>
              <w:rPr>
                <w:rFonts w:ascii="Times New Roman" w:hAnsi="Times New Roman"/>
                <w:b w:val="0"/>
                <w:i w:val="0"/>
                <w:sz w:val="22"/>
              </w:rPr>
              <w:t>-</w:t>
            </w:r>
          </w:p>
        </w:tc>
        <w:tc>
          <w:tcPr>
            <w:tcW w:type="dxa" w:w="1134"/>
            <w:shd w:fill="FFFFFF" w:color="auto" w:val="clear"/>
          </w:tcPr>
          <w:p>
            <w:r/>
            <w:r>
              <w:rPr>
                <w:rFonts w:ascii="Times New Roman" w:hAnsi="Times New Roman"/>
                <w:b w:val="0"/>
                <w:i w:val="0"/>
                <w:sz w:val="22"/>
              </w:rPr>
              <w:t>0.80</w:t>
            </w:r>
          </w:p>
        </w:tc>
        <w:tc>
          <w:tcPr>
            <w:tcW w:type="dxa" w:w="4252"/>
            <w:shd w:fill="FFFFFF" w:color="auto" w:val="clear"/>
          </w:tcPr>
          <w:p>
            <w:r/>
            <w:r>
              <w:rPr>
                <w:rFonts w:ascii="Times New Roman" w:hAnsi="Times New Roman"/>
                <w:b w:val="0"/>
                <w:i w:val="0"/>
                <w:sz w:val="22"/>
              </w:rPr>
              <w:t>Fraction of flue gas thermal energy transferred to the steam circuit</w:t>
            </w:r>
          </w:p>
        </w:tc>
      </w:tr>
      <w:tr>
        <w:tc>
          <w:tcPr>
            <w:tcW w:type="dxa" w:w="2268"/>
            <w:shd w:fill="EAF0FB" w:color="auto" w:val="clear"/>
          </w:tcPr>
          <w:p>
            <w:r/>
            <w:r>
              <w:rPr>
                <w:rFonts w:ascii="Times New Roman" w:hAnsi="Times New Roman"/>
                <w:b w:val="0"/>
                <w:i w:val="0"/>
                <w:sz w:val="22"/>
              </w:rPr>
              <w:t>Excess air ratio (lambda)</w:t>
            </w:r>
          </w:p>
        </w:tc>
        <w:tc>
          <w:tcPr>
            <w:tcW w:type="dxa" w:w="850"/>
            <w:shd w:fill="EAF0FB" w:color="auto" w:val="clear"/>
          </w:tcPr>
          <w:p>
            <w:r/>
            <w:r>
              <w:rPr>
                <w:rFonts w:ascii="Times New Roman" w:hAnsi="Times New Roman"/>
                <w:b w:val="0"/>
                <w:i w:val="0"/>
                <w:sz w:val="22"/>
              </w:rPr>
              <w:t>-</w:t>
            </w:r>
          </w:p>
        </w:tc>
        <w:tc>
          <w:tcPr>
            <w:tcW w:type="dxa" w:w="1134"/>
            <w:shd w:fill="EAF0FB" w:color="auto" w:val="clear"/>
          </w:tcPr>
          <w:p>
            <w:r/>
            <w:r>
              <w:rPr>
                <w:rFonts w:ascii="Times New Roman" w:hAnsi="Times New Roman"/>
                <w:b w:val="0"/>
                <w:i w:val="0"/>
                <w:sz w:val="22"/>
              </w:rPr>
              <w:t>1.20</w:t>
            </w:r>
          </w:p>
        </w:tc>
        <w:tc>
          <w:tcPr>
            <w:tcW w:type="dxa" w:w="4252"/>
            <w:shd w:fill="EAF0FB" w:color="auto" w:val="clear"/>
          </w:tcPr>
          <w:p>
            <w:r/>
            <w:r>
              <w:rPr>
                <w:rFonts w:ascii="Times New Roman" w:hAnsi="Times New Roman"/>
                <w:b w:val="0"/>
                <w:i w:val="0"/>
                <w:sz w:val="22"/>
              </w:rPr>
              <w:t>Ratio of actual air supplied to stoichiometric air requirement; 1.20 means 20% excess air</w:t>
            </w:r>
          </w:p>
        </w:tc>
      </w:tr>
    </w:tbl>
    <w:p/>
    <w:p>
      <w:pPr>
        <w:pStyle w:val="Heading2"/>
        <w:spacing w:before="240" w:after="80"/>
      </w:pPr>
      <w:r>
        <w:rPr>
          <w:rFonts w:ascii="Times New Roman" w:hAnsi="Times New Roman"/>
          <w:b/>
          <w:color w:val="1F497D"/>
          <w:sz w:val="26"/>
        </w:rPr>
        <w:t>6.9  Gas Upgrading (ABS and PSA)</w:t>
      </w:r>
    </w:p>
    <w:tbl>
      <w:tblPr>
        <w:tblStyle w:val="TableGrid"/>
        <w:tblW w:type="auto" w:w="0"/>
        <w:tblLook w:firstColumn="1" w:firstRow="1" w:lastColumn="0" w:lastRow="0" w:noHBand="0" w:noVBand="1" w:val="04A0"/>
      </w:tblPr>
      <w:tblGrid>
        <w:gridCol w:w="2158"/>
        <w:gridCol w:w="2158"/>
        <w:gridCol w:w="2158"/>
        <w:gridCol w:w="2158"/>
      </w:tblGrid>
      <w:tr>
        <w:tc>
          <w:tcPr>
            <w:tcW w:type="dxa" w:w="2268"/>
            <w:shd w:fill="003366" w:color="auto" w:val="clear"/>
          </w:tcPr>
          <w:p>
            <w:pPr>
              <w:jc w:val="center"/>
            </w:pPr>
            <w:r/>
            <w:r>
              <w:rPr>
                <w:rFonts w:ascii="Times New Roman" w:hAnsi="Times New Roman"/>
                <w:b/>
                <w:i w:val="0"/>
                <w:color w:val="FFFFFF"/>
                <w:sz w:val="22"/>
              </w:rPr>
              <w:t>Parameter</w:t>
            </w:r>
          </w:p>
        </w:tc>
        <w:tc>
          <w:tcPr>
            <w:tcW w:type="dxa" w:w="1417"/>
            <w:shd w:fill="003366" w:color="auto" w:val="clear"/>
          </w:tcPr>
          <w:p>
            <w:pPr>
              <w:jc w:val="center"/>
            </w:pPr>
            <w:r/>
            <w:r>
              <w:rPr>
                <w:rFonts w:ascii="Times New Roman" w:hAnsi="Times New Roman"/>
                <w:b/>
                <w:i w:val="0"/>
                <w:color w:val="FFFFFF"/>
                <w:sz w:val="22"/>
              </w:rPr>
              <w:t>ABS Default</w:t>
            </w:r>
          </w:p>
        </w:tc>
        <w:tc>
          <w:tcPr>
            <w:tcW w:type="dxa" w:w="1417"/>
            <w:shd w:fill="003366" w:color="auto" w:val="clear"/>
          </w:tcPr>
          <w:p>
            <w:pPr>
              <w:jc w:val="center"/>
            </w:pPr>
            <w:r/>
            <w:r>
              <w:rPr>
                <w:rFonts w:ascii="Times New Roman" w:hAnsi="Times New Roman"/>
                <w:b/>
                <w:i w:val="0"/>
                <w:color w:val="FFFFFF"/>
                <w:sz w:val="22"/>
              </w:rPr>
              <w:t>PSA Default</w:t>
            </w:r>
          </w:p>
        </w:tc>
        <w:tc>
          <w:tcPr>
            <w:tcW w:type="dxa" w:w="3402"/>
            <w:shd w:fill="003366" w:color="auto" w:val="clear"/>
          </w:tcPr>
          <w:p>
            <w:pPr>
              <w:jc w:val="center"/>
            </w:pPr>
            <w:r/>
            <w:r>
              <w:rPr>
                <w:rFonts w:ascii="Times New Roman" w:hAnsi="Times New Roman"/>
                <w:b/>
                <w:i w:val="0"/>
                <w:color w:val="FFFFFF"/>
                <w:sz w:val="22"/>
              </w:rPr>
              <w:t>Description</w:t>
            </w:r>
          </w:p>
        </w:tc>
      </w:tr>
      <w:tr>
        <w:tc>
          <w:tcPr>
            <w:tcW w:type="dxa" w:w="2268"/>
            <w:shd w:fill="EAF0FB" w:color="auto" w:val="clear"/>
          </w:tcPr>
          <w:p>
            <w:r/>
            <w:r>
              <w:rPr>
                <w:rFonts w:ascii="Times New Roman" w:hAnsi="Times New Roman"/>
                <w:b w:val="0"/>
                <w:i w:val="0"/>
                <w:sz w:val="22"/>
              </w:rPr>
              <w:t>CO2 removal efficiency</w:t>
            </w:r>
          </w:p>
        </w:tc>
        <w:tc>
          <w:tcPr>
            <w:tcW w:type="dxa" w:w="1417"/>
            <w:shd w:fill="EAF0FB" w:color="auto" w:val="clear"/>
          </w:tcPr>
          <w:p>
            <w:r/>
            <w:r>
              <w:rPr>
                <w:rFonts w:ascii="Times New Roman" w:hAnsi="Times New Roman"/>
                <w:b w:val="0"/>
                <w:i w:val="0"/>
                <w:sz w:val="22"/>
              </w:rPr>
              <w:t>98.5%</w:t>
            </w:r>
          </w:p>
        </w:tc>
        <w:tc>
          <w:tcPr>
            <w:tcW w:type="dxa" w:w="1417"/>
            <w:shd w:fill="EAF0FB" w:color="auto" w:val="clear"/>
          </w:tcPr>
          <w:p>
            <w:r/>
            <w:r>
              <w:rPr>
                <w:rFonts w:ascii="Times New Roman" w:hAnsi="Times New Roman"/>
                <w:b w:val="0"/>
                <w:i w:val="0"/>
                <w:sz w:val="22"/>
              </w:rPr>
              <w:t>97.0%</w:t>
            </w:r>
          </w:p>
        </w:tc>
        <w:tc>
          <w:tcPr>
            <w:tcW w:type="dxa" w:w="3402"/>
            <w:shd w:fill="EAF0FB" w:color="auto" w:val="clear"/>
          </w:tcPr>
          <w:p>
            <w:r/>
            <w:r>
              <w:rPr>
                <w:rFonts w:ascii="Times New Roman" w:hAnsi="Times New Roman"/>
                <w:b w:val="0"/>
                <w:i w:val="0"/>
                <w:sz w:val="22"/>
              </w:rPr>
              <w:t>Fraction of CO2 removed from the raw biogas stream</w:t>
            </w:r>
          </w:p>
        </w:tc>
      </w:tr>
      <w:tr>
        <w:tc>
          <w:tcPr>
            <w:tcW w:type="dxa" w:w="2268"/>
            <w:shd w:fill="FFFFFF" w:color="auto" w:val="clear"/>
          </w:tcPr>
          <w:p>
            <w:r/>
            <w:r>
              <w:rPr>
                <w:rFonts w:ascii="Times New Roman" w:hAnsi="Times New Roman"/>
                <w:b w:val="0"/>
                <w:i w:val="0"/>
                <w:sz w:val="22"/>
              </w:rPr>
              <w:t>CH4 slip fraction</w:t>
            </w:r>
          </w:p>
        </w:tc>
        <w:tc>
          <w:tcPr>
            <w:tcW w:type="dxa" w:w="1417"/>
            <w:shd w:fill="FFFFFF" w:color="auto" w:val="clear"/>
          </w:tcPr>
          <w:p>
            <w:r/>
            <w:r>
              <w:rPr>
                <w:rFonts w:ascii="Times New Roman" w:hAnsi="Times New Roman"/>
                <w:b w:val="0"/>
                <w:i w:val="0"/>
                <w:sz w:val="22"/>
              </w:rPr>
              <w:t>0.1%</w:t>
            </w:r>
          </w:p>
        </w:tc>
        <w:tc>
          <w:tcPr>
            <w:tcW w:type="dxa" w:w="1417"/>
            <w:shd w:fill="FFFFFF" w:color="auto" w:val="clear"/>
          </w:tcPr>
          <w:p>
            <w:r/>
            <w:r>
              <w:rPr>
                <w:rFonts w:ascii="Times New Roman" w:hAnsi="Times New Roman"/>
                <w:b w:val="0"/>
                <w:i w:val="0"/>
                <w:sz w:val="22"/>
              </w:rPr>
              <w:t>1.5%</w:t>
            </w:r>
          </w:p>
        </w:tc>
        <w:tc>
          <w:tcPr>
            <w:tcW w:type="dxa" w:w="3402"/>
            <w:shd w:fill="FFFFFF" w:color="auto" w:val="clear"/>
          </w:tcPr>
          <w:p>
            <w:r/>
            <w:r>
              <w:rPr>
                <w:rFonts w:ascii="Times New Roman" w:hAnsi="Times New Roman"/>
                <w:b w:val="0"/>
                <w:i w:val="0"/>
                <w:sz w:val="22"/>
              </w:rPr>
              <w:t>Fraction of CH4 lost to the off-gas (not recovered in product stream)</w:t>
            </w:r>
          </w:p>
        </w:tc>
      </w:tr>
      <w:tr>
        <w:tc>
          <w:tcPr>
            <w:tcW w:type="dxa" w:w="2268"/>
            <w:shd w:fill="EAF0FB" w:color="auto" w:val="clear"/>
          </w:tcPr>
          <w:p>
            <w:r/>
            <w:r>
              <w:rPr>
                <w:rFonts w:ascii="Times New Roman" w:hAnsi="Times New Roman"/>
                <w:b w:val="0"/>
                <w:i w:val="0"/>
                <w:sz w:val="22"/>
              </w:rPr>
              <w:t>Electricity consumption</w:t>
            </w:r>
          </w:p>
        </w:tc>
        <w:tc>
          <w:tcPr>
            <w:tcW w:type="dxa" w:w="1417"/>
            <w:shd w:fill="EAF0FB" w:color="auto" w:val="clear"/>
          </w:tcPr>
          <w:p>
            <w:r/>
            <w:r>
              <w:rPr>
                <w:rFonts w:ascii="Times New Roman" w:hAnsi="Times New Roman"/>
                <w:b w:val="0"/>
                <w:i w:val="0"/>
                <w:sz w:val="22"/>
              </w:rPr>
              <w:t>0.12 kWh/m3</w:t>
            </w:r>
          </w:p>
        </w:tc>
        <w:tc>
          <w:tcPr>
            <w:tcW w:type="dxa" w:w="1417"/>
            <w:shd w:fill="EAF0FB" w:color="auto" w:val="clear"/>
          </w:tcPr>
          <w:p>
            <w:r/>
            <w:r>
              <w:rPr>
                <w:rFonts w:ascii="Times New Roman" w:hAnsi="Times New Roman"/>
                <w:b w:val="0"/>
                <w:i w:val="0"/>
                <w:sz w:val="22"/>
              </w:rPr>
              <w:t>0.25 kWh/m3</w:t>
            </w:r>
          </w:p>
        </w:tc>
        <w:tc>
          <w:tcPr>
            <w:tcW w:type="dxa" w:w="3402"/>
            <w:shd w:fill="EAF0FB" w:color="auto" w:val="clear"/>
          </w:tcPr>
          <w:p>
            <w:r/>
            <w:r>
              <w:rPr>
                <w:rFonts w:ascii="Times New Roman" w:hAnsi="Times New Roman"/>
                <w:b w:val="0"/>
                <w:i w:val="0"/>
                <w:sz w:val="22"/>
              </w:rPr>
              <w:t>Specific electricity use per m3 of raw biogas processed at standard conditions</w:t>
            </w:r>
          </w:p>
        </w:tc>
      </w:tr>
      <w:tr>
        <w:tc>
          <w:tcPr>
            <w:tcW w:type="dxa" w:w="2268"/>
            <w:shd w:fill="FFFFFF" w:color="auto" w:val="clear"/>
          </w:tcPr>
          <w:p>
            <w:r/>
            <w:r>
              <w:rPr>
                <w:rFonts w:ascii="Times New Roman" w:hAnsi="Times New Roman"/>
                <w:b w:val="0"/>
                <w:i w:val="0"/>
                <w:sz w:val="22"/>
              </w:rPr>
              <w:t>Required biomethane purity</w:t>
            </w:r>
          </w:p>
        </w:tc>
        <w:tc>
          <w:tcPr>
            <w:tcW w:type="dxa" w:w="1417"/>
            <w:shd w:fill="FFFFFF" w:color="auto" w:val="clear"/>
          </w:tcPr>
          <w:p>
            <w:r/>
            <w:r>
              <w:rPr>
                <w:rFonts w:ascii="Times New Roman" w:hAnsi="Times New Roman"/>
                <w:b w:val="0"/>
                <w:i w:val="0"/>
                <w:sz w:val="22"/>
              </w:rPr>
              <w:t>96% CH4</w:t>
            </w:r>
          </w:p>
        </w:tc>
        <w:tc>
          <w:tcPr>
            <w:tcW w:type="dxa" w:w="1417"/>
            <w:shd w:fill="FFFFFF" w:color="auto" w:val="clear"/>
          </w:tcPr>
          <w:p>
            <w:r/>
            <w:r>
              <w:rPr>
                <w:rFonts w:ascii="Times New Roman" w:hAnsi="Times New Roman"/>
                <w:b w:val="0"/>
                <w:i w:val="0"/>
                <w:sz w:val="22"/>
              </w:rPr>
              <w:t>96% CH4</w:t>
            </w:r>
          </w:p>
        </w:tc>
        <w:tc>
          <w:tcPr>
            <w:tcW w:type="dxa" w:w="3402"/>
            <w:shd w:fill="FFFFFF" w:color="auto" w:val="clear"/>
          </w:tcPr>
          <w:p>
            <w:r/>
            <w:r>
              <w:rPr>
                <w:rFonts w:ascii="Times New Roman" w:hAnsi="Times New Roman"/>
                <w:b w:val="0"/>
                <w:i w:val="0"/>
                <w:sz w:val="22"/>
              </w:rPr>
              <w:t>Minimum molar fraction of CH4 in the product stream (enforced as a model constraint)</w:t>
            </w:r>
          </w:p>
        </w:tc>
      </w:tr>
    </w:tbl>
    <w:p/>
    <w:p>
      <w:pPr>
        <w:pStyle w:val="Heading2"/>
        <w:spacing w:before="240" w:after="80"/>
      </w:pPr>
      <w:r>
        <w:rPr>
          <w:rFonts w:ascii="Times New Roman" w:hAnsi="Times New Roman"/>
          <w:b/>
          <w:color w:val="1F497D"/>
          <w:sz w:val="26"/>
        </w:rPr>
        <w:t>6.10  Steam Turbine (STB)</w:t>
      </w:r>
    </w:p>
    <w:tbl>
      <w:tblPr>
        <w:tblStyle w:val="TableGrid"/>
        <w:tblW w:type="auto" w:w="0"/>
        <w:tblLook w:firstColumn="1" w:firstRow="1" w:lastColumn="0" w:lastRow="0" w:noHBand="0" w:noVBand="1" w:val="04A0"/>
      </w:tblPr>
      <w:tblGrid>
        <w:gridCol w:w="2158"/>
        <w:gridCol w:w="2158"/>
        <w:gridCol w:w="2158"/>
        <w:gridCol w:w="2158"/>
      </w:tblGrid>
      <w:tr>
        <w:tc>
          <w:tcPr>
            <w:tcW w:type="dxa" w:w="3118"/>
            <w:shd w:fill="003366" w:color="auto" w:val="clear"/>
          </w:tcPr>
          <w:p>
            <w:pPr>
              <w:jc w:val="center"/>
            </w:pPr>
            <w:r/>
            <w:r>
              <w:rPr>
                <w:rFonts w:ascii="Times New Roman" w:hAnsi="Times New Roman"/>
                <w:b/>
                <w:i w:val="0"/>
                <w:color w:val="FFFFFF"/>
                <w:sz w:val="22"/>
              </w:rPr>
              <w:t>Parameter</w:t>
            </w:r>
          </w:p>
        </w:tc>
        <w:tc>
          <w:tcPr>
            <w:tcW w:type="dxa" w:w="850"/>
            <w:shd w:fill="003366" w:color="auto" w:val="clear"/>
          </w:tcPr>
          <w:p>
            <w:pPr>
              <w:jc w:val="center"/>
            </w:pPr>
            <w:r/>
            <w:r>
              <w:rPr>
                <w:rFonts w:ascii="Times New Roman" w:hAnsi="Times New Roman"/>
                <w:b/>
                <w:i w:val="0"/>
                <w:color w:val="FFFFFF"/>
                <w:sz w:val="22"/>
              </w:rPr>
              <w:t>Unit</w:t>
            </w:r>
          </w:p>
        </w:tc>
        <w:tc>
          <w:tcPr>
            <w:tcW w:type="dxa" w:w="1134"/>
            <w:shd w:fill="003366" w:color="auto" w:val="clear"/>
          </w:tcPr>
          <w:p>
            <w:pPr>
              <w:jc w:val="center"/>
            </w:pPr>
            <w:r/>
            <w:r>
              <w:rPr>
                <w:rFonts w:ascii="Times New Roman" w:hAnsi="Times New Roman"/>
                <w:b/>
                <w:i w:val="0"/>
                <w:color w:val="FFFFFF"/>
                <w:sz w:val="22"/>
              </w:rPr>
              <w:t>Default</w:t>
            </w:r>
          </w:p>
        </w:tc>
        <w:tc>
          <w:tcPr>
            <w:tcW w:type="dxa" w:w="3402"/>
            <w:shd w:fill="003366" w:color="auto" w:val="clear"/>
          </w:tcPr>
          <w:p>
            <w:pPr>
              <w:jc w:val="center"/>
            </w:pPr>
            <w:r/>
            <w:r>
              <w:rPr>
                <w:rFonts w:ascii="Times New Roman" w:hAnsi="Times New Roman"/>
                <w:b/>
                <w:i w:val="0"/>
                <w:color w:val="FFFFFF"/>
                <w:sz w:val="22"/>
              </w:rPr>
              <w:t>Description</w:t>
            </w:r>
          </w:p>
        </w:tc>
      </w:tr>
      <w:tr>
        <w:tc>
          <w:tcPr>
            <w:tcW w:type="dxa" w:w="3118"/>
            <w:shd w:fill="EAF0FB" w:color="auto" w:val="clear"/>
          </w:tcPr>
          <w:p>
            <w:r/>
            <w:r>
              <w:rPr>
                <w:rFonts w:ascii="Times New Roman" w:hAnsi="Times New Roman"/>
                <w:b w:val="0"/>
                <w:i w:val="0"/>
                <w:sz w:val="22"/>
              </w:rPr>
              <w:t>Turbine isentropic efficiency (eta_t)</w:t>
            </w:r>
          </w:p>
        </w:tc>
        <w:tc>
          <w:tcPr>
            <w:tcW w:type="dxa" w:w="850"/>
            <w:shd w:fill="EAF0FB" w:color="auto" w:val="clear"/>
          </w:tcPr>
          <w:p>
            <w:r/>
            <w:r>
              <w:rPr>
                <w:rFonts w:ascii="Times New Roman" w:hAnsi="Times New Roman"/>
                <w:b w:val="0"/>
                <w:i w:val="0"/>
                <w:sz w:val="22"/>
              </w:rPr>
              <w:t>-</w:t>
            </w:r>
          </w:p>
        </w:tc>
        <w:tc>
          <w:tcPr>
            <w:tcW w:type="dxa" w:w="1134"/>
            <w:shd w:fill="EAF0FB" w:color="auto" w:val="clear"/>
          </w:tcPr>
          <w:p>
            <w:r/>
            <w:r>
              <w:rPr>
                <w:rFonts w:ascii="Times New Roman" w:hAnsi="Times New Roman"/>
                <w:b w:val="0"/>
                <w:i w:val="0"/>
                <w:sz w:val="22"/>
              </w:rPr>
              <w:t>0.85</w:t>
            </w:r>
          </w:p>
        </w:tc>
        <w:tc>
          <w:tcPr>
            <w:tcW w:type="dxa" w:w="3402"/>
            <w:shd w:fill="EAF0FB" w:color="auto" w:val="clear"/>
          </w:tcPr>
          <w:p>
            <w:r/>
            <w:r>
              <w:rPr>
                <w:rFonts w:ascii="Times New Roman" w:hAnsi="Times New Roman"/>
                <w:b w:val="0"/>
                <w:i w:val="0"/>
                <w:sz w:val="22"/>
              </w:rPr>
              <w:t>Ratio of actual work extracted to isentropic (ideal) work; represents mechanical losses in the turbine</w:t>
            </w:r>
          </w:p>
        </w:tc>
      </w:tr>
      <w:tr>
        <w:tc>
          <w:tcPr>
            <w:tcW w:type="dxa" w:w="3118"/>
            <w:shd w:fill="FFFFFF" w:color="auto" w:val="clear"/>
          </w:tcPr>
          <w:p>
            <w:r/>
            <w:r>
              <w:rPr>
                <w:rFonts w:ascii="Times New Roman" w:hAnsi="Times New Roman"/>
                <w:b w:val="0"/>
                <w:i w:val="0"/>
                <w:sz w:val="22"/>
              </w:rPr>
              <w:t>Generator efficiency (eta_g)</w:t>
            </w:r>
          </w:p>
        </w:tc>
        <w:tc>
          <w:tcPr>
            <w:tcW w:type="dxa" w:w="850"/>
            <w:shd w:fill="FFFFFF" w:color="auto" w:val="clear"/>
          </w:tcPr>
          <w:p>
            <w:r/>
            <w:r>
              <w:rPr>
                <w:rFonts w:ascii="Times New Roman" w:hAnsi="Times New Roman"/>
                <w:b w:val="0"/>
                <w:i w:val="0"/>
                <w:sz w:val="22"/>
              </w:rPr>
              <w:t>-</w:t>
            </w:r>
          </w:p>
        </w:tc>
        <w:tc>
          <w:tcPr>
            <w:tcW w:type="dxa" w:w="1134"/>
            <w:shd w:fill="FFFFFF" w:color="auto" w:val="clear"/>
          </w:tcPr>
          <w:p>
            <w:r/>
            <w:r>
              <w:rPr>
                <w:rFonts w:ascii="Times New Roman" w:hAnsi="Times New Roman"/>
                <w:b w:val="0"/>
                <w:i w:val="0"/>
                <w:sz w:val="22"/>
              </w:rPr>
              <w:t>0.95</w:t>
            </w:r>
          </w:p>
        </w:tc>
        <w:tc>
          <w:tcPr>
            <w:tcW w:type="dxa" w:w="3402"/>
            <w:shd w:fill="FFFFFF" w:color="auto" w:val="clear"/>
          </w:tcPr>
          <w:p>
            <w:r/>
            <w:r>
              <w:rPr>
                <w:rFonts w:ascii="Times New Roman" w:hAnsi="Times New Roman"/>
                <w:b w:val="0"/>
                <w:i w:val="0"/>
                <w:sz w:val="22"/>
              </w:rPr>
              <w:t>Fraction of shaft power converted to electrical power by the generator</w:t>
            </w:r>
          </w:p>
        </w:tc>
      </w:tr>
      <w:tr>
        <w:tc>
          <w:tcPr>
            <w:tcW w:type="dxa" w:w="3118"/>
            <w:shd w:fill="EAF0FB" w:color="auto" w:val="clear"/>
          </w:tcPr>
          <w:p>
            <w:r/>
            <w:r>
              <w:rPr>
                <w:rFonts w:ascii="Times New Roman" w:hAnsi="Times New Roman"/>
                <w:b w:val="0"/>
                <w:i w:val="0"/>
                <w:sz w:val="22"/>
              </w:rPr>
              <w:t>Turbine inlet enthalpy (h1)</w:t>
            </w:r>
          </w:p>
        </w:tc>
        <w:tc>
          <w:tcPr>
            <w:tcW w:type="dxa" w:w="850"/>
            <w:shd w:fill="EAF0FB" w:color="auto" w:val="clear"/>
          </w:tcPr>
          <w:p>
            <w:r/>
            <w:r>
              <w:rPr>
                <w:rFonts w:ascii="Times New Roman" w:hAnsi="Times New Roman"/>
                <w:b w:val="0"/>
                <w:i w:val="0"/>
                <w:sz w:val="22"/>
              </w:rPr>
              <w:t>kJ/kg</w:t>
            </w:r>
          </w:p>
        </w:tc>
        <w:tc>
          <w:tcPr>
            <w:tcW w:type="dxa" w:w="1134"/>
            <w:shd w:fill="EAF0FB" w:color="auto" w:val="clear"/>
          </w:tcPr>
          <w:p>
            <w:r/>
            <w:r>
              <w:rPr>
                <w:rFonts w:ascii="Times New Roman" w:hAnsi="Times New Roman"/>
                <w:b w:val="0"/>
                <w:i w:val="0"/>
                <w:sz w:val="22"/>
              </w:rPr>
              <w:t>3,277.9</w:t>
            </w:r>
          </w:p>
        </w:tc>
        <w:tc>
          <w:tcPr>
            <w:tcW w:type="dxa" w:w="3402"/>
            <w:shd w:fill="EAF0FB" w:color="auto" w:val="clear"/>
          </w:tcPr>
          <w:p>
            <w:r/>
            <w:r>
              <w:rPr>
                <w:rFonts w:ascii="Times New Roman" w:hAnsi="Times New Roman"/>
                <w:b w:val="0"/>
                <w:i w:val="0"/>
                <w:sz w:val="22"/>
              </w:rPr>
              <w:t>Specific enthalpy of superheated steam entering the turbine; corresponds to approximately 60 bar and 450 C</w:t>
            </w:r>
          </w:p>
        </w:tc>
      </w:tr>
      <w:tr>
        <w:tc>
          <w:tcPr>
            <w:tcW w:type="dxa" w:w="3118"/>
            <w:shd w:fill="FFFFFF" w:color="auto" w:val="clear"/>
          </w:tcPr>
          <w:p>
            <w:r/>
            <w:r>
              <w:rPr>
                <w:rFonts w:ascii="Times New Roman" w:hAnsi="Times New Roman"/>
                <w:b w:val="0"/>
                <w:i w:val="0"/>
                <w:sz w:val="22"/>
              </w:rPr>
              <w:t>Turbine outlet enthalpy (h2)</w:t>
            </w:r>
          </w:p>
        </w:tc>
        <w:tc>
          <w:tcPr>
            <w:tcW w:type="dxa" w:w="850"/>
            <w:shd w:fill="FFFFFF" w:color="auto" w:val="clear"/>
          </w:tcPr>
          <w:p>
            <w:r/>
            <w:r>
              <w:rPr>
                <w:rFonts w:ascii="Times New Roman" w:hAnsi="Times New Roman"/>
                <w:b w:val="0"/>
                <w:i w:val="0"/>
                <w:sz w:val="22"/>
              </w:rPr>
              <w:t>kJ/kg</w:t>
            </w:r>
          </w:p>
        </w:tc>
        <w:tc>
          <w:tcPr>
            <w:tcW w:type="dxa" w:w="1134"/>
            <w:shd w:fill="FFFFFF" w:color="auto" w:val="clear"/>
          </w:tcPr>
          <w:p>
            <w:r/>
            <w:r>
              <w:rPr>
                <w:rFonts w:ascii="Times New Roman" w:hAnsi="Times New Roman"/>
                <w:b w:val="0"/>
                <w:i w:val="0"/>
                <w:sz w:val="22"/>
              </w:rPr>
              <w:t>2,800</w:t>
            </w:r>
          </w:p>
        </w:tc>
        <w:tc>
          <w:tcPr>
            <w:tcW w:type="dxa" w:w="3402"/>
            <w:shd w:fill="FFFFFF" w:color="auto" w:val="clear"/>
          </w:tcPr>
          <w:p>
            <w:r/>
            <w:r>
              <w:rPr>
                <w:rFonts w:ascii="Times New Roman" w:hAnsi="Times New Roman"/>
                <w:b w:val="0"/>
                <w:i w:val="0"/>
                <w:sz w:val="22"/>
              </w:rPr>
              <w:t>Isentropic outlet enthalpy; corresponds to back-pressure exhaust at approximately 9-10 bar</w:t>
            </w:r>
          </w:p>
        </w:tc>
      </w:tr>
      <w:tr>
        <w:tc>
          <w:tcPr>
            <w:tcW w:type="dxa" w:w="3118"/>
            <w:shd w:fill="EAF0FB" w:color="auto" w:val="clear"/>
          </w:tcPr>
          <w:p>
            <w:r/>
            <w:r>
              <w:rPr>
                <w:rFonts w:ascii="Times New Roman" w:hAnsi="Times New Roman"/>
                <w:b w:val="0"/>
                <w:i w:val="0"/>
                <w:sz w:val="22"/>
              </w:rPr>
              <w:t>Flue gas inlet temperature</w:t>
            </w:r>
          </w:p>
        </w:tc>
        <w:tc>
          <w:tcPr>
            <w:tcW w:type="dxa" w:w="850"/>
            <w:shd w:fill="EAF0FB" w:color="auto" w:val="clear"/>
          </w:tcPr>
          <w:p>
            <w:r/>
            <w:r>
              <w:rPr>
                <w:rFonts w:ascii="Times New Roman" w:hAnsi="Times New Roman"/>
                <w:b w:val="0"/>
                <w:i w:val="0"/>
                <w:sz w:val="22"/>
              </w:rPr>
              <w:t>C</w:t>
            </w:r>
          </w:p>
        </w:tc>
        <w:tc>
          <w:tcPr>
            <w:tcW w:type="dxa" w:w="1134"/>
            <w:shd w:fill="EAF0FB" w:color="auto" w:val="clear"/>
          </w:tcPr>
          <w:p>
            <w:r/>
            <w:r>
              <w:rPr>
                <w:rFonts w:ascii="Times New Roman" w:hAnsi="Times New Roman"/>
                <w:b w:val="0"/>
                <w:i w:val="0"/>
                <w:sz w:val="22"/>
              </w:rPr>
              <w:t>850</w:t>
            </w:r>
          </w:p>
        </w:tc>
        <w:tc>
          <w:tcPr>
            <w:tcW w:type="dxa" w:w="3402"/>
            <w:shd w:fill="EAF0FB" w:color="auto" w:val="clear"/>
          </w:tcPr>
          <w:p>
            <w:r/>
            <w:r>
              <w:rPr>
                <w:rFonts w:ascii="Times New Roman" w:hAnsi="Times New Roman"/>
                <w:b w:val="0"/>
                <w:i w:val="0"/>
                <w:sz w:val="22"/>
              </w:rPr>
              <w:t>Temperature of INC flue gas entering the waste heat recovery boiler</w:t>
            </w:r>
          </w:p>
        </w:tc>
      </w:tr>
      <w:tr>
        <w:tc>
          <w:tcPr>
            <w:tcW w:type="dxa" w:w="3118"/>
            <w:shd w:fill="FFFFFF" w:color="auto" w:val="clear"/>
          </w:tcPr>
          <w:p>
            <w:r/>
            <w:r>
              <w:rPr>
                <w:rFonts w:ascii="Times New Roman" w:hAnsi="Times New Roman"/>
                <w:b w:val="0"/>
                <w:i w:val="0"/>
                <w:sz w:val="22"/>
              </w:rPr>
              <w:t>Flue gas outlet temperature</w:t>
            </w:r>
          </w:p>
        </w:tc>
        <w:tc>
          <w:tcPr>
            <w:tcW w:type="dxa" w:w="850"/>
            <w:shd w:fill="FFFFFF" w:color="auto" w:val="clear"/>
          </w:tcPr>
          <w:p>
            <w:r/>
            <w:r>
              <w:rPr>
                <w:rFonts w:ascii="Times New Roman" w:hAnsi="Times New Roman"/>
                <w:b w:val="0"/>
                <w:i w:val="0"/>
                <w:sz w:val="22"/>
              </w:rPr>
              <w:t>C</w:t>
            </w:r>
          </w:p>
        </w:tc>
        <w:tc>
          <w:tcPr>
            <w:tcW w:type="dxa" w:w="1134"/>
            <w:shd w:fill="FFFFFF" w:color="auto" w:val="clear"/>
          </w:tcPr>
          <w:p>
            <w:r/>
            <w:r>
              <w:rPr>
                <w:rFonts w:ascii="Times New Roman" w:hAnsi="Times New Roman"/>
                <w:b w:val="0"/>
                <w:i w:val="0"/>
                <w:sz w:val="22"/>
              </w:rPr>
              <w:t>400</w:t>
            </w:r>
          </w:p>
        </w:tc>
        <w:tc>
          <w:tcPr>
            <w:tcW w:type="dxa" w:w="3402"/>
            <w:shd w:fill="FFFFFF" w:color="auto" w:val="clear"/>
          </w:tcPr>
          <w:p>
            <w:r/>
            <w:r>
              <w:rPr>
                <w:rFonts w:ascii="Times New Roman" w:hAnsi="Times New Roman"/>
                <w:b w:val="0"/>
                <w:i w:val="0"/>
                <w:sz w:val="22"/>
              </w:rPr>
              <w:t>Temperature of cooled flue gas leaving the boiler</w:t>
            </w:r>
          </w:p>
        </w:tc>
      </w:tr>
      <w:tr>
        <w:tc>
          <w:tcPr>
            <w:tcW w:type="dxa" w:w="3118"/>
            <w:shd w:fill="EAF0FB" w:color="auto" w:val="clear"/>
          </w:tcPr>
          <w:p>
            <w:r/>
            <w:r>
              <w:rPr>
                <w:rFonts w:ascii="Times New Roman" w:hAnsi="Times New Roman"/>
                <w:b w:val="0"/>
                <w:i w:val="0"/>
                <w:sz w:val="22"/>
              </w:rPr>
              <w:t>Flue gas heat capacity (Cp)</w:t>
            </w:r>
          </w:p>
        </w:tc>
        <w:tc>
          <w:tcPr>
            <w:tcW w:type="dxa" w:w="850"/>
            <w:shd w:fill="EAF0FB" w:color="auto" w:val="clear"/>
          </w:tcPr>
          <w:p>
            <w:r/>
            <w:r>
              <w:rPr>
                <w:rFonts w:ascii="Times New Roman" w:hAnsi="Times New Roman"/>
                <w:b w:val="0"/>
                <w:i w:val="0"/>
                <w:sz w:val="22"/>
              </w:rPr>
              <w:t>kJ/kg C</w:t>
            </w:r>
          </w:p>
        </w:tc>
        <w:tc>
          <w:tcPr>
            <w:tcW w:type="dxa" w:w="1134"/>
            <w:shd w:fill="EAF0FB" w:color="auto" w:val="clear"/>
          </w:tcPr>
          <w:p>
            <w:r/>
            <w:r>
              <w:rPr>
                <w:rFonts w:ascii="Times New Roman" w:hAnsi="Times New Roman"/>
                <w:b w:val="0"/>
                <w:i w:val="0"/>
                <w:sz w:val="22"/>
              </w:rPr>
              <w:t>1.15</w:t>
            </w:r>
          </w:p>
        </w:tc>
        <w:tc>
          <w:tcPr>
            <w:tcW w:type="dxa" w:w="3402"/>
            <w:shd w:fill="EAF0FB" w:color="auto" w:val="clear"/>
          </w:tcPr>
          <w:p>
            <w:r/>
            <w:r>
              <w:rPr>
                <w:rFonts w:ascii="Times New Roman" w:hAnsi="Times New Roman"/>
                <w:b w:val="0"/>
                <w:i w:val="0"/>
                <w:sz w:val="22"/>
              </w:rPr>
              <w:t>Specific heat of combustion flue gas at elevated temperature</w:t>
            </w:r>
          </w:p>
        </w:tc>
      </w:tr>
    </w:tbl>
    <w:p/>
    <w:p>
      <w:r>
        <w:br w:type="page"/>
      </w:r>
    </w:p>
    <w:p>
      <w:pPr>
        <w:pStyle w:val="Heading1"/>
        <w:spacing w:before="360" w:after="120"/>
      </w:pPr>
      <w:r>
        <w:rPr>
          <w:rFonts w:ascii="Times New Roman" w:hAnsi="Times New Roman"/>
          <w:b/>
          <w:color w:val="003366"/>
          <w:sz w:val="32"/>
        </w:rPr>
        <w:t>7.  Tab 4 — Cost Specifications</w:t>
      </w:r>
    </w:p>
    <w:p>
      <w:pPr>
        <w:spacing w:after="160" w:before="0"/>
        <w:ind w:firstLine="425"/>
      </w:pPr>
      <w:r>
        <w:rPr>
          <w:rFonts w:ascii="Times New Roman" w:hAnsi="Times New Roman"/>
          <w:b w:val="0"/>
          <w:i w:val="0"/>
          <w:sz w:val="24"/>
        </w:rPr>
        <w:t>The Cost Specifications tab collects the economic parameters and solver settings required to run the optimisation. It is organised into three sections: economic parameters, product prices and revenue preview, and solver configuration.</w:t>
      </w:r>
    </w:p>
    <w:p>
      <w:pPr>
        <w:pStyle w:val="Heading2"/>
        <w:spacing w:before="240" w:after="80"/>
      </w:pPr>
      <w:r>
        <w:rPr>
          <w:rFonts w:ascii="Times New Roman" w:hAnsi="Times New Roman"/>
          <w:b/>
          <w:color w:val="1F497D"/>
          <w:sz w:val="26"/>
        </w:rPr>
        <w:t>7.1  Economic Parameters</w:t>
      </w:r>
    </w:p>
    <w:tbl>
      <w:tblPr>
        <w:tblStyle w:val="TableGrid"/>
        <w:tblW w:type="auto" w:w="0"/>
        <w:tblLook w:firstColumn="1" w:firstRow="1" w:lastColumn="0" w:lastRow="0" w:noHBand="0" w:noVBand="1" w:val="04A0"/>
      </w:tblPr>
      <w:tblGrid>
        <w:gridCol w:w="2158"/>
        <w:gridCol w:w="2158"/>
        <w:gridCol w:w="2158"/>
        <w:gridCol w:w="2158"/>
      </w:tblGrid>
      <w:tr>
        <w:tc>
          <w:tcPr>
            <w:tcW w:type="dxa" w:w="2268"/>
            <w:shd w:fill="003366" w:color="auto" w:val="clear"/>
          </w:tcPr>
          <w:p>
            <w:pPr>
              <w:jc w:val="center"/>
            </w:pPr>
            <w:r/>
            <w:r>
              <w:rPr>
                <w:rFonts w:ascii="Times New Roman" w:hAnsi="Times New Roman"/>
                <w:b/>
                <w:i w:val="0"/>
                <w:color w:val="FFFFFF"/>
                <w:sz w:val="22"/>
              </w:rPr>
              <w:t>Parameter</w:t>
            </w:r>
          </w:p>
        </w:tc>
        <w:tc>
          <w:tcPr>
            <w:tcW w:type="dxa" w:w="1134"/>
            <w:shd w:fill="003366" w:color="auto" w:val="clear"/>
          </w:tcPr>
          <w:p>
            <w:pPr>
              <w:jc w:val="center"/>
            </w:pPr>
            <w:r/>
            <w:r>
              <w:rPr>
                <w:rFonts w:ascii="Times New Roman" w:hAnsi="Times New Roman"/>
                <w:b/>
                <w:i w:val="0"/>
                <w:color w:val="FFFFFF"/>
                <w:sz w:val="22"/>
              </w:rPr>
              <w:t>Unit</w:t>
            </w:r>
          </w:p>
        </w:tc>
        <w:tc>
          <w:tcPr>
            <w:tcW w:type="dxa" w:w="1417"/>
            <w:shd w:fill="003366" w:color="auto" w:val="clear"/>
          </w:tcPr>
          <w:p>
            <w:pPr>
              <w:jc w:val="center"/>
            </w:pPr>
            <w:r/>
            <w:r>
              <w:rPr>
                <w:rFonts w:ascii="Times New Roman" w:hAnsi="Times New Roman"/>
                <w:b/>
                <w:i w:val="0"/>
                <w:color w:val="FFFFFF"/>
                <w:sz w:val="22"/>
              </w:rPr>
              <w:t>Default</w:t>
            </w:r>
          </w:p>
        </w:tc>
        <w:tc>
          <w:tcPr>
            <w:tcW w:type="dxa" w:w="3685"/>
            <w:shd w:fill="003366" w:color="auto" w:val="clear"/>
          </w:tcPr>
          <w:p>
            <w:pPr>
              <w:jc w:val="center"/>
            </w:pPr>
            <w:r/>
            <w:r>
              <w:rPr>
                <w:rFonts w:ascii="Times New Roman" w:hAnsi="Times New Roman"/>
                <w:b/>
                <w:i w:val="0"/>
                <w:color w:val="FFFFFF"/>
                <w:sz w:val="22"/>
              </w:rPr>
              <w:t>Role in Model</w:t>
            </w:r>
          </w:p>
        </w:tc>
      </w:tr>
      <w:tr>
        <w:tc>
          <w:tcPr>
            <w:tcW w:type="dxa" w:w="2268"/>
            <w:shd w:fill="EAF0FB" w:color="auto" w:val="clear"/>
          </w:tcPr>
          <w:p>
            <w:r/>
            <w:r>
              <w:rPr>
                <w:rFonts w:ascii="Times New Roman" w:hAnsi="Times New Roman"/>
                <w:b w:val="0"/>
                <w:i w:val="0"/>
                <w:sz w:val="22"/>
              </w:rPr>
              <w:t>Electricity cost (C_elec)</w:t>
            </w:r>
          </w:p>
        </w:tc>
        <w:tc>
          <w:tcPr>
            <w:tcW w:type="dxa" w:w="1134"/>
            <w:shd w:fill="EAF0FB" w:color="auto" w:val="clear"/>
          </w:tcPr>
          <w:p>
            <w:r/>
            <w:r>
              <w:rPr>
                <w:rFonts w:ascii="Times New Roman" w:hAnsi="Times New Roman"/>
                <w:b w:val="0"/>
                <w:i w:val="0"/>
                <w:sz w:val="22"/>
              </w:rPr>
              <w:t>$/kWh</w:t>
            </w:r>
          </w:p>
        </w:tc>
        <w:tc>
          <w:tcPr>
            <w:tcW w:type="dxa" w:w="1417"/>
            <w:shd w:fill="EAF0FB" w:color="auto" w:val="clear"/>
          </w:tcPr>
          <w:p>
            <w:r/>
            <w:r>
              <w:rPr>
                <w:rFonts w:ascii="Times New Roman" w:hAnsi="Times New Roman"/>
                <w:b w:val="0"/>
                <w:i w:val="0"/>
                <w:sz w:val="22"/>
              </w:rPr>
              <w:t>0.10</w:t>
            </w:r>
          </w:p>
        </w:tc>
        <w:tc>
          <w:tcPr>
            <w:tcW w:type="dxa" w:w="3685"/>
            <w:shd w:fill="EAF0FB" w:color="auto" w:val="clear"/>
          </w:tcPr>
          <w:p>
            <w:r/>
            <w:r>
              <w:rPr>
                <w:rFonts w:ascii="Times New Roman" w:hAnsi="Times New Roman"/>
                <w:b w:val="0"/>
                <w:i w:val="0"/>
                <w:sz w:val="22"/>
              </w:rPr>
              <w:t>Unit purchase price of grid electricity. Applied to net electricity consumption (PW_total) in the utility cost equation: CC_UC = C_elec x PW_net x T_ann.</w:t>
            </w:r>
          </w:p>
        </w:tc>
      </w:tr>
      <w:tr>
        <w:tc>
          <w:tcPr>
            <w:tcW w:type="dxa" w:w="2268"/>
            <w:shd w:fill="FFFFFF" w:color="auto" w:val="clear"/>
          </w:tcPr>
          <w:p>
            <w:r/>
            <w:r>
              <w:rPr>
                <w:rFonts w:ascii="Times New Roman" w:hAnsi="Times New Roman"/>
                <w:b w:val="0"/>
                <w:i w:val="0"/>
                <w:sz w:val="22"/>
              </w:rPr>
              <w:t>Tipping fee (C_tip)</w:t>
            </w:r>
          </w:p>
        </w:tc>
        <w:tc>
          <w:tcPr>
            <w:tcW w:type="dxa" w:w="1134"/>
            <w:shd w:fill="FFFFFF" w:color="auto" w:val="clear"/>
          </w:tcPr>
          <w:p>
            <w:r/>
            <w:r>
              <w:rPr>
                <w:rFonts w:ascii="Times New Roman" w:hAnsi="Times New Roman"/>
                <w:b w:val="0"/>
                <w:i w:val="0"/>
                <w:sz w:val="22"/>
              </w:rPr>
              <w:t>$/kg feed</w:t>
            </w:r>
          </w:p>
        </w:tc>
        <w:tc>
          <w:tcPr>
            <w:tcW w:type="dxa" w:w="1417"/>
            <w:shd w:fill="FFFFFF" w:color="auto" w:val="clear"/>
          </w:tcPr>
          <w:p>
            <w:r/>
            <w:r>
              <w:rPr>
                <w:rFonts w:ascii="Times New Roman" w:hAnsi="Times New Roman"/>
                <w:b w:val="0"/>
                <w:i w:val="0"/>
                <w:sz w:val="22"/>
              </w:rPr>
              <w:t>0.08</w:t>
            </w:r>
          </w:p>
        </w:tc>
        <w:tc>
          <w:tcPr>
            <w:tcW w:type="dxa" w:w="3685"/>
            <w:shd w:fill="FFFFFF" w:color="auto" w:val="clear"/>
          </w:tcPr>
          <w:p>
            <w:r/>
            <w:r>
              <w:rPr>
                <w:rFonts w:ascii="Times New Roman" w:hAnsi="Times New Roman"/>
                <w:b w:val="0"/>
                <w:i w:val="0"/>
                <w:sz w:val="22"/>
              </w:rPr>
              <w:t>Revenue received per kg of food waste accepted at the gate. Included in the REV calculation: REV_tip = C_tip x Q_f x T_ann / 10^6.</w:t>
            </w:r>
          </w:p>
        </w:tc>
      </w:tr>
      <w:tr>
        <w:tc>
          <w:tcPr>
            <w:tcW w:type="dxa" w:w="2268"/>
            <w:shd w:fill="EAF0FB" w:color="auto" w:val="clear"/>
          </w:tcPr>
          <w:p>
            <w:r/>
            <w:r>
              <w:rPr>
                <w:rFonts w:ascii="Times New Roman" w:hAnsi="Times New Roman"/>
                <w:b w:val="0"/>
                <w:i w:val="0"/>
                <w:sz w:val="22"/>
              </w:rPr>
              <w:t>Labor cost (C_lbr)</w:t>
            </w:r>
          </w:p>
        </w:tc>
        <w:tc>
          <w:tcPr>
            <w:tcW w:type="dxa" w:w="1134"/>
            <w:shd w:fill="EAF0FB" w:color="auto" w:val="clear"/>
          </w:tcPr>
          <w:p>
            <w:r/>
            <w:r>
              <w:rPr>
                <w:rFonts w:ascii="Times New Roman" w:hAnsi="Times New Roman"/>
                <w:b w:val="0"/>
                <w:i w:val="0"/>
                <w:sz w:val="22"/>
              </w:rPr>
              <w:t>$/hr</w:t>
            </w:r>
          </w:p>
        </w:tc>
        <w:tc>
          <w:tcPr>
            <w:tcW w:type="dxa" w:w="1417"/>
            <w:shd w:fill="EAF0FB" w:color="auto" w:val="clear"/>
          </w:tcPr>
          <w:p>
            <w:r/>
            <w:r>
              <w:rPr>
                <w:rFonts w:ascii="Times New Roman" w:hAnsi="Times New Roman"/>
                <w:b w:val="0"/>
                <w:i w:val="0"/>
                <w:sz w:val="22"/>
              </w:rPr>
              <w:t>30</w:t>
            </w:r>
          </w:p>
        </w:tc>
        <w:tc>
          <w:tcPr>
            <w:tcW w:type="dxa" w:w="3685"/>
            <w:shd w:fill="EAF0FB" w:color="auto" w:val="clear"/>
          </w:tcPr>
          <w:p>
            <w:r/>
            <w:r>
              <w:rPr>
                <w:rFonts w:ascii="Times New Roman" w:hAnsi="Times New Roman"/>
                <w:b w:val="0"/>
                <w:i w:val="0"/>
                <w:sz w:val="22"/>
              </w:rPr>
              <w:t>Hourly wage rate for facility operators. Labour cost is scaled by the number of workers (N_lbr) determined from facility size correlations.</w:t>
            </w:r>
          </w:p>
        </w:tc>
      </w:tr>
      <w:tr>
        <w:tc>
          <w:tcPr>
            <w:tcW w:type="dxa" w:w="2268"/>
            <w:shd w:fill="FFFFFF" w:color="auto" w:val="clear"/>
          </w:tcPr>
          <w:p>
            <w:r/>
            <w:r>
              <w:rPr>
                <w:rFonts w:ascii="Times New Roman" w:hAnsi="Times New Roman"/>
                <w:b w:val="0"/>
                <w:i w:val="0"/>
                <w:sz w:val="22"/>
              </w:rPr>
              <w:t>Discount rate (r)</w:t>
            </w:r>
          </w:p>
        </w:tc>
        <w:tc>
          <w:tcPr>
            <w:tcW w:type="dxa" w:w="1134"/>
            <w:shd w:fill="FFFFFF" w:color="auto" w:val="clear"/>
          </w:tcPr>
          <w:p>
            <w:r/>
            <w:r>
              <w:rPr>
                <w:rFonts w:ascii="Times New Roman" w:hAnsi="Times New Roman"/>
                <w:b w:val="0"/>
                <w:i w:val="0"/>
                <w:sz w:val="22"/>
              </w:rPr>
              <w:t>% yr-1</w:t>
            </w:r>
          </w:p>
        </w:tc>
        <w:tc>
          <w:tcPr>
            <w:tcW w:type="dxa" w:w="1417"/>
            <w:shd w:fill="FFFFFF" w:color="auto" w:val="clear"/>
          </w:tcPr>
          <w:p>
            <w:r/>
            <w:r>
              <w:rPr>
                <w:rFonts w:ascii="Times New Roman" w:hAnsi="Times New Roman"/>
                <w:b w:val="0"/>
                <w:i w:val="0"/>
                <w:sz w:val="22"/>
              </w:rPr>
              <w:t>User defined</w:t>
            </w:r>
          </w:p>
        </w:tc>
        <w:tc>
          <w:tcPr>
            <w:tcW w:type="dxa" w:w="3685"/>
            <w:shd w:fill="FFFFFF" w:color="auto" w:val="clear"/>
          </w:tcPr>
          <w:p>
            <w:r/>
            <w:r>
              <w:rPr>
                <w:rFonts w:ascii="Times New Roman" w:hAnsi="Times New Roman"/>
                <w:b w:val="0"/>
                <w:i w:val="0"/>
                <w:sz w:val="22"/>
              </w:rPr>
              <w:t>Annual discount rate used to compute the Capital Recovery Factor (CRF = r(1+r)^n / ((1+r)^n - 1)).</w:t>
            </w:r>
          </w:p>
        </w:tc>
      </w:tr>
      <w:tr>
        <w:tc>
          <w:tcPr>
            <w:tcW w:type="dxa" w:w="2268"/>
            <w:shd w:fill="EAF0FB" w:color="auto" w:val="clear"/>
          </w:tcPr>
          <w:p>
            <w:r/>
            <w:r>
              <w:rPr>
                <w:rFonts w:ascii="Times New Roman" w:hAnsi="Times New Roman"/>
                <w:b w:val="0"/>
                <w:i w:val="0"/>
                <w:sz w:val="22"/>
              </w:rPr>
              <w:t>Plant lifetime (n)</w:t>
            </w:r>
          </w:p>
        </w:tc>
        <w:tc>
          <w:tcPr>
            <w:tcW w:type="dxa" w:w="1134"/>
            <w:shd w:fill="EAF0FB" w:color="auto" w:val="clear"/>
          </w:tcPr>
          <w:p>
            <w:r/>
            <w:r>
              <w:rPr>
                <w:rFonts w:ascii="Times New Roman" w:hAnsi="Times New Roman"/>
                <w:b w:val="0"/>
                <w:i w:val="0"/>
                <w:sz w:val="22"/>
              </w:rPr>
              <w:t>yr</w:t>
            </w:r>
          </w:p>
        </w:tc>
        <w:tc>
          <w:tcPr>
            <w:tcW w:type="dxa" w:w="1417"/>
            <w:shd w:fill="EAF0FB" w:color="auto" w:val="clear"/>
          </w:tcPr>
          <w:p>
            <w:r/>
            <w:r>
              <w:rPr>
                <w:rFonts w:ascii="Times New Roman" w:hAnsi="Times New Roman"/>
                <w:b w:val="0"/>
                <w:i w:val="0"/>
                <w:sz w:val="22"/>
              </w:rPr>
              <w:t>User defined</w:t>
            </w:r>
          </w:p>
        </w:tc>
        <w:tc>
          <w:tcPr>
            <w:tcW w:type="dxa" w:w="3685"/>
            <w:shd w:fill="EAF0FB" w:color="auto" w:val="clear"/>
          </w:tcPr>
          <w:p>
            <w:r/>
            <w:r>
              <w:rPr>
                <w:rFonts w:ascii="Times New Roman" w:hAnsi="Times New Roman"/>
                <w:b w:val="0"/>
                <w:i w:val="0"/>
                <w:sz w:val="22"/>
              </w:rPr>
              <w:t>Economic project lifetime. Together with r, determines CRF and hence the annualised capital cost (CC_AC).</w:t>
            </w:r>
          </w:p>
        </w:tc>
      </w:tr>
    </w:tbl>
    <w:p/>
    <w:p>
      <w:pPr>
        <w:pStyle w:val="Heading2"/>
        <w:spacing w:before="240" w:after="80"/>
      </w:pPr>
      <w:r>
        <w:rPr>
          <w:rFonts w:ascii="Times New Roman" w:hAnsi="Times New Roman"/>
          <w:b/>
          <w:color w:val="1F497D"/>
          <w:sz w:val="26"/>
        </w:rPr>
        <w:t>7.2  Product Prices and Revenue Preview</w:t>
      </w:r>
    </w:p>
    <w:p>
      <w:pPr>
        <w:spacing w:after="160" w:before="0"/>
        <w:ind w:firstLine="425"/>
      </w:pPr>
      <w:r>
        <w:rPr>
          <w:rFonts w:ascii="Times New Roman" w:hAnsi="Times New Roman"/>
          <w:b w:val="0"/>
          <w:i w:val="0"/>
          <w:sz w:val="24"/>
        </w:rPr>
        <w:t>The user sets the market selling price for each saleable product. A live revenue calculator below the input fields computes and displays the estimated annual revenue from each product at the current feed rate and composition (using pre-set yield assumptions), allowing the user to assess the economic significance of each revenue stream before committing to a full optimisation run.</w:t>
      </w:r>
    </w:p>
    <w:tbl>
      <w:tblPr>
        <w:tblStyle w:val="TableGrid"/>
        <w:tblW w:type="auto" w:w="0"/>
        <w:tblLook w:firstColumn="1" w:firstRow="1" w:lastColumn="0" w:lastRow="0" w:noHBand="0" w:noVBand="1" w:val="04A0"/>
      </w:tblPr>
      <w:tblGrid>
        <w:gridCol w:w="2158"/>
        <w:gridCol w:w="2158"/>
        <w:gridCol w:w="2158"/>
        <w:gridCol w:w="2158"/>
      </w:tblGrid>
      <w:tr>
        <w:tc>
          <w:tcPr>
            <w:tcW w:type="dxa" w:w="1417"/>
            <w:shd w:fill="003366" w:color="auto" w:val="clear"/>
          </w:tcPr>
          <w:p>
            <w:pPr>
              <w:jc w:val="center"/>
            </w:pPr>
            <w:r/>
            <w:r>
              <w:rPr>
                <w:rFonts w:ascii="Times New Roman" w:hAnsi="Times New Roman"/>
                <w:b/>
                <w:i w:val="0"/>
                <w:color w:val="FFFFFF"/>
                <w:sz w:val="22"/>
              </w:rPr>
              <w:t>Product</w:t>
            </w:r>
          </w:p>
        </w:tc>
        <w:tc>
          <w:tcPr>
            <w:tcW w:type="dxa" w:w="850"/>
            <w:shd w:fill="003366" w:color="auto" w:val="clear"/>
          </w:tcPr>
          <w:p>
            <w:pPr>
              <w:jc w:val="center"/>
            </w:pPr>
            <w:r/>
            <w:r>
              <w:rPr>
                <w:rFonts w:ascii="Times New Roman" w:hAnsi="Times New Roman"/>
                <w:b/>
                <w:i w:val="0"/>
                <w:color w:val="FFFFFF"/>
                <w:sz w:val="22"/>
              </w:rPr>
              <w:t>Unit</w:t>
            </w:r>
          </w:p>
        </w:tc>
        <w:tc>
          <w:tcPr>
            <w:tcW w:type="dxa" w:w="1701"/>
            <w:shd w:fill="003366" w:color="auto" w:val="clear"/>
          </w:tcPr>
          <w:p>
            <w:pPr>
              <w:jc w:val="center"/>
            </w:pPr>
            <w:r/>
            <w:r>
              <w:rPr>
                <w:rFonts w:ascii="Times New Roman" w:hAnsi="Times New Roman"/>
                <w:b/>
                <w:i w:val="0"/>
                <w:color w:val="FFFFFF"/>
                <w:sz w:val="22"/>
              </w:rPr>
              <w:t>Typical Range</w:t>
            </w:r>
          </w:p>
        </w:tc>
        <w:tc>
          <w:tcPr>
            <w:tcW w:type="dxa" w:w="4535"/>
            <w:shd w:fill="003366" w:color="auto" w:val="clear"/>
          </w:tcPr>
          <w:p>
            <w:pPr>
              <w:jc w:val="center"/>
            </w:pPr>
            <w:r/>
            <w:r>
              <w:rPr>
                <w:rFonts w:ascii="Times New Roman" w:hAnsi="Times New Roman"/>
                <w:b/>
                <w:i w:val="0"/>
                <w:color w:val="FFFFFF"/>
                <w:sz w:val="22"/>
              </w:rPr>
              <w:t>Notes</w:t>
            </w:r>
          </w:p>
        </w:tc>
      </w:tr>
      <w:tr>
        <w:tc>
          <w:tcPr>
            <w:tcW w:type="dxa" w:w="1417"/>
            <w:shd w:fill="EAF0FB" w:color="auto" w:val="clear"/>
          </w:tcPr>
          <w:p>
            <w:r/>
            <w:r>
              <w:rPr>
                <w:rFonts w:ascii="Times New Roman" w:hAnsi="Times New Roman"/>
                <w:b w:val="0"/>
                <w:i w:val="0"/>
                <w:sz w:val="22"/>
              </w:rPr>
              <w:t>Biocrude</w:t>
            </w:r>
          </w:p>
        </w:tc>
        <w:tc>
          <w:tcPr>
            <w:tcW w:type="dxa" w:w="850"/>
            <w:shd w:fill="EAF0FB" w:color="auto" w:val="clear"/>
          </w:tcPr>
          <w:p>
            <w:r/>
            <w:r>
              <w:rPr>
                <w:rFonts w:ascii="Times New Roman" w:hAnsi="Times New Roman"/>
                <w:b w:val="0"/>
                <w:i w:val="0"/>
                <w:sz w:val="22"/>
              </w:rPr>
              <w:t>$/kg</w:t>
            </w:r>
          </w:p>
        </w:tc>
        <w:tc>
          <w:tcPr>
            <w:tcW w:type="dxa" w:w="1701"/>
            <w:shd w:fill="EAF0FB" w:color="auto" w:val="clear"/>
          </w:tcPr>
          <w:p>
            <w:r/>
            <w:r>
              <w:rPr>
                <w:rFonts w:ascii="Times New Roman" w:hAnsi="Times New Roman"/>
                <w:b w:val="0"/>
                <w:i w:val="0"/>
                <w:sz w:val="22"/>
              </w:rPr>
              <w:t>0.30 - 0.60</w:t>
            </w:r>
          </w:p>
        </w:tc>
        <w:tc>
          <w:tcPr>
            <w:tcW w:type="dxa" w:w="4535"/>
            <w:shd w:fill="EAF0FB" w:color="auto" w:val="clear"/>
          </w:tcPr>
          <w:p>
            <w:r/>
            <w:r>
              <w:rPr>
                <w:rFonts w:ascii="Times New Roman" w:hAnsi="Times New Roman"/>
                <w:b w:val="0"/>
                <w:i w:val="0"/>
                <w:sz w:val="22"/>
              </w:rPr>
              <w:t>Crude bio-oil from HTL pathway. Displaces fossil crude in the GHG displacement credit calculation.</w:t>
            </w:r>
          </w:p>
        </w:tc>
      </w:tr>
      <w:tr>
        <w:tc>
          <w:tcPr>
            <w:tcW w:type="dxa" w:w="1417"/>
            <w:shd w:fill="FFFFFF" w:color="auto" w:val="clear"/>
          </w:tcPr>
          <w:p>
            <w:r/>
            <w:r>
              <w:rPr>
                <w:rFonts w:ascii="Times New Roman" w:hAnsi="Times New Roman"/>
                <w:b w:val="0"/>
                <w:i w:val="0"/>
                <w:sz w:val="22"/>
              </w:rPr>
              <w:t>Biomethane</w:t>
            </w:r>
          </w:p>
        </w:tc>
        <w:tc>
          <w:tcPr>
            <w:tcW w:type="dxa" w:w="850"/>
            <w:shd w:fill="FFFFFF" w:color="auto" w:val="clear"/>
          </w:tcPr>
          <w:p>
            <w:r/>
            <w:r>
              <w:rPr>
                <w:rFonts w:ascii="Times New Roman" w:hAnsi="Times New Roman"/>
                <w:b w:val="0"/>
                <w:i w:val="0"/>
                <w:sz w:val="22"/>
              </w:rPr>
              <w:t>$/kg</w:t>
            </w:r>
          </w:p>
        </w:tc>
        <w:tc>
          <w:tcPr>
            <w:tcW w:type="dxa" w:w="1701"/>
            <w:shd w:fill="FFFFFF" w:color="auto" w:val="clear"/>
          </w:tcPr>
          <w:p>
            <w:r/>
            <w:r>
              <w:rPr>
                <w:rFonts w:ascii="Times New Roman" w:hAnsi="Times New Roman"/>
                <w:b w:val="0"/>
                <w:i w:val="0"/>
                <w:sz w:val="22"/>
              </w:rPr>
              <w:t>0.50 - 1.20</w:t>
            </w:r>
          </w:p>
        </w:tc>
        <w:tc>
          <w:tcPr>
            <w:tcW w:type="dxa" w:w="4535"/>
            <w:shd w:fill="FFFFFF" w:color="auto" w:val="clear"/>
          </w:tcPr>
          <w:p>
            <w:r/>
            <w:r>
              <w:rPr>
                <w:rFonts w:ascii="Times New Roman" w:hAnsi="Times New Roman"/>
                <w:b w:val="0"/>
                <w:i w:val="0"/>
                <w:sz w:val="22"/>
              </w:rPr>
              <w:t>Upgraded biogas (&gt;=96% CH4) from AND or SLF pathways. Displaces fossil natural gas.</w:t>
            </w:r>
          </w:p>
        </w:tc>
      </w:tr>
      <w:tr>
        <w:tc>
          <w:tcPr>
            <w:tcW w:type="dxa" w:w="1417"/>
            <w:shd w:fill="EAF0FB" w:color="auto" w:val="clear"/>
          </w:tcPr>
          <w:p>
            <w:r/>
            <w:r>
              <w:rPr>
                <w:rFonts w:ascii="Times New Roman" w:hAnsi="Times New Roman"/>
                <w:b w:val="0"/>
                <w:i w:val="0"/>
                <w:sz w:val="22"/>
              </w:rPr>
              <w:t>Compost</w:t>
            </w:r>
          </w:p>
        </w:tc>
        <w:tc>
          <w:tcPr>
            <w:tcW w:type="dxa" w:w="850"/>
            <w:shd w:fill="EAF0FB" w:color="auto" w:val="clear"/>
          </w:tcPr>
          <w:p>
            <w:r/>
            <w:r>
              <w:rPr>
                <w:rFonts w:ascii="Times New Roman" w:hAnsi="Times New Roman"/>
                <w:b w:val="0"/>
                <w:i w:val="0"/>
                <w:sz w:val="22"/>
              </w:rPr>
              <w:t>$/kg</w:t>
            </w:r>
          </w:p>
        </w:tc>
        <w:tc>
          <w:tcPr>
            <w:tcW w:type="dxa" w:w="1701"/>
            <w:shd w:fill="EAF0FB" w:color="auto" w:val="clear"/>
          </w:tcPr>
          <w:p>
            <w:r/>
            <w:r>
              <w:rPr>
                <w:rFonts w:ascii="Times New Roman" w:hAnsi="Times New Roman"/>
                <w:b w:val="0"/>
                <w:i w:val="0"/>
                <w:sz w:val="22"/>
              </w:rPr>
              <w:t>0.03 - 0.15</w:t>
            </w:r>
          </w:p>
        </w:tc>
        <w:tc>
          <w:tcPr>
            <w:tcW w:type="dxa" w:w="4535"/>
            <w:shd w:fill="EAF0FB" w:color="auto" w:val="clear"/>
          </w:tcPr>
          <w:p>
            <w:r/>
            <w:r>
              <w:rPr>
                <w:rFonts w:ascii="Times New Roman" w:hAnsi="Times New Roman"/>
                <w:b w:val="0"/>
                <w:i w:val="0"/>
                <w:sz w:val="22"/>
              </w:rPr>
              <w:t>Stabilised organic matter from the CMP pathway. Displaces synthetic fertiliser in GHG accounting.</w:t>
            </w:r>
          </w:p>
        </w:tc>
      </w:tr>
      <w:tr>
        <w:tc>
          <w:tcPr>
            <w:tcW w:type="dxa" w:w="1417"/>
            <w:shd w:fill="FFFFFF" w:color="auto" w:val="clear"/>
          </w:tcPr>
          <w:p>
            <w:r/>
            <w:r>
              <w:rPr>
                <w:rFonts w:ascii="Times New Roman" w:hAnsi="Times New Roman"/>
                <w:b w:val="0"/>
                <w:i w:val="0"/>
                <w:sz w:val="22"/>
              </w:rPr>
              <w:t>Biosolids</w:t>
            </w:r>
          </w:p>
        </w:tc>
        <w:tc>
          <w:tcPr>
            <w:tcW w:type="dxa" w:w="850"/>
            <w:shd w:fill="FFFFFF" w:color="auto" w:val="clear"/>
          </w:tcPr>
          <w:p>
            <w:r/>
            <w:r>
              <w:rPr>
                <w:rFonts w:ascii="Times New Roman" w:hAnsi="Times New Roman"/>
                <w:b w:val="0"/>
                <w:i w:val="0"/>
                <w:sz w:val="22"/>
              </w:rPr>
              <w:t>$/kg</w:t>
            </w:r>
          </w:p>
        </w:tc>
        <w:tc>
          <w:tcPr>
            <w:tcW w:type="dxa" w:w="1701"/>
            <w:shd w:fill="FFFFFF" w:color="auto" w:val="clear"/>
          </w:tcPr>
          <w:p>
            <w:r/>
            <w:r>
              <w:rPr>
                <w:rFonts w:ascii="Times New Roman" w:hAnsi="Times New Roman"/>
                <w:b w:val="0"/>
                <w:i w:val="0"/>
                <w:sz w:val="22"/>
              </w:rPr>
              <w:t>0.01 - 0.10</w:t>
            </w:r>
          </w:p>
        </w:tc>
        <w:tc>
          <w:tcPr>
            <w:tcW w:type="dxa" w:w="4535"/>
            <w:shd w:fill="FFFFFF" w:color="auto" w:val="clear"/>
          </w:tcPr>
          <w:p>
            <w:r/>
            <w:r>
              <w:rPr>
                <w:rFonts w:ascii="Times New Roman" w:hAnsi="Times New Roman"/>
                <w:b w:val="0"/>
                <w:i w:val="0"/>
                <w:sz w:val="22"/>
              </w:rPr>
              <w:t>Dewatered sludge from WWT (and HTL aqueous treatment). Displaces mineral soil amendments.</w:t>
            </w:r>
          </w:p>
        </w:tc>
      </w:tr>
      <w:tr>
        <w:tc>
          <w:tcPr>
            <w:tcW w:type="dxa" w:w="1417"/>
            <w:shd w:fill="EAF0FB" w:color="auto" w:val="clear"/>
          </w:tcPr>
          <w:p>
            <w:r/>
            <w:r>
              <w:rPr>
                <w:rFonts w:ascii="Times New Roman" w:hAnsi="Times New Roman"/>
                <w:b w:val="0"/>
                <w:i w:val="0"/>
                <w:sz w:val="22"/>
              </w:rPr>
              <w:t>Electricity</w:t>
            </w:r>
          </w:p>
        </w:tc>
        <w:tc>
          <w:tcPr>
            <w:tcW w:type="dxa" w:w="850"/>
            <w:shd w:fill="EAF0FB" w:color="auto" w:val="clear"/>
          </w:tcPr>
          <w:p>
            <w:r/>
            <w:r>
              <w:rPr>
                <w:rFonts w:ascii="Times New Roman" w:hAnsi="Times New Roman"/>
                <w:b w:val="0"/>
                <w:i w:val="0"/>
                <w:sz w:val="22"/>
              </w:rPr>
              <w:t>$/kWh</w:t>
            </w:r>
          </w:p>
        </w:tc>
        <w:tc>
          <w:tcPr>
            <w:tcW w:type="dxa" w:w="1701"/>
            <w:shd w:fill="EAF0FB" w:color="auto" w:val="clear"/>
          </w:tcPr>
          <w:p>
            <w:r/>
            <w:r>
              <w:rPr>
                <w:rFonts w:ascii="Times New Roman" w:hAnsi="Times New Roman"/>
                <w:b w:val="0"/>
                <w:i w:val="0"/>
                <w:sz w:val="22"/>
              </w:rPr>
              <w:t>0.08 - 0.15</w:t>
            </w:r>
          </w:p>
        </w:tc>
        <w:tc>
          <w:tcPr>
            <w:tcW w:type="dxa" w:w="4535"/>
            <w:shd w:fill="EAF0FB" w:color="auto" w:val="clear"/>
          </w:tcPr>
          <w:p>
            <w:r/>
            <w:r>
              <w:rPr>
                <w:rFonts w:ascii="Times New Roman" w:hAnsi="Times New Roman"/>
                <w:b w:val="0"/>
                <w:i w:val="0"/>
                <w:sz w:val="22"/>
              </w:rPr>
              <w:t>Generated by the steam turbine in the INC pathway. Displaces grid electricity.</w:t>
            </w:r>
          </w:p>
        </w:tc>
      </w:tr>
    </w:tbl>
    <w:p/>
    <w:p>
      <w:pPr>
        <w:pStyle w:val="Heading2"/>
        <w:spacing w:before="240" w:after="80"/>
      </w:pPr>
      <w:r>
        <w:rPr>
          <w:rFonts w:ascii="Times New Roman" w:hAnsi="Times New Roman"/>
          <w:b/>
          <w:color w:val="1F497D"/>
          <w:sz w:val="26"/>
        </w:rPr>
        <w:t>7.3  Solver Configuration</w:t>
      </w:r>
    </w:p>
    <w:tbl>
      <w:tblPr>
        <w:tblStyle w:val="TableGrid"/>
        <w:tblW w:type="auto" w:w="0"/>
        <w:tblLook w:firstColumn="1" w:firstRow="1" w:lastColumn="0" w:lastRow="0" w:noHBand="0" w:noVBand="1" w:val="04A0"/>
      </w:tblPr>
      <w:tblGrid>
        <w:gridCol w:w="2158"/>
        <w:gridCol w:w="2158"/>
        <w:gridCol w:w="2158"/>
        <w:gridCol w:w="2158"/>
      </w:tblGrid>
      <w:tr>
        <w:tc>
          <w:tcPr>
            <w:tcW w:type="dxa" w:w="2268"/>
            <w:shd w:fill="003366" w:color="auto" w:val="clear"/>
          </w:tcPr>
          <w:p>
            <w:pPr>
              <w:jc w:val="center"/>
            </w:pPr>
            <w:r/>
            <w:r>
              <w:rPr>
                <w:rFonts w:ascii="Times New Roman" w:hAnsi="Times New Roman"/>
                <w:b/>
                <w:i w:val="0"/>
                <w:color w:val="FFFFFF"/>
                <w:sz w:val="22"/>
              </w:rPr>
              <w:t>Setting</w:t>
            </w:r>
          </w:p>
        </w:tc>
        <w:tc>
          <w:tcPr>
            <w:tcW w:type="dxa" w:w="1984"/>
            <w:shd w:fill="003366" w:color="auto" w:val="clear"/>
          </w:tcPr>
          <w:p>
            <w:pPr>
              <w:jc w:val="center"/>
            </w:pPr>
            <w:r/>
            <w:r>
              <w:rPr>
                <w:rFonts w:ascii="Times New Roman" w:hAnsi="Times New Roman"/>
                <w:b/>
                <w:i w:val="0"/>
                <w:color w:val="FFFFFF"/>
                <w:sz w:val="22"/>
              </w:rPr>
              <w:t>Options / Range</w:t>
            </w:r>
          </w:p>
        </w:tc>
        <w:tc>
          <w:tcPr>
            <w:tcW w:type="dxa" w:w="1417"/>
            <w:shd w:fill="003366" w:color="auto" w:val="clear"/>
          </w:tcPr>
          <w:p>
            <w:pPr>
              <w:jc w:val="center"/>
            </w:pPr>
            <w:r/>
            <w:r>
              <w:rPr>
                <w:rFonts w:ascii="Times New Roman" w:hAnsi="Times New Roman"/>
                <w:b/>
                <w:i w:val="0"/>
                <w:color w:val="FFFFFF"/>
                <w:sz w:val="22"/>
              </w:rPr>
              <w:t>Default</w:t>
            </w:r>
          </w:p>
        </w:tc>
        <w:tc>
          <w:tcPr>
            <w:tcW w:type="dxa" w:w="2835"/>
            <w:shd w:fill="003366" w:color="auto" w:val="clear"/>
          </w:tcPr>
          <w:p>
            <w:pPr>
              <w:jc w:val="center"/>
            </w:pPr>
            <w:r/>
            <w:r>
              <w:rPr>
                <w:rFonts w:ascii="Times New Roman" w:hAnsi="Times New Roman"/>
                <w:b/>
                <w:i w:val="0"/>
                <w:color w:val="FFFFFF"/>
                <w:sz w:val="22"/>
              </w:rPr>
              <w:t>Effect on Computation</w:t>
            </w:r>
          </w:p>
        </w:tc>
      </w:tr>
      <w:tr>
        <w:tc>
          <w:tcPr>
            <w:tcW w:type="dxa" w:w="2268"/>
            <w:shd w:fill="EAF0FB" w:color="auto" w:val="clear"/>
          </w:tcPr>
          <w:p>
            <w:r/>
            <w:r>
              <w:rPr>
                <w:rFonts w:ascii="Times New Roman" w:hAnsi="Times New Roman"/>
                <w:b w:val="0"/>
                <w:i w:val="0"/>
                <w:sz w:val="22"/>
              </w:rPr>
              <w:t>Optimisation objective</w:t>
            </w:r>
          </w:p>
        </w:tc>
        <w:tc>
          <w:tcPr>
            <w:tcW w:type="dxa" w:w="1984"/>
            <w:shd w:fill="EAF0FB" w:color="auto" w:val="clear"/>
          </w:tcPr>
          <w:p>
            <w:r/>
            <w:r>
              <w:rPr>
                <w:rFonts w:ascii="Times New Roman" w:hAnsi="Times New Roman"/>
                <w:b w:val="0"/>
                <w:i w:val="0"/>
                <w:sz w:val="22"/>
              </w:rPr>
              <w:t>Lowest Cost / Lowest Emissions / Balanced</w:t>
            </w:r>
          </w:p>
        </w:tc>
        <w:tc>
          <w:tcPr>
            <w:tcW w:type="dxa" w:w="1417"/>
            <w:shd w:fill="EAF0FB" w:color="auto" w:val="clear"/>
          </w:tcPr>
          <w:p>
            <w:r/>
            <w:r>
              <w:rPr>
                <w:rFonts w:ascii="Times New Roman" w:hAnsi="Times New Roman"/>
                <w:b w:val="0"/>
                <w:i w:val="0"/>
                <w:sz w:val="22"/>
              </w:rPr>
              <w:t>Balanced</w:t>
            </w:r>
          </w:p>
        </w:tc>
        <w:tc>
          <w:tcPr>
            <w:tcW w:type="dxa" w:w="2835"/>
            <w:shd w:fill="EAF0FB" w:color="auto" w:val="clear"/>
          </w:tcPr>
          <w:p>
            <w:r/>
            <w:r>
              <w:rPr>
                <w:rFonts w:ascii="Times New Roman" w:hAnsi="Times New Roman"/>
                <w:b w:val="0"/>
                <w:i w:val="0"/>
                <w:sz w:val="22"/>
              </w:rPr>
              <w:t>Selects which of the three solver modes is executed. 'Lowest Cost' and 'Lowest Emissions' each perform one MINLP solve. 'Balanced' performs N + 2 solves (2 anchors + N Pareto points).</w:t>
            </w:r>
          </w:p>
        </w:tc>
      </w:tr>
      <w:tr>
        <w:tc>
          <w:tcPr>
            <w:tcW w:type="dxa" w:w="2268"/>
            <w:shd w:fill="FFFFFF" w:color="auto" w:val="clear"/>
          </w:tcPr>
          <w:p>
            <w:r/>
            <w:r>
              <w:rPr>
                <w:rFonts w:ascii="Times New Roman" w:hAnsi="Times New Roman"/>
                <w:b w:val="0"/>
                <w:i w:val="0"/>
                <w:sz w:val="22"/>
              </w:rPr>
              <w:t>Number of Pareto points (N)</w:t>
            </w:r>
          </w:p>
        </w:tc>
        <w:tc>
          <w:tcPr>
            <w:tcW w:type="dxa" w:w="1984"/>
            <w:shd w:fill="FFFFFF" w:color="auto" w:val="clear"/>
          </w:tcPr>
          <w:p>
            <w:r/>
            <w:r>
              <w:rPr>
                <w:rFonts w:ascii="Times New Roman" w:hAnsi="Times New Roman"/>
                <w:b w:val="0"/>
                <w:i w:val="0"/>
                <w:sz w:val="22"/>
              </w:rPr>
              <w:t>2 - 20</w:t>
            </w:r>
          </w:p>
        </w:tc>
        <w:tc>
          <w:tcPr>
            <w:tcW w:type="dxa" w:w="1417"/>
            <w:shd w:fill="FFFFFF" w:color="auto" w:val="clear"/>
          </w:tcPr>
          <w:p>
            <w:r/>
            <w:r>
              <w:rPr>
                <w:rFonts w:ascii="Times New Roman" w:hAnsi="Times New Roman"/>
                <w:b w:val="0"/>
                <w:i w:val="0"/>
                <w:sz w:val="22"/>
              </w:rPr>
              <w:t>10</w:t>
            </w:r>
          </w:p>
        </w:tc>
        <w:tc>
          <w:tcPr>
            <w:tcW w:type="dxa" w:w="2835"/>
            <w:shd w:fill="FFFFFF" w:color="auto" w:val="clear"/>
          </w:tcPr>
          <w:p>
            <w:r/>
            <w:r>
              <w:rPr>
                <w:rFonts w:ascii="Times New Roman" w:hAnsi="Times New Roman"/>
                <w:b w:val="0"/>
                <w:i w:val="0"/>
                <w:sz w:val="22"/>
              </w:rPr>
              <w:t>Number of epsilon-constraint grid points used to trace the Pareto frontier. More points give a smoother and more informative frontier but increase total solve time approximately linearly.</w:t>
            </w:r>
          </w:p>
        </w:tc>
      </w:tr>
      <w:tr>
        <w:tc>
          <w:tcPr>
            <w:tcW w:type="dxa" w:w="2268"/>
            <w:shd w:fill="EAF0FB" w:color="auto" w:val="clear"/>
          </w:tcPr>
          <w:p>
            <w:r/>
            <w:r>
              <w:rPr>
                <w:rFonts w:ascii="Times New Roman" w:hAnsi="Times New Roman"/>
                <w:b w:val="0"/>
                <w:i w:val="0"/>
                <w:sz w:val="22"/>
              </w:rPr>
              <w:t>Time limit per solve</w:t>
            </w:r>
          </w:p>
        </w:tc>
        <w:tc>
          <w:tcPr>
            <w:tcW w:type="dxa" w:w="1984"/>
            <w:shd w:fill="EAF0FB" w:color="auto" w:val="clear"/>
          </w:tcPr>
          <w:p>
            <w:r/>
            <w:r>
              <w:rPr>
                <w:rFonts w:ascii="Times New Roman" w:hAnsi="Times New Roman"/>
                <w:b w:val="0"/>
                <w:i w:val="0"/>
                <w:sz w:val="22"/>
              </w:rPr>
              <w:t>30 - 600 seconds</w:t>
            </w:r>
          </w:p>
        </w:tc>
        <w:tc>
          <w:tcPr>
            <w:tcW w:type="dxa" w:w="1417"/>
            <w:shd w:fill="EAF0FB" w:color="auto" w:val="clear"/>
          </w:tcPr>
          <w:p>
            <w:r/>
            <w:r>
              <w:rPr>
                <w:rFonts w:ascii="Times New Roman" w:hAnsi="Times New Roman"/>
                <w:b w:val="0"/>
                <w:i w:val="0"/>
                <w:sz w:val="22"/>
              </w:rPr>
              <w:t>300 s</w:t>
            </w:r>
          </w:p>
        </w:tc>
        <w:tc>
          <w:tcPr>
            <w:tcW w:type="dxa" w:w="2835"/>
            <w:shd w:fill="EAF0FB" w:color="auto" w:val="clear"/>
          </w:tcPr>
          <w:p>
            <w:r/>
            <w:r>
              <w:rPr>
                <w:rFonts w:ascii="Times New Roman" w:hAnsi="Times New Roman"/>
                <w:b w:val="0"/>
                <w:i w:val="0"/>
                <w:sz w:val="22"/>
              </w:rPr>
              <w:t>Maximum CPU time allocated to each individual MINLP solve. Tighter limits reduce computation time but may yield solutions with larger optimality gaps.</w:t>
            </w:r>
          </w:p>
        </w:tc>
      </w:tr>
      <w:tr>
        <w:tc>
          <w:tcPr>
            <w:tcW w:type="dxa" w:w="2268"/>
            <w:shd w:fill="FFFFFF" w:color="auto" w:val="clear"/>
          </w:tcPr>
          <w:p>
            <w:r/>
            <w:r>
              <w:rPr>
                <w:rFonts w:ascii="Times New Roman" w:hAnsi="Times New Roman"/>
                <w:b w:val="0"/>
                <w:i w:val="0"/>
                <w:sz w:val="22"/>
              </w:rPr>
              <w:t>Relative optimality gap</w:t>
            </w:r>
          </w:p>
        </w:tc>
        <w:tc>
          <w:tcPr>
            <w:tcW w:type="dxa" w:w="1984"/>
            <w:shd w:fill="FFFFFF" w:color="auto" w:val="clear"/>
          </w:tcPr>
          <w:p>
            <w:r/>
            <w:r>
              <w:rPr>
                <w:rFonts w:ascii="Times New Roman" w:hAnsi="Times New Roman"/>
                <w:b w:val="0"/>
                <w:i w:val="0"/>
                <w:sz w:val="22"/>
              </w:rPr>
              <w:t>0.01 - 0.20</w:t>
            </w:r>
          </w:p>
        </w:tc>
        <w:tc>
          <w:tcPr>
            <w:tcW w:type="dxa" w:w="1417"/>
            <w:shd w:fill="FFFFFF" w:color="auto" w:val="clear"/>
          </w:tcPr>
          <w:p>
            <w:r/>
            <w:r>
              <w:rPr>
                <w:rFonts w:ascii="Times New Roman" w:hAnsi="Times New Roman"/>
                <w:b w:val="0"/>
                <w:i w:val="0"/>
                <w:sz w:val="22"/>
              </w:rPr>
              <w:t>5% (0.05)</w:t>
            </w:r>
          </w:p>
        </w:tc>
        <w:tc>
          <w:tcPr>
            <w:tcW w:type="dxa" w:w="2835"/>
            <w:shd w:fill="FFFFFF" w:color="auto" w:val="clear"/>
          </w:tcPr>
          <w:p>
            <w:r/>
            <w:r>
              <w:rPr>
                <w:rFonts w:ascii="Times New Roman" w:hAnsi="Times New Roman"/>
                <w:b w:val="0"/>
                <w:i w:val="0"/>
                <w:sz w:val="22"/>
              </w:rPr>
              <w:t>The solver terminates when the best feasible solution found is within this percentage of the best theoretical lower bound. A 5% gap is standard for engineering optimisation problems.</w:t>
            </w:r>
          </w:p>
        </w:tc>
      </w:tr>
    </w:tbl>
    <w:p/>
    <w:p>
      <w:r>
        <w:br w:type="page"/>
      </w:r>
    </w:p>
    <w:p>
      <w:pPr>
        <w:pStyle w:val="Heading1"/>
        <w:spacing w:before="360" w:after="120"/>
      </w:pPr>
      <w:r>
        <w:rPr>
          <w:rFonts w:ascii="Times New Roman" w:hAnsi="Times New Roman"/>
          <w:b/>
          <w:color w:val="003366"/>
          <w:sz w:val="32"/>
        </w:rPr>
        <w:t>8.  Tab 5 — Results</w:t>
      </w:r>
    </w:p>
    <w:p>
      <w:pPr>
        <w:spacing w:after="160" w:before="0"/>
        <w:ind w:firstLine="425"/>
      </w:pPr>
      <w:r>
        <w:rPr>
          <w:rFonts w:ascii="Times New Roman" w:hAnsi="Times New Roman"/>
          <w:b w:val="0"/>
          <w:i w:val="0"/>
          <w:sz w:val="24"/>
        </w:rPr>
        <w:t>The Results tab is the core output interface of ECO-FAST. The user clicks 'Run Optimisation' to send all parameters from Tabs 2-4 to the FastAPI backend as a JSON payload. The backend assembles and solves the MINLP model and returns the Pareto results. Results are displayed in several sections within the same tab.</w:t>
      </w:r>
    </w:p>
    <w:p>
      <w:pPr>
        <w:pStyle w:val="Heading2"/>
        <w:spacing w:before="240" w:after="80"/>
      </w:pPr>
      <w:r>
        <w:rPr>
          <w:rFonts w:ascii="Times New Roman" w:hAnsi="Times New Roman"/>
          <w:b/>
          <w:color w:val="1F497D"/>
          <w:sz w:val="26"/>
        </w:rPr>
        <w:t>8.1  Pathway Configuration</w:t>
      </w:r>
    </w:p>
    <w:p>
      <w:pPr>
        <w:spacing w:after="160" w:before="0"/>
        <w:ind w:firstLine="425"/>
      </w:pPr>
      <w:r>
        <w:rPr>
          <w:rFonts w:ascii="Times New Roman" w:hAnsi="Times New Roman"/>
          <w:b w:val="0"/>
          <w:i w:val="0"/>
          <w:sz w:val="24"/>
        </w:rPr>
        <w:t>For each Pareto point, the complete technology configuration is reported: selected conversion technology, biological pretreatment unit, mechanical pretreatment unit, HTL recovery unit (if applicable), gas upgrading unit (if applicable), and steam turbine status (INC pathway only). The associated NAC (M$ yr-1) and GHG (t CO2-eq yr-1) values are shown for each configuration.</w:t>
      </w:r>
    </w:p>
    <w:p>
      <w:pPr>
        <w:pStyle w:val="Heading2"/>
        <w:spacing w:before="240" w:after="80"/>
      </w:pPr>
      <w:r>
        <w:rPr>
          <w:rFonts w:ascii="Times New Roman" w:hAnsi="Times New Roman"/>
          <w:b/>
          <w:color w:val="1F497D"/>
          <w:sz w:val="26"/>
        </w:rPr>
        <w:t>8.2  Cost Breakdown</w:t>
      </w:r>
    </w:p>
    <w:p>
      <w:pPr>
        <w:spacing w:after="160" w:before="0"/>
        <w:ind w:firstLine="425"/>
      </w:pPr>
      <w:r>
        <w:rPr>
          <w:rFonts w:ascii="Times New Roman" w:hAnsi="Times New Roman"/>
          <w:b w:val="0"/>
          <w:i w:val="0"/>
          <w:sz w:val="24"/>
        </w:rPr>
        <w:t>The total annual cost (CCTC) is decomposed into eight components for the selected pathway:</w:t>
      </w:r>
    </w:p>
    <w:tbl>
      <w:tblPr>
        <w:tblStyle w:val="TableGrid"/>
        <w:tblW w:type="auto" w:w="0"/>
        <w:tblLook w:firstColumn="1" w:firstRow="1" w:lastColumn="0" w:lastRow="0" w:noHBand="0" w:noVBand="1" w:val="04A0"/>
      </w:tblPr>
      <w:tblGrid>
        <w:gridCol w:w="2878"/>
        <w:gridCol w:w="2878"/>
        <w:gridCol w:w="2878"/>
      </w:tblGrid>
      <w:tr>
        <w:tc>
          <w:tcPr>
            <w:tcW w:type="dxa" w:w="1134"/>
            <w:shd w:fill="003366" w:color="auto" w:val="clear"/>
          </w:tcPr>
          <w:p>
            <w:pPr>
              <w:jc w:val="center"/>
            </w:pPr>
            <w:r/>
            <w:r>
              <w:rPr>
                <w:rFonts w:ascii="Times New Roman" w:hAnsi="Times New Roman"/>
                <w:b/>
                <w:i w:val="0"/>
                <w:color w:val="FFFFFF"/>
                <w:sz w:val="22"/>
              </w:rPr>
              <w:t>Symbol</w:t>
            </w:r>
          </w:p>
        </w:tc>
        <w:tc>
          <w:tcPr>
            <w:tcW w:type="dxa" w:w="2268"/>
            <w:shd w:fill="003366" w:color="auto" w:val="clear"/>
          </w:tcPr>
          <w:p>
            <w:pPr>
              <w:jc w:val="center"/>
            </w:pPr>
            <w:r/>
            <w:r>
              <w:rPr>
                <w:rFonts w:ascii="Times New Roman" w:hAnsi="Times New Roman"/>
                <w:b/>
                <w:i w:val="0"/>
                <w:color w:val="FFFFFF"/>
                <w:sz w:val="22"/>
              </w:rPr>
              <w:t>Cost Component</w:t>
            </w:r>
          </w:p>
        </w:tc>
        <w:tc>
          <w:tcPr>
            <w:tcW w:type="dxa" w:w="5102"/>
            <w:shd w:fill="003366" w:color="auto" w:val="clear"/>
          </w:tcPr>
          <w:p>
            <w:pPr>
              <w:jc w:val="center"/>
            </w:pPr>
            <w:r/>
            <w:r>
              <w:rPr>
                <w:rFonts w:ascii="Times New Roman" w:hAnsi="Times New Roman"/>
                <w:b/>
                <w:i w:val="0"/>
                <w:color w:val="FFFFFF"/>
                <w:sz w:val="22"/>
              </w:rPr>
              <w:t>Basis of Calculation</w:t>
            </w:r>
          </w:p>
        </w:tc>
      </w:tr>
      <w:tr>
        <w:tc>
          <w:tcPr>
            <w:tcW w:type="dxa" w:w="1134"/>
            <w:shd w:fill="EAF0FB" w:color="auto" w:val="clear"/>
          </w:tcPr>
          <w:p>
            <w:r/>
            <w:r>
              <w:rPr>
                <w:rFonts w:ascii="Times New Roman" w:hAnsi="Times New Roman"/>
                <w:b w:val="0"/>
                <w:i w:val="0"/>
                <w:sz w:val="22"/>
              </w:rPr>
              <w:t>CC_AC</w:t>
            </w:r>
          </w:p>
        </w:tc>
        <w:tc>
          <w:tcPr>
            <w:tcW w:type="dxa" w:w="2268"/>
            <w:shd w:fill="EAF0FB" w:color="auto" w:val="clear"/>
          </w:tcPr>
          <w:p>
            <w:r/>
            <w:r>
              <w:rPr>
                <w:rFonts w:ascii="Times New Roman" w:hAnsi="Times New Roman"/>
                <w:b w:val="0"/>
                <w:i w:val="0"/>
                <w:sz w:val="22"/>
              </w:rPr>
              <w:t>Annualised Capital Cost</w:t>
            </w:r>
          </w:p>
        </w:tc>
        <w:tc>
          <w:tcPr>
            <w:tcW w:type="dxa" w:w="5102"/>
            <w:shd w:fill="EAF0FB" w:color="auto" w:val="clear"/>
          </w:tcPr>
          <w:p>
            <w:r/>
            <w:r>
              <w:rPr>
                <w:rFonts w:ascii="Times New Roman" w:hAnsi="Times New Roman"/>
                <w:b w:val="0"/>
                <w:i w:val="0"/>
                <w:sz w:val="22"/>
              </w:rPr>
              <w:t>Equipment purchase cost scaled by the six-tenths law (exponent 0.67), multiplied by BMC = 5.4 (bare module multiplier), 1.66 (contingency/fees), and CRF.</w:t>
            </w:r>
          </w:p>
        </w:tc>
      </w:tr>
      <w:tr>
        <w:tc>
          <w:tcPr>
            <w:tcW w:type="dxa" w:w="1134"/>
            <w:shd w:fill="FFFFFF" w:color="auto" w:val="clear"/>
          </w:tcPr>
          <w:p>
            <w:r/>
            <w:r>
              <w:rPr>
                <w:rFonts w:ascii="Times New Roman" w:hAnsi="Times New Roman"/>
                <w:b w:val="0"/>
                <w:i w:val="0"/>
                <w:sz w:val="22"/>
              </w:rPr>
              <w:t>CC_WC</w:t>
            </w:r>
          </w:p>
        </w:tc>
        <w:tc>
          <w:tcPr>
            <w:tcW w:type="dxa" w:w="2268"/>
            <w:shd w:fill="FFFFFF" w:color="auto" w:val="clear"/>
          </w:tcPr>
          <w:p>
            <w:r/>
            <w:r>
              <w:rPr>
                <w:rFonts w:ascii="Times New Roman" w:hAnsi="Times New Roman"/>
                <w:b w:val="0"/>
                <w:i w:val="0"/>
                <w:sz w:val="22"/>
              </w:rPr>
              <w:t>Working Capital Cost</w:t>
            </w:r>
          </w:p>
        </w:tc>
        <w:tc>
          <w:tcPr>
            <w:tcW w:type="dxa" w:w="5102"/>
            <w:shd w:fill="FFFFFF" w:color="auto" w:val="clear"/>
          </w:tcPr>
          <w:p>
            <w:r/>
            <w:r>
              <w:rPr>
                <w:rFonts w:ascii="Times New Roman" w:hAnsi="Times New Roman"/>
                <w:b w:val="0"/>
                <w:i w:val="0"/>
                <w:sz w:val="22"/>
              </w:rPr>
              <w:t>Fraction of total capital held as liquid operating reserve (typically 10-15% of CCTC).</w:t>
            </w:r>
          </w:p>
        </w:tc>
      </w:tr>
      <w:tr>
        <w:tc>
          <w:tcPr>
            <w:tcW w:type="dxa" w:w="1134"/>
            <w:shd w:fill="EAF0FB" w:color="auto" w:val="clear"/>
          </w:tcPr>
          <w:p>
            <w:r/>
            <w:r>
              <w:rPr>
                <w:rFonts w:ascii="Times New Roman" w:hAnsi="Times New Roman"/>
                <w:b w:val="0"/>
                <w:i w:val="0"/>
                <w:sz w:val="22"/>
              </w:rPr>
              <w:t>CC_INS</w:t>
            </w:r>
          </w:p>
        </w:tc>
        <w:tc>
          <w:tcPr>
            <w:tcW w:type="dxa" w:w="2268"/>
            <w:shd w:fill="EAF0FB" w:color="auto" w:val="clear"/>
          </w:tcPr>
          <w:p>
            <w:r/>
            <w:r>
              <w:rPr>
                <w:rFonts w:ascii="Times New Roman" w:hAnsi="Times New Roman"/>
                <w:b w:val="0"/>
                <w:i w:val="0"/>
                <w:sz w:val="22"/>
              </w:rPr>
              <w:t>Insurance Cost</w:t>
            </w:r>
          </w:p>
        </w:tc>
        <w:tc>
          <w:tcPr>
            <w:tcW w:type="dxa" w:w="5102"/>
            <w:shd w:fill="EAF0FB" w:color="auto" w:val="clear"/>
          </w:tcPr>
          <w:p>
            <w:r/>
            <w:r>
              <w:rPr>
                <w:rFonts w:ascii="Times New Roman" w:hAnsi="Times New Roman"/>
                <w:b w:val="0"/>
                <w:i w:val="0"/>
                <w:sz w:val="22"/>
              </w:rPr>
              <w:t>Annual insurance premium, typically 1-2% of total installed capital.</w:t>
            </w:r>
          </w:p>
        </w:tc>
      </w:tr>
      <w:tr>
        <w:tc>
          <w:tcPr>
            <w:tcW w:type="dxa" w:w="1134"/>
            <w:shd w:fill="FFFFFF" w:color="auto" w:val="clear"/>
          </w:tcPr>
          <w:p>
            <w:r/>
            <w:r>
              <w:rPr>
                <w:rFonts w:ascii="Times New Roman" w:hAnsi="Times New Roman"/>
                <w:b w:val="0"/>
                <w:i w:val="0"/>
                <w:sz w:val="22"/>
              </w:rPr>
              <w:t>CC_UC</w:t>
            </w:r>
          </w:p>
        </w:tc>
        <w:tc>
          <w:tcPr>
            <w:tcW w:type="dxa" w:w="2268"/>
            <w:shd w:fill="FFFFFF" w:color="auto" w:val="clear"/>
          </w:tcPr>
          <w:p>
            <w:r/>
            <w:r>
              <w:rPr>
                <w:rFonts w:ascii="Times New Roman" w:hAnsi="Times New Roman"/>
                <w:b w:val="0"/>
                <w:i w:val="0"/>
                <w:sz w:val="22"/>
              </w:rPr>
              <w:t>Utility Cost</w:t>
            </w:r>
          </w:p>
        </w:tc>
        <w:tc>
          <w:tcPr>
            <w:tcW w:type="dxa" w:w="5102"/>
            <w:shd w:fill="FFFFFF" w:color="auto" w:val="clear"/>
          </w:tcPr>
          <w:p>
            <w:r/>
            <w:r>
              <w:rPr>
                <w:rFonts w:ascii="Times New Roman" w:hAnsi="Times New Roman"/>
                <w:b w:val="0"/>
                <w:i w:val="0"/>
                <w:sz w:val="22"/>
              </w:rPr>
              <w:t>Cost of net electricity purchased from external sources: C_elec x PW_net x T_ann.</w:t>
            </w:r>
          </w:p>
        </w:tc>
      </w:tr>
      <w:tr>
        <w:tc>
          <w:tcPr>
            <w:tcW w:type="dxa" w:w="1134"/>
            <w:shd w:fill="EAF0FB" w:color="auto" w:val="clear"/>
          </w:tcPr>
          <w:p>
            <w:r/>
            <w:r>
              <w:rPr>
                <w:rFonts w:ascii="Times New Roman" w:hAnsi="Times New Roman"/>
                <w:b w:val="0"/>
                <w:i w:val="0"/>
                <w:sz w:val="22"/>
              </w:rPr>
              <w:t>CC_LB</w:t>
            </w:r>
          </w:p>
        </w:tc>
        <w:tc>
          <w:tcPr>
            <w:tcW w:type="dxa" w:w="2268"/>
            <w:shd w:fill="EAF0FB" w:color="auto" w:val="clear"/>
          </w:tcPr>
          <w:p>
            <w:r/>
            <w:r>
              <w:rPr>
                <w:rFonts w:ascii="Times New Roman" w:hAnsi="Times New Roman"/>
                <w:b w:val="0"/>
                <w:i w:val="0"/>
                <w:sz w:val="22"/>
              </w:rPr>
              <w:t>Labour Cost</w:t>
            </w:r>
          </w:p>
        </w:tc>
        <w:tc>
          <w:tcPr>
            <w:tcW w:type="dxa" w:w="5102"/>
            <w:shd w:fill="EAF0FB" w:color="auto" w:val="clear"/>
          </w:tcPr>
          <w:p>
            <w:r/>
            <w:r>
              <w:rPr>
                <w:rFonts w:ascii="Times New Roman" w:hAnsi="Times New Roman"/>
                <w:b w:val="0"/>
                <w:i w:val="0"/>
                <w:sz w:val="22"/>
              </w:rPr>
              <w:t>Direct operator labour: N_workers x C_lbr x T_ann, where N_workers is scaled by facility throughput.</w:t>
            </w:r>
          </w:p>
        </w:tc>
      </w:tr>
      <w:tr>
        <w:tc>
          <w:tcPr>
            <w:tcW w:type="dxa" w:w="1134"/>
            <w:shd w:fill="FFFFFF" w:color="auto" w:val="clear"/>
          </w:tcPr>
          <w:p>
            <w:r/>
            <w:r>
              <w:rPr>
                <w:rFonts w:ascii="Times New Roman" w:hAnsi="Times New Roman"/>
                <w:b w:val="0"/>
                <w:i w:val="0"/>
                <w:sz w:val="22"/>
              </w:rPr>
              <w:t>CC_OC</w:t>
            </w:r>
          </w:p>
        </w:tc>
        <w:tc>
          <w:tcPr>
            <w:tcW w:type="dxa" w:w="2268"/>
            <w:shd w:fill="FFFFFF" w:color="auto" w:val="clear"/>
          </w:tcPr>
          <w:p>
            <w:r/>
            <w:r>
              <w:rPr>
                <w:rFonts w:ascii="Times New Roman" w:hAnsi="Times New Roman"/>
                <w:b w:val="0"/>
                <w:i w:val="0"/>
                <w:sz w:val="22"/>
              </w:rPr>
              <w:t>Overhead Cost</w:t>
            </w:r>
          </w:p>
        </w:tc>
        <w:tc>
          <w:tcPr>
            <w:tcW w:type="dxa" w:w="5102"/>
            <w:shd w:fill="FFFFFF" w:color="auto" w:val="clear"/>
          </w:tcPr>
          <w:p>
            <w:r/>
            <w:r>
              <w:rPr>
                <w:rFonts w:ascii="Times New Roman" w:hAnsi="Times New Roman"/>
                <w:b w:val="0"/>
                <w:i w:val="0"/>
                <w:sz w:val="22"/>
              </w:rPr>
              <w:t>Indirect operating costs including maintenance, administration, and supervision (typically 60-80% of labour cost).</w:t>
            </w:r>
          </w:p>
        </w:tc>
      </w:tr>
      <w:tr>
        <w:tc>
          <w:tcPr>
            <w:tcW w:type="dxa" w:w="1134"/>
            <w:shd w:fill="EAF0FB" w:color="auto" w:val="clear"/>
          </w:tcPr>
          <w:p>
            <w:r/>
            <w:r>
              <w:rPr>
                <w:rFonts w:ascii="Times New Roman" w:hAnsi="Times New Roman"/>
                <w:b w:val="0"/>
                <w:i w:val="0"/>
                <w:sz w:val="22"/>
              </w:rPr>
              <w:t>CC_RM</w:t>
            </w:r>
          </w:p>
        </w:tc>
        <w:tc>
          <w:tcPr>
            <w:tcW w:type="dxa" w:w="2268"/>
            <w:shd w:fill="EAF0FB" w:color="auto" w:val="clear"/>
          </w:tcPr>
          <w:p>
            <w:r/>
            <w:r>
              <w:rPr>
                <w:rFonts w:ascii="Times New Roman" w:hAnsi="Times New Roman"/>
                <w:b w:val="0"/>
                <w:i w:val="0"/>
                <w:sz w:val="22"/>
              </w:rPr>
              <w:t>Raw Material Cost</w:t>
            </w:r>
          </w:p>
        </w:tc>
        <w:tc>
          <w:tcPr>
            <w:tcW w:type="dxa" w:w="5102"/>
            <w:shd w:fill="EAF0FB" w:color="auto" w:val="clear"/>
          </w:tcPr>
          <w:p>
            <w:r/>
            <w:r>
              <w:rPr>
                <w:rFonts w:ascii="Times New Roman" w:hAnsi="Times New Roman"/>
                <w:b w:val="0"/>
                <w:i w:val="0"/>
                <w:sz w:val="22"/>
              </w:rPr>
              <w:t>Cost of consumables such as enzymes (ENZ pathway), chemicals, and media.</w:t>
            </w:r>
          </w:p>
        </w:tc>
      </w:tr>
      <w:tr>
        <w:tc>
          <w:tcPr>
            <w:tcW w:type="dxa" w:w="1134"/>
            <w:shd w:fill="FFFFFF" w:color="auto" w:val="clear"/>
          </w:tcPr>
          <w:p>
            <w:r/>
            <w:r>
              <w:rPr>
                <w:rFonts w:ascii="Times New Roman" w:hAnsi="Times New Roman"/>
                <w:b w:val="0"/>
                <w:i w:val="0"/>
                <w:sz w:val="22"/>
              </w:rPr>
              <w:t>CC_DISP</w:t>
            </w:r>
          </w:p>
        </w:tc>
        <w:tc>
          <w:tcPr>
            <w:tcW w:type="dxa" w:w="2268"/>
            <w:shd w:fill="FFFFFF" w:color="auto" w:val="clear"/>
          </w:tcPr>
          <w:p>
            <w:r/>
            <w:r>
              <w:rPr>
                <w:rFonts w:ascii="Times New Roman" w:hAnsi="Times New Roman"/>
                <w:b w:val="0"/>
                <w:i w:val="0"/>
                <w:sz w:val="22"/>
              </w:rPr>
              <w:t>Waste Disposal Cost</w:t>
            </w:r>
          </w:p>
        </w:tc>
        <w:tc>
          <w:tcPr>
            <w:tcW w:type="dxa" w:w="5102"/>
            <w:shd w:fill="FFFFFF" w:color="auto" w:val="clear"/>
          </w:tcPr>
          <w:p>
            <w:r/>
            <w:r>
              <w:rPr>
                <w:rFonts w:ascii="Times New Roman" w:hAnsi="Times New Roman"/>
                <w:b w:val="0"/>
                <w:i w:val="0"/>
                <w:sz w:val="22"/>
              </w:rPr>
              <w:t>Cost for disposal of residue streams including non-captured char, ash, and process effluents.</w:t>
            </w:r>
          </w:p>
        </w:tc>
      </w:tr>
    </w:tbl>
    <w:p/>
    <w:p>
      <w:pPr>
        <w:pStyle w:val="Heading2"/>
        <w:spacing w:before="240" w:after="80"/>
      </w:pPr>
      <w:r>
        <w:rPr>
          <w:rFonts w:ascii="Times New Roman" w:hAnsi="Times New Roman"/>
          <w:b/>
          <w:color w:val="1F497D"/>
          <w:sz w:val="26"/>
        </w:rPr>
        <w:t>8.3  GHG Breakdown</w:t>
      </w:r>
    </w:p>
    <w:p>
      <w:pPr>
        <w:spacing w:after="160" w:before="0"/>
        <w:ind w:firstLine="425"/>
      </w:pPr>
      <w:r>
        <w:rPr>
          <w:rFonts w:ascii="Times New Roman" w:hAnsi="Times New Roman"/>
          <w:b w:val="0"/>
          <w:i w:val="0"/>
          <w:sz w:val="24"/>
        </w:rPr>
        <w:t>Total GHG emissions (t CO2-eq yr-1) are decomposed into four terms:</w:t>
      </w:r>
    </w:p>
    <w:tbl>
      <w:tblPr>
        <w:tblStyle w:val="TableGrid"/>
        <w:tblW w:type="auto" w:w="0"/>
        <w:tblLook w:firstColumn="1" w:firstRow="1" w:lastColumn="0" w:lastRow="0" w:noHBand="0" w:noVBand="1" w:val="04A0"/>
      </w:tblPr>
      <w:tblGrid>
        <w:gridCol w:w="2878"/>
        <w:gridCol w:w="2878"/>
        <w:gridCol w:w="2878"/>
      </w:tblGrid>
      <w:tr>
        <w:tc>
          <w:tcPr>
            <w:tcW w:type="dxa" w:w="1134"/>
            <w:shd w:fill="003366" w:color="auto" w:val="clear"/>
          </w:tcPr>
          <w:p>
            <w:pPr>
              <w:jc w:val="center"/>
            </w:pPr>
            <w:r/>
            <w:r>
              <w:rPr>
                <w:rFonts w:ascii="Times New Roman" w:hAnsi="Times New Roman"/>
                <w:b/>
                <w:i w:val="0"/>
                <w:color w:val="FFFFFF"/>
                <w:sz w:val="22"/>
              </w:rPr>
              <w:t>Symbol</w:t>
            </w:r>
          </w:p>
        </w:tc>
        <w:tc>
          <w:tcPr>
            <w:tcW w:type="dxa" w:w="2268"/>
            <w:shd w:fill="003366" w:color="auto" w:val="clear"/>
          </w:tcPr>
          <w:p>
            <w:pPr>
              <w:jc w:val="center"/>
            </w:pPr>
            <w:r/>
            <w:r>
              <w:rPr>
                <w:rFonts w:ascii="Times New Roman" w:hAnsi="Times New Roman"/>
                <w:b/>
                <w:i w:val="0"/>
                <w:color w:val="FFFFFF"/>
                <w:sz w:val="22"/>
              </w:rPr>
              <w:t>GHG Component</w:t>
            </w:r>
          </w:p>
        </w:tc>
        <w:tc>
          <w:tcPr>
            <w:tcW w:type="dxa" w:w="5102"/>
            <w:shd w:fill="003366" w:color="auto" w:val="clear"/>
          </w:tcPr>
          <w:p>
            <w:pPr>
              <w:jc w:val="center"/>
            </w:pPr>
            <w:r/>
            <w:r>
              <w:rPr>
                <w:rFonts w:ascii="Times New Roman" w:hAnsi="Times New Roman"/>
                <w:b/>
                <w:i w:val="0"/>
                <w:color w:val="FFFFFF"/>
                <w:sz w:val="22"/>
              </w:rPr>
              <w:t>Description</w:t>
            </w:r>
          </w:p>
        </w:tc>
      </w:tr>
      <w:tr>
        <w:tc>
          <w:tcPr>
            <w:tcW w:type="dxa" w:w="1134"/>
            <w:shd w:fill="EAF0FB" w:color="auto" w:val="clear"/>
          </w:tcPr>
          <w:p>
            <w:r/>
            <w:r>
              <w:rPr>
                <w:rFonts w:ascii="Times New Roman" w:hAnsi="Times New Roman"/>
                <w:b w:val="0"/>
                <w:i w:val="0"/>
                <w:sz w:val="22"/>
              </w:rPr>
              <w:t>GHG_ind</w:t>
            </w:r>
          </w:p>
        </w:tc>
        <w:tc>
          <w:tcPr>
            <w:tcW w:type="dxa" w:w="2268"/>
            <w:shd w:fill="EAF0FB" w:color="auto" w:val="clear"/>
          </w:tcPr>
          <w:p>
            <w:r/>
            <w:r>
              <w:rPr>
                <w:rFonts w:ascii="Times New Roman" w:hAnsi="Times New Roman"/>
                <w:b w:val="0"/>
                <w:i w:val="0"/>
                <w:sz w:val="22"/>
              </w:rPr>
              <w:t>Indirect Emissions</w:t>
            </w:r>
          </w:p>
        </w:tc>
        <w:tc>
          <w:tcPr>
            <w:tcW w:type="dxa" w:w="5102"/>
            <w:shd w:fill="EAF0FB" w:color="auto" w:val="clear"/>
          </w:tcPr>
          <w:p>
            <w:r/>
            <w:r>
              <w:rPr>
                <w:rFonts w:ascii="Times New Roman" w:hAnsi="Times New Roman"/>
                <w:b w:val="0"/>
                <w:i w:val="0"/>
                <w:sz w:val="22"/>
              </w:rPr>
              <w:t>Scope 2 emissions from grid electricity consumed by all processing units, multiplied by the grid emission factor (phi_elec, kg CO2-eq/kWh).</w:t>
            </w:r>
          </w:p>
        </w:tc>
      </w:tr>
      <w:tr>
        <w:tc>
          <w:tcPr>
            <w:tcW w:type="dxa" w:w="1134"/>
            <w:shd w:fill="FFFFFF" w:color="auto" w:val="clear"/>
          </w:tcPr>
          <w:p>
            <w:r/>
            <w:r>
              <w:rPr>
                <w:rFonts w:ascii="Times New Roman" w:hAnsi="Times New Roman"/>
                <w:b w:val="0"/>
                <w:i w:val="0"/>
                <w:sz w:val="22"/>
              </w:rPr>
              <w:t>GHG_dir</w:t>
            </w:r>
          </w:p>
        </w:tc>
        <w:tc>
          <w:tcPr>
            <w:tcW w:type="dxa" w:w="2268"/>
            <w:shd w:fill="FFFFFF" w:color="auto" w:val="clear"/>
          </w:tcPr>
          <w:p>
            <w:r/>
            <w:r>
              <w:rPr>
                <w:rFonts w:ascii="Times New Roman" w:hAnsi="Times New Roman"/>
                <w:b w:val="0"/>
                <w:i w:val="0"/>
                <w:sz w:val="22"/>
              </w:rPr>
              <w:t>Direct Process Emissions</w:t>
            </w:r>
          </w:p>
        </w:tc>
        <w:tc>
          <w:tcPr>
            <w:tcW w:type="dxa" w:w="5102"/>
            <w:shd w:fill="FFFFFF" w:color="auto" w:val="clear"/>
          </w:tcPr>
          <w:p>
            <w:r/>
            <w:r>
              <w:rPr>
                <w:rFonts w:ascii="Times New Roman" w:hAnsi="Times New Roman"/>
                <w:b w:val="0"/>
                <w:i w:val="0"/>
                <w:sz w:val="22"/>
              </w:rPr>
              <w:t>Scope 1 emissions including process CO2 from biological degradation, fugitive CH4 (GWP = 28) and N2O (GWP = 265, IPCC AR5) from biological and thermal units, and flue gas CO2 from incineration.</w:t>
            </w:r>
          </w:p>
        </w:tc>
      </w:tr>
      <w:tr>
        <w:tc>
          <w:tcPr>
            <w:tcW w:type="dxa" w:w="1134"/>
            <w:shd w:fill="EAF0FB" w:color="auto" w:val="clear"/>
          </w:tcPr>
          <w:p>
            <w:r/>
            <w:r>
              <w:rPr>
                <w:rFonts w:ascii="Times New Roman" w:hAnsi="Times New Roman"/>
                <w:b w:val="0"/>
                <w:i w:val="0"/>
                <w:sz w:val="22"/>
              </w:rPr>
              <w:t>GHG_aq</w:t>
            </w:r>
          </w:p>
        </w:tc>
        <w:tc>
          <w:tcPr>
            <w:tcW w:type="dxa" w:w="2268"/>
            <w:shd w:fill="EAF0FB" w:color="auto" w:val="clear"/>
          </w:tcPr>
          <w:p>
            <w:r/>
            <w:r>
              <w:rPr>
                <w:rFonts w:ascii="Times New Roman" w:hAnsi="Times New Roman"/>
                <w:b w:val="0"/>
                <w:i w:val="0"/>
                <w:sz w:val="22"/>
              </w:rPr>
              <w:t>Aqueous-Phase Emissions</w:t>
            </w:r>
          </w:p>
        </w:tc>
        <w:tc>
          <w:tcPr>
            <w:tcW w:type="dxa" w:w="5102"/>
            <w:shd w:fill="EAF0FB" w:color="auto" w:val="clear"/>
          </w:tcPr>
          <w:p>
            <w:r/>
            <w:r>
              <w:rPr>
                <w:rFonts w:ascii="Times New Roman" w:hAnsi="Times New Roman"/>
                <w:b w:val="0"/>
                <w:i w:val="0"/>
                <w:sz w:val="22"/>
              </w:rPr>
              <w:t>Emissions associated with treatment and disposal of aqueous by-product streams (primarily from HTL and WWT).</w:t>
            </w:r>
          </w:p>
        </w:tc>
      </w:tr>
      <w:tr>
        <w:tc>
          <w:tcPr>
            <w:tcW w:type="dxa" w:w="1134"/>
            <w:shd w:fill="FFFFFF" w:color="auto" w:val="clear"/>
          </w:tcPr>
          <w:p>
            <w:r/>
            <w:r>
              <w:rPr>
                <w:rFonts w:ascii="Times New Roman" w:hAnsi="Times New Roman"/>
                <w:b w:val="0"/>
                <w:i w:val="0"/>
                <w:sz w:val="22"/>
              </w:rPr>
              <w:t>GHG_disp</w:t>
            </w:r>
          </w:p>
        </w:tc>
        <w:tc>
          <w:tcPr>
            <w:tcW w:type="dxa" w:w="2268"/>
            <w:shd w:fill="FFFFFF" w:color="auto" w:val="clear"/>
          </w:tcPr>
          <w:p>
            <w:r/>
            <w:r>
              <w:rPr>
                <w:rFonts w:ascii="Times New Roman" w:hAnsi="Times New Roman"/>
                <w:b w:val="0"/>
                <w:i w:val="0"/>
                <w:sz w:val="22"/>
              </w:rPr>
              <w:t>Displacement Credits (subtracted)</w:t>
            </w:r>
          </w:p>
        </w:tc>
        <w:tc>
          <w:tcPr>
            <w:tcW w:type="dxa" w:w="5102"/>
            <w:shd w:fill="FFFFFF" w:color="auto" w:val="clear"/>
          </w:tcPr>
          <w:p>
            <w:r/>
            <w:r>
              <w:rPr>
                <w:rFonts w:ascii="Times New Roman" w:hAnsi="Times New Roman"/>
                <w:b w:val="0"/>
                <w:i w:val="0"/>
                <w:sz w:val="22"/>
              </w:rPr>
              <w:t>Avoided fossil emissions credited for replacing fossil products: biocrude displaces crude oil, biomethane displaces natural gas, electricity displaces grid power, compost displaces synthetic fertiliser, biosolids displace mineral amendments.</w:t>
            </w:r>
          </w:p>
        </w:tc>
      </w:tr>
    </w:tbl>
    <w:p/>
    <w:p>
      <w:pPr>
        <w:pStyle w:val="Heading2"/>
        <w:spacing w:before="240" w:after="80"/>
      </w:pPr>
      <w:r>
        <w:rPr>
          <w:rFonts w:ascii="Times New Roman" w:hAnsi="Times New Roman"/>
          <w:b/>
          <w:color w:val="1F497D"/>
          <w:sz w:val="26"/>
        </w:rPr>
        <w:t>8.4  Pareto Frontier Plot</w:t>
      </w:r>
    </w:p>
    <w:p>
      <w:pPr>
        <w:spacing w:after="160" w:before="0"/>
        <w:ind w:firstLine="425"/>
      </w:pPr>
      <w:r>
        <w:rPr>
          <w:rFonts w:ascii="Times New Roman" w:hAnsi="Times New Roman"/>
          <w:b w:val="0"/>
          <w:i w:val="0"/>
          <w:sz w:val="24"/>
        </w:rPr>
        <w:t>For the Balanced objective mode, a cost-versus-emissions scatter plot displays all N Pareto-optimal solutions, coloured by conversion technology. The shape of the frontier reveals the magnitude of the cost penalty associated with reducing GHG emissions and identifies 'knee points' where large emission reductions can be achieved at relatively modest additional cost.</w:t>
      </w:r>
    </w:p>
    <w:p>
      <w:pPr>
        <w:pStyle w:val="Heading2"/>
        <w:spacing w:before="240" w:after="80"/>
      </w:pPr>
      <w:r>
        <w:rPr>
          <w:rFonts w:ascii="Times New Roman" w:hAnsi="Times New Roman"/>
          <w:b/>
          <w:color w:val="1F497D"/>
          <w:sz w:val="26"/>
        </w:rPr>
        <w:t>8.5  Results Download</w:t>
      </w:r>
    </w:p>
    <w:p>
      <w:pPr>
        <w:spacing w:after="160" w:before="0"/>
        <w:ind w:firstLine="425"/>
      </w:pPr>
      <w:r>
        <w:rPr>
          <w:rFonts w:ascii="Times New Roman" w:hAnsi="Times New Roman"/>
          <w:b w:val="0"/>
          <w:i w:val="0"/>
          <w:sz w:val="24"/>
        </w:rPr>
        <w:t>All Pareto results - including pathway configuration, all eight cost components, all four GHG components, NAC, REV, and CCTC per Pareto point - are available for download as pareto_results.csv for further analysis in Excel, Python, or R.</w:t>
      </w:r>
    </w:p>
    <w:p>
      <w:r>
        <w:br w:type="page"/>
      </w:r>
    </w:p>
    <w:p>
      <w:pPr>
        <w:pStyle w:val="Heading1"/>
        <w:spacing w:before="360" w:after="120"/>
      </w:pPr>
      <w:r>
        <w:rPr>
          <w:rFonts w:ascii="Times New Roman" w:hAnsi="Times New Roman"/>
          <w:b/>
          <w:color w:val="003366"/>
          <w:sz w:val="32"/>
        </w:rPr>
        <w:t>9.  Tab 6 — Environmental Justice Assessment</w:t>
      </w:r>
    </w:p>
    <w:p>
      <w:pPr>
        <w:spacing w:after="160" w:before="0"/>
        <w:ind w:firstLine="425"/>
      </w:pPr>
      <w:r>
        <w:rPr>
          <w:rFonts w:ascii="Times New Roman" w:hAnsi="Times New Roman"/>
          <w:b w:val="0"/>
          <w:i w:val="0"/>
          <w:sz w:val="24"/>
        </w:rPr>
        <w:t>The Environmental Justice (EJ) tab assesses the equity implications of siting a food waste facility at the specified location by combining optimisation results with community demographic vulnerability data. The tab is active only when a valid zip code has been entered in Tab 2 and an optimisation has been completed in Tab 5. The methodology follows the EPA EJScreen framework (US EPA, 2023).</w:t>
      </w:r>
    </w:p>
    <w:p>
      <w:pPr>
        <w:pStyle w:val="Heading2"/>
        <w:spacing w:before="240" w:after="80"/>
      </w:pPr>
      <w:r>
        <w:rPr>
          <w:rFonts w:ascii="Times New Roman" w:hAnsi="Times New Roman"/>
          <w:b/>
          <w:color w:val="1F497D"/>
          <w:sz w:val="26"/>
        </w:rPr>
        <w:t>9.1  Facility Location and Buffer Zones</w:t>
      </w:r>
    </w:p>
    <w:p>
      <w:pPr>
        <w:spacing w:after="160" w:before="0"/>
        <w:ind w:firstLine="425"/>
      </w:pPr>
      <w:r>
        <w:rPr>
          <w:rFonts w:ascii="Times New Roman" w:hAnsi="Times New Roman"/>
          <w:b w:val="0"/>
          <w:i w:val="0"/>
          <w:sz w:val="24"/>
        </w:rPr>
        <w:t>An interactive map rendered with Folium displays the facility location with three concentric buffer zones:</w:t>
      </w:r>
    </w:p>
    <w:tbl>
      <w:tblPr>
        <w:tblStyle w:val="TableGrid"/>
        <w:tblW w:type="auto" w:w="0"/>
        <w:tblLook w:firstColumn="1" w:firstRow="1" w:lastColumn="0" w:lastRow="0" w:noHBand="0" w:noVBand="1" w:val="04A0"/>
      </w:tblPr>
      <w:tblGrid>
        <w:gridCol w:w="2158"/>
        <w:gridCol w:w="2158"/>
        <w:gridCol w:w="2158"/>
        <w:gridCol w:w="2158"/>
      </w:tblGrid>
      <w:tr>
        <w:tc>
          <w:tcPr>
            <w:tcW w:type="dxa" w:w="2268"/>
            <w:shd w:fill="003366" w:color="auto" w:val="clear"/>
          </w:tcPr>
          <w:p>
            <w:pPr>
              <w:jc w:val="center"/>
            </w:pPr>
            <w:r/>
            <w:r>
              <w:rPr>
                <w:rFonts w:ascii="Times New Roman" w:hAnsi="Times New Roman"/>
                <w:b/>
                <w:i w:val="0"/>
                <w:color w:val="FFFFFF"/>
                <w:sz w:val="22"/>
              </w:rPr>
              <w:t>Buffer Zone</w:t>
            </w:r>
          </w:p>
        </w:tc>
        <w:tc>
          <w:tcPr>
            <w:tcW w:type="dxa" w:w="1134"/>
            <w:shd w:fill="003366" w:color="auto" w:val="clear"/>
          </w:tcPr>
          <w:p>
            <w:pPr>
              <w:jc w:val="center"/>
            </w:pPr>
            <w:r/>
            <w:r>
              <w:rPr>
                <w:rFonts w:ascii="Times New Roman" w:hAnsi="Times New Roman"/>
                <w:b/>
                <w:i w:val="0"/>
                <w:color w:val="FFFFFF"/>
                <w:sz w:val="22"/>
              </w:rPr>
              <w:t>Radius</w:t>
            </w:r>
          </w:p>
        </w:tc>
        <w:tc>
          <w:tcPr>
            <w:tcW w:type="dxa" w:w="1134"/>
            <w:shd w:fill="003366" w:color="auto" w:val="clear"/>
          </w:tcPr>
          <w:p>
            <w:pPr>
              <w:jc w:val="center"/>
            </w:pPr>
            <w:r/>
            <w:r>
              <w:rPr>
                <w:rFonts w:ascii="Times New Roman" w:hAnsi="Times New Roman"/>
                <w:b/>
                <w:i w:val="0"/>
                <w:color w:val="FFFFFF"/>
                <w:sz w:val="22"/>
              </w:rPr>
              <w:t>Colour</w:t>
            </w:r>
          </w:p>
        </w:tc>
        <w:tc>
          <w:tcPr>
            <w:tcW w:type="dxa" w:w="3969"/>
            <w:shd w:fill="003366" w:color="auto" w:val="clear"/>
          </w:tcPr>
          <w:p>
            <w:pPr>
              <w:jc w:val="center"/>
            </w:pPr>
            <w:r/>
            <w:r>
              <w:rPr>
                <w:rFonts w:ascii="Times New Roman" w:hAnsi="Times New Roman"/>
                <w:b/>
                <w:i w:val="0"/>
                <w:color w:val="FFFFFF"/>
                <w:sz w:val="22"/>
              </w:rPr>
              <w:t>Interpretation</w:t>
            </w:r>
          </w:p>
        </w:tc>
      </w:tr>
      <w:tr>
        <w:tc>
          <w:tcPr>
            <w:tcW w:type="dxa" w:w="2268"/>
            <w:shd w:fill="EAF0FB" w:color="auto" w:val="clear"/>
          </w:tcPr>
          <w:p>
            <w:r/>
            <w:r>
              <w:rPr>
                <w:rFonts w:ascii="Times New Roman" w:hAnsi="Times New Roman"/>
                <w:b w:val="0"/>
                <w:i w:val="0"/>
                <w:sz w:val="22"/>
              </w:rPr>
              <w:t>Immediate impact zone</w:t>
            </w:r>
          </w:p>
        </w:tc>
        <w:tc>
          <w:tcPr>
            <w:tcW w:type="dxa" w:w="1134"/>
            <w:shd w:fill="EAF0FB" w:color="auto" w:val="clear"/>
          </w:tcPr>
          <w:p>
            <w:r/>
            <w:r>
              <w:rPr>
                <w:rFonts w:ascii="Times New Roman" w:hAnsi="Times New Roman"/>
                <w:b w:val="0"/>
                <w:i w:val="0"/>
                <w:sz w:val="22"/>
              </w:rPr>
              <w:t>1 km</w:t>
            </w:r>
          </w:p>
        </w:tc>
        <w:tc>
          <w:tcPr>
            <w:tcW w:type="dxa" w:w="1134"/>
            <w:shd w:fill="EAF0FB" w:color="auto" w:val="clear"/>
          </w:tcPr>
          <w:p>
            <w:r/>
            <w:r>
              <w:rPr>
                <w:rFonts w:ascii="Times New Roman" w:hAnsi="Times New Roman"/>
                <w:b w:val="0"/>
                <w:i w:val="0"/>
                <w:sz w:val="22"/>
              </w:rPr>
              <w:t>Red</w:t>
            </w:r>
          </w:p>
        </w:tc>
        <w:tc>
          <w:tcPr>
            <w:tcW w:type="dxa" w:w="3969"/>
            <w:shd w:fill="EAF0FB" w:color="auto" w:val="clear"/>
          </w:tcPr>
          <w:p>
            <w:r/>
            <w:r>
              <w:rPr>
                <w:rFonts w:ascii="Times New Roman" w:hAnsi="Times New Roman"/>
                <w:b w:val="0"/>
                <w:i w:val="0"/>
                <w:sz w:val="22"/>
              </w:rPr>
              <w:t>Residents within this radius experience the most direct exposure to facility emissions, traffic, and noise.</w:t>
            </w:r>
          </w:p>
        </w:tc>
      </w:tr>
      <w:tr>
        <w:tc>
          <w:tcPr>
            <w:tcW w:type="dxa" w:w="2268"/>
            <w:shd w:fill="FFFFFF" w:color="auto" w:val="clear"/>
          </w:tcPr>
          <w:p>
            <w:r/>
            <w:r>
              <w:rPr>
                <w:rFonts w:ascii="Times New Roman" w:hAnsi="Times New Roman"/>
                <w:b w:val="0"/>
                <w:i w:val="0"/>
                <w:sz w:val="22"/>
              </w:rPr>
              <w:t>Surrounding neighbourhood</w:t>
            </w:r>
          </w:p>
        </w:tc>
        <w:tc>
          <w:tcPr>
            <w:tcW w:type="dxa" w:w="1134"/>
            <w:shd w:fill="FFFFFF" w:color="auto" w:val="clear"/>
          </w:tcPr>
          <w:p>
            <w:r/>
            <w:r>
              <w:rPr>
                <w:rFonts w:ascii="Times New Roman" w:hAnsi="Times New Roman"/>
                <w:b w:val="0"/>
                <w:i w:val="0"/>
                <w:sz w:val="22"/>
              </w:rPr>
              <w:t>3 km</w:t>
            </w:r>
          </w:p>
        </w:tc>
        <w:tc>
          <w:tcPr>
            <w:tcW w:type="dxa" w:w="1134"/>
            <w:shd w:fill="FFFFFF" w:color="auto" w:val="clear"/>
          </w:tcPr>
          <w:p>
            <w:r/>
            <w:r>
              <w:rPr>
                <w:rFonts w:ascii="Times New Roman" w:hAnsi="Times New Roman"/>
                <w:b w:val="0"/>
                <w:i w:val="0"/>
                <w:sz w:val="22"/>
              </w:rPr>
              <w:t>Orange</w:t>
            </w:r>
          </w:p>
        </w:tc>
        <w:tc>
          <w:tcPr>
            <w:tcW w:type="dxa" w:w="3969"/>
            <w:shd w:fill="FFFFFF" w:color="auto" w:val="clear"/>
          </w:tcPr>
          <w:p>
            <w:r/>
            <w:r>
              <w:rPr>
                <w:rFonts w:ascii="Times New Roman" w:hAnsi="Times New Roman"/>
                <w:b w:val="0"/>
                <w:i w:val="0"/>
                <w:sz w:val="22"/>
              </w:rPr>
              <w:t>The area most commonly affected by atmospheric dispersion of air pollutants under typical meteorological conditions.</w:t>
            </w:r>
          </w:p>
        </w:tc>
      </w:tr>
      <w:tr>
        <w:tc>
          <w:tcPr>
            <w:tcW w:type="dxa" w:w="2268"/>
            <w:shd w:fill="EAF0FB" w:color="auto" w:val="clear"/>
          </w:tcPr>
          <w:p>
            <w:r/>
            <w:r>
              <w:rPr>
                <w:rFonts w:ascii="Times New Roman" w:hAnsi="Times New Roman"/>
                <w:b w:val="0"/>
                <w:i w:val="0"/>
                <w:sz w:val="22"/>
              </w:rPr>
              <w:t>Broader community</w:t>
            </w:r>
          </w:p>
        </w:tc>
        <w:tc>
          <w:tcPr>
            <w:tcW w:type="dxa" w:w="1134"/>
            <w:shd w:fill="EAF0FB" w:color="auto" w:val="clear"/>
          </w:tcPr>
          <w:p>
            <w:r/>
            <w:r>
              <w:rPr>
                <w:rFonts w:ascii="Times New Roman" w:hAnsi="Times New Roman"/>
                <w:b w:val="0"/>
                <w:i w:val="0"/>
                <w:sz w:val="22"/>
              </w:rPr>
              <w:t>5 km</w:t>
            </w:r>
          </w:p>
        </w:tc>
        <w:tc>
          <w:tcPr>
            <w:tcW w:type="dxa" w:w="1134"/>
            <w:shd w:fill="EAF0FB" w:color="auto" w:val="clear"/>
          </w:tcPr>
          <w:p>
            <w:r/>
            <w:r>
              <w:rPr>
                <w:rFonts w:ascii="Times New Roman" w:hAnsi="Times New Roman"/>
                <w:b w:val="0"/>
                <w:i w:val="0"/>
                <w:sz w:val="22"/>
              </w:rPr>
              <w:t>Green</w:t>
            </w:r>
          </w:p>
        </w:tc>
        <w:tc>
          <w:tcPr>
            <w:tcW w:type="dxa" w:w="3969"/>
            <w:shd w:fill="EAF0FB" w:color="auto" w:val="clear"/>
          </w:tcPr>
          <w:p>
            <w:r/>
            <w:r>
              <w:rPr>
                <w:rFonts w:ascii="Times New Roman" w:hAnsi="Times New Roman"/>
                <w:b w:val="0"/>
                <w:i w:val="0"/>
                <w:sz w:val="22"/>
              </w:rPr>
              <w:t>The wider area potentially affected by cumulative environmental burdens from facility operations.</w:t>
            </w:r>
          </w:p>
        </w:tc>
      </w:tr>
    </w:tbl>
    <w:p/>
    <w:p>
      <w:pPr>
        <w:spacing w:after="160" w:before="0"/>
        <w:ind w:firstLine="425"/>
      </w:pPr>
      <w:r>
        <w:rPr>
          <w:rFonts w:ascii="Times New Roman" w:hAnsi="Times New Roman"/>
          <w:b w:val="0"/>
          <w:i w:val="0"/>
          <w:sz w:val="24"/>
        </w:rPr>
        <w:t>Note: the buffer rings are illustrative. Demographic statistics are reported at the zip code tabulation area (ZCTA) level from the US Census ACS 5-year estimates - not computed separately for each buffer radius.</w:t>
      </w:r>
    </w:p>
    <w:p>
      <w:pPr>
        <w:pStyle w:val="Heading2"/>
        <w:spacing w:before="240" w:after="80"/>
      </w:pPr>
      <w:r>
        <w:rPr>
          <w:rFonts w:ascii="Times New Roman" w:hAnsi="Times New Roman"/>
          <w:b/>
          <w:color w:val="1F497D"/>
          <w:sz w:val="26"/>
        </w:rPr>
        <w:t>9.2  Community Demographics</w:t>
      </w:r>
    </w:p>
    <w:p>
      <w:pPr>
        <w:spacing w:after="160" w:before="0"/>
        <w:ind w:firstLine="425"/>
      </w:pPr>
      <w:r>
        <w:rPr>
          <w:rFonts w:ascii="Times New Roman" w:hAnsi="Times New Roman"/>
          <w:b w:val="0"/>
          <w:i w:val="0"/>
          <w:sz w:val="24"/>
        </w:rPr>
        <w:t>Demographic data for the facility zip code are retrieved from the US Census Bureau ACS 5-year estimates (2023 vintage, accessed via the Census Data API). Four indicators are displayed:</w:t>
      </w:r>
    </w:p>
    <w:tbl>
      <w:tblPr>
        <w:tblStyle w:val="TableGrid"/>
        <w:tblW w:type="auto" w:w="0"/>
        <w:tblLook w:firstColumn="1" w:firstRow="1" w:lastColumn="0" w:lastRow="0" w:noHBand="0" w:noVBand="1" w:val="04A0"/>
      </w:tblPr>
      <w:tblGrid>
        <w:gridCol w:w="2158"/>
        <w:gridCol w:w="2158"/>
        <w:gridCol w:w="2158"/>
        <w:gridCol w:w="2158"/>
      </w:tblGrid>
      <w:tr>
        <w:tc>
          <w:tcPr>
            <w:tcW w:type="dxa" w:w="1984"/>
            <w:shd w:fill="003366" w:color="auto" w:val="clear"/>
          </w:tcPr>
          <w:p>
            <w:pPr>
              <w:jc w:val="center"/>
            </w:pPr>
            <w:r/>
            <w:r>
              <w:rPr>
                <w:rFonts w:ascii="Times New Roman" w:hAnsi="Times New Roman"/>
                <w:b/>
                <w:i w:val="0"/>
                <w:color w:val="FFFFFF"/>
                <w:sz w:val="22"/>
              </w:rPr>
              <w:t>Indicator</w:t>
            </w:r>
          </w:p>
        </w:tc>
        <w:tc>
          <w:tcPr>
            <w:tcW w:type="dxa" w:w="2551"/>
            <w:shd w:fill="003366" w:color="auto" w:val="clear"/>
          </w:tcPr>
          <w:p>
            <w:pPr>
              <w:jc w:val="center"/>
            </w:pPr>
            <w:r/>
            <w:r>
              <w:rPr>
                <w:rFonts w:ascii="Times New Roman" w:hAnsi="Times New Roman"/>
                <w:b/>
                <w:i w:val="0"/>
                <w:color w:val="FFFFFF"/>
                <w:sz w:val="22"/>
              </w:rPr>
              <w:t>Formula</w:t>
            </w:r>
          </w:p>
        </w:tc>
        <w:tc>
          <w:tcPr>
            <w:tcW w:type="dxa" w:w="1701"/>
            <w:shd w:fill="003366" w:color="auto" w:val="clear"/>
          </w:tcPr>
          <w:p>
            <w:pPr>
              <w:jc w:val="center"/>
            </w:pPr>
            <w:r/>
            <w:r>
              <w:rPr>
                <w:rFonts w:ascii="Times New Roman" w:hAnsi="Times New Roman"/>
                <w:b/>
                <w:i w:val="0"/>
                <w:color w:val="FFFFFF"/>
                <w:sz w:val="22"/>
              </w:rPr>
              <w:t>National Average</w:t>
            </w:r>
          </w:p>
        </w:tc>
        <w:tc>
          <w:tcPr>
            <w:tcW w:type="dxa" w:w="2268"/>
            <w:shd w:fill="003366" w:color="auto" w:val="clear"/>
          </w:tcPr>
          <w:p>
            <w:pPr>
              <w:jc w:val="center"/>
            </w:pPr>
            <w:r/>
            <w:r>
              <w:rPr>
                <w:rFonts w:ascii="Times New Roman" w:hAnsi="Times New Roman"/>
                <w:b/>
                <w:i w:val="0"/>
                <w:color w:val="FFFFFF"/>
                <w:sz w:val="22"/>
              </w:rPr>
              <w:t>Interpretation</w:t>
            </w:r>
          </w:p>
        </w:tc>
      </w:tr>
      <w:tr>
        <w:tc>
          <w:tcPr>
            <w:tcW w:type="dxa" w:w="1984"/>
            <w:shd w:fill="EAF0FB" w:color="auto" w:val="clear"/>
          </w:tcPr>
          <w:p>
            <w:r/>
            <w:r>
              <w:rPr>
                <w:rFonts w:ascii="Times New Roman" w:hAnsi="Times New Roman"/>
                <w:b w:val="0"/>
                <w:i w:val="0"/>
                <w:sz w:val="22"/>
              </w:rPr>
              <w:t>% People of Colour (%PoC)</w:t>
            </w:r>
          </w:p>
        </w:tc>
        <w:tc>
          <w:tcPr>
            <w:tcW w:type="dxa" w:w="2551"/>
            <w:shd w:fill="EAF0FB" w:color="auto" w:val="clear"/>
          </w:tcPr>
          <w:p>
            <w:r/>
            <w:r>
              <w:rPr>
                <w:rFonts w:ascii="Times New Roman" w:hAnsi="Times New Roman"/>
                <w:b w:val="0"/>
                <w:i w:val="0"/>
                <w:sz w:val="22"/>
              </w:rPr>
              <w:t>(Total pop. - Non-Hispanic white) / Total pop. x 100</w:t>
            </w:r>
          </w:p>
        </w:tc>
        <w:tc>
          <w:tcPr>
            <w:tcW w:type="dxa" w:w="1701"/>
            <w:shd w:fill="EAF0FB" w:color="auto" w:val="clear"/>
          </w:tcPr>
          <w:p>
            <w:r/>
            <w:r>
              <w:rPr>
                <w:rFonts w:ascii="Times New Roman" w:hAnsi="Times New Roman"/>
                <w:b w:val="0"/>
                <w:i w:val="0"/>
                <w:sz w:val="22"/>
              </w:rPr>
              <w:t>40.0% (ACS 2022)</w:t>
            </w:r>
          </w:p>
        </w:tc>
        <w:tc>
          <w:tcPr>
            <w:tcW w:type="dxa" w:w="2268"/>
            <w:shd w:fill="EAF0FB" w:color="auto" w:val="clear"/>
          </w:tcPr>
          <w:p>
            <w:r/>
            <w:r>
              <w:rPr>
                <w:rFonts w:ascii="Times New Roman" w:hAnsi="Times New Roman"/>
                <w:b w:val="0"/>
                <w:i w:val="0"/>
                <w:sz w:val="22"/>
              </w:rPr>
              <w:t>Communities with %PoC above the national average are considered more demographically vulnerable under EJScreen.</w:t>
            </w:r>
          </w:p>
        </w:tc>
      </w:tr>
      <w:tr>
        <w:tc>
          <w:tcPr>
            <w:tcW w:type="dxa" w:w="1984"/>
            <w:shd w:fill="FFFFFF" w:color="auto" w:val="clear"/>
          </w:tcPr>
          <w:p>
            <w:r/>
            <w:r>
              <w:rPr>
                <w:rFonts w:ascii="Times New Roman" w:hAnsi="Times New Roman"/>
                <w:b w:val="0"/>
                <w:i w:val="0"/>
                <w:sz w:val="22"/>
              </w:rPr>
              <w:t>% Low-Income (%LI)</w:t>
            </w:r>
          </w:p>
        </w:tc>
        <w:tc>
          <w:tcPr>
            <w:tcW w:type="dxa" w:w="2551"/>
            <w:shd w:fill="FFFFFF" w:color="auto" w:val="clear"/>
          </w:tcPr>
          <w:p>
            <w:r/>
            <w:r>
              <w:rPr>
                <w:rFonts w:ascii="Times New Roman" w:hAnsi="Times New Roman"/>
                <w:b w:val="0"/>
                <w:i w:val="0"/>
                <w:sz w:val="22"/>
              </w:rPr>
              <w:t>Population below federal poverty line / Poverty universe x 100</w:t>
            </w:r>
          </w:p>
        </w:tc>
        <w:tc>
          <w:tcPr>
            <w:tcW w:type="dxa" w:w="1701"/>
            <w:shd w:fill="FFFFFF" w:color="auto" w:val="clear"/>
          </w:tcPr>
          <w:p>
            <w:r/>
            <w:r>
              <w:rPr>
                <w:rFonts w:ascii="Times New Roman" w:hAnsi="Times New Roman"/>
                <w:b w:val="0"/>
                <w:i w:val="0"/>
                <w:sz w:val="22"/>
              </w:rPr>
              <w:t>29.0% (ACS 2022)</w:t>
            </w:r>
          </w:p>
        </w:tc>
        <w:tc>
          <w:tcPr>
            <w:tcW w:type="dxa" w:w="2268"/>
            <w:shd w:fill="FFFFFF" w:color="auto" w:val="clear"/>
          </w:tcPr>
          <w:p>
            <w:r/>
            <w:r>
              <w:rPr>
                <w:rFonts w:ascii="Times New Roman" w:hAnsi="Times New Roman"/>
                <w:b w:val="0"/>
                <w:i w:val="0"/>
                <w:sz w:val="22"/>
              </w:rPr>
              <w:t>Reflects economic vulnerability. Low-income communities often bear disproportionate environmental burdens.</w:t>
            </w:r>
          </w:p>
        </w:tc>
      </w:tr>
      <w:tr>
        <w:tc>
          <w:tcPr>
            <w:tcW w:type="dxa" w:w="1984"/>
            <w:shd w:fill="EAF0FB" w:color="auto" w:val="clear"/>
          </w:tcPr>
          <w:p>
            <w:r/>
            <w:r>
              <w:rPr>
                <w:rFonts w:ascii="Times New Roman" w:hAnsi="Times New Roman"/>
                <w:b w:val="0"/>
                <w:i w:val="0"/>
                <w:sz w:val="22"/>
              </w:rPr>
              <w:t>Demographic Index (DI)</w:t>
            </w:r>
          </w:p>
        </w:tc>
        <w:tc>
          <w:tcPr>
            <w:tcW w:type="dxa" w:w="2551"/>
            <w:shd w:fill="EAF0FB" w:color="auto" w:val="clear"/>
          </w:tcPr>
          <w:p>
            <w:r/>
            <w:r>
              <w:rPr>
                <w:rFonts w:ascii="Times New Roman" w:hAnsi="Times New Roman"/>
                <w:b w:val="0"/>
                <w:i w:val="0"/>
                <w:sz w:val="22"/>
              </w:rPr>
              <w:t>(%PoC + %LI) / 2</w:t>
            </w:r>
          </w:p>
        </w:tc>
        <w:tc>
          <w:tcPr>
            <w:tcW w:type="dxa" w:w="1701"/>
            <w:shd w:fill="EAF0FB" w:color="auto" w:val="clear"/>
          </w:tcPr>
          <w:p>
            <w:r/>
            <w:r>
              <w:rPr>
                <w:rFonts w:ascii="Times New Roman" w:hAnsi="Times New Roman"/>
                <w:b w:val="0"/>
                <w:i w:val="0"/>
                <w:sz w:val="22"/>
              </w:rPr>
              <w:t>34.5%</w:t>
            </w:r>
          </w:p>
        </w:tc>
        <w:tc>
          <w:tcPr>
            <w:tcW w:type="dxa" w:w="2268"/>
            <w:shd w:fill="EAF0FB" w:color="auto" w:val="clear"/>
          </w:tcPr>
          <w:p>
            <w:r/>
            <w:r>
              <w:rPr>
                <w:rFonts w:ascii="Times New Roman" w:hAnsi="Times New Roman"/>
                <w:b w:val="0"/>
                <w:i w:val="0"/>
                <w:sz w:val="22"/>
              </w:rPr>
              <w:t>Composite vulnerability indicator used as the EJScreen Demographic Index.</w:t>
            </w:r>
          </w:p>
        </w:tc>
      </w:tr>
      <w:tr>
        <w:tc>
          <w:tcPr>
            <w:tcW w:type="dxa" w:w="1984"/>
            <w:shd w:fill="FFFFFF" w:color="auto" w:val="clear"/>
          </w:tcPr>
          <w:p>
            <w:r/>
            <w:r>
              <w:rPr>
                <w:rFonts w:ascii="Times New Roman" w:hAnsi="Times New Roman"/>
                <w:b w:val="0"/>
                <w:i w:val="0"/>
                <w:sz w:val="22"/>
              </w:rPr>
              <w:t>Total Population</w:t>
            </w:r>
          </w:p>
        </w:tc>
        <w:tc>
          <w:tcPr>
            <w:tcW w:type="dxa" w:w="2551"/>
            <w:shd w:fill="FFFFFF" w:color="auto" w:val="clear"/>
          </w:tcPr>
          <w:p>
            <w:r/>
            <w:r>
              <w:rPr>
                <w:rFonts w:ascii="Times New Roman" w:hAnsi="Times New Roman"/>
                <w:b w:val="0"/>
                <w:i w:val="0"/>
                <w:sz w:val="22"/>
              </w:rPr>
              <w:t>ACS B01003_001E</w:t>
            </w:r>
          </w:p>
        </w:tc>
        <w:tc>
          <w:tcPr>
            <w:tcW w:type="dxa" w:w="1701"/>
            <w:shd w:fill="FFFFFF" w:color="auto" w:val="clear"/>
          </w:tcPr>
          <w:p>
            <w:r/>
            <w:r>
              <w:rPr>
                <w:rFonts w:ascii="Times New Roman" w:hAnsi="Times New Roman"/>
                <w:b w:val="0"/>
                <w:i w:val="0"/>
                <w:sz w:val="22"/>
              </w:rPr>
              <w:t>-</w:t>
            </w:r>
          </w:p>
        </w:tc>
        <w:tc>
          <w:tcPr>
            <w:tcW w:type="dxa" w:w="2268"/>
            <w:shd w:fill="FFFFFF" w:color="auto" w:val="clear"/>
          </w:tcPr>
          <w:p>
            <w:r/>
            <w:r>
              <w:rPr>
                <w:rFonts w:ascii="Times New Roman" w:hAnsi="Times New Roman"/>
                <w:b w:val="0"/>
                <w:i w:val="0"/>
                <w:sz w:val="22"/>
              </w:rPr>
              <w:t>Total resident population of the zip code tabulation area; used as a multiplier in the EJ Index formula.</w:t>
            </w:r>
          </w:p>
        </w:tc>
      </w:tr>
    </w:tbl>
    <w:p/>
    <w:p>
      <w:pPr>
        <w:pStyle w:val="Heading2"/>
        <w:spacing w:before="240" w:after="80"/>
      </w:pPr>
      <w:r>
        <w:rPr>
          <w:rFonts w:ascii="Times New Roman" w:hAnsi="Times New Roman"/>
          <w:b/>
          <w:color w:val="1F497D"/>
          <w:sz w:val="26"/>
        </w:rPr>
        <w:t>9.3  EJ Index Calculation</w:t>
      </w:r>
    </w:p>
    <w:p>
      <w:pPr>
        <w:spacing w:after="160" w:before="0"/>
        <w:ind w:firstLine="425"/>
      </w:pPr>
      <w:r>
        <w:rPr>
          <w:rFonts w:ascii="Times New Roman" w:hAnsi="Times New Roman"/>
          <w:b w:val="0"/>
          <w:i w:val="0"/>
          <w:sz w:val="24"/>
        </w:rPr>
        <w:t>An EJ Index is computed for each conversion technology using the minimum GHG emissions achieved by that technology across all Pareto solutions. The index formula is:</w:t>
      </w:r>
    </w:p>
    <w:p>
      <w:pPr>
        <w:spacing w:after="160" w:before="0"/>
        <w:ind w:left="850"/>
      </w:pPr>
      <w:r>
        <w:rPr>
          <w:rFonts w:ascii="Times New Roman" w:hAnsi="Times New Roman"/>
          <w:b w:val="0"/>
          <w:i w:val="0"/>
          <w:sz w:val="24"/>
        </w:rPr>
        <w:t>EJ Index = GHG (t CO2-eq yr-1)  x  (Local DI - National Average DI)  x  Total Population</w:t>
      </w:r>
    </w:p>
    <w:p>
      <w:pPr>
        <w:spacing w:after="160" w:before="0"/>
        <w:ind w:firstLine="425"/>
      </w:pPr>
      <w:r>
        <w:rPr>
          <w:rFonts w:ascii="Times New Roman" w:hAnsi="Times New Roman"/>
          <w:b w:val="0"/>
          <w:i w:val="0"/>
          <w:sz w:val="24"/>
        </w:rPr>
        <w:t>A higher EJ Index indicates greater cumulative environmental burden placed on a more vulnerable community. Pathways are ranked from lowest to highest EJ Index and classified into three concern levels (Low, Moderate, High) based on their relative position within the range of scores across all evaluated pathways. A negative EJ Index arises when the local DI is below the national average, indicating the facility would be sited in a relatively less vulnerable community.</w:t>
      </w:r>
    </w:p>
    <w:p>
      <w:pPr>
        <w:pStyle w:val="Heading2"/>
        <w:spacing w:before="240" w:after="80"/>
      </w:pPr>
      <w:r>
        <w:rPr>
          <w:rFonts w:ascii="Times New Roman" w:hAnsi="Times New Roman"/>
          <w:b/>
          <w:color w:val="1F497D"/>
          <w:sz w:val="26"/>
        </w:rPr>
        <w:t>9.4  Recommendation</w:t>
      </w:r>
    </w:p>
    <w:p>
      <w:pPr>
        <w:spacing w:after="160" w:before="0"/>
        <w:ind w:firstLine="425"/>
      </w:pPr>
      <w:r>
        <w:rPr>
          <w:rFonts w:ascii="Times New Roman" w:hAnsi="Times New Roman"/>
          <w:b w:val="0"/>
          <w:i w:val="0"/>
          <w:sz w:val="24"/>
        </w:rPr>
        <w:t>A plain-language recommendation section identifies the technology pathway with the lowest EJ Index and quantifies the reduction in community burden relative to the worst-performing pathway, expressed in absolute EJ Index units. This output is intended to support environmental justice reporting in permit applications, environmental impact assessments, and regulatory submissions.</w:t>
      </w:r>
    </w:p>
    <w:p>
      <w:r>
        <w:br w:type="page"/>
      </w:r>
    </w:p>
    <w:p>
      <w:pPr>
        <w:pStyle w:val="Heading1"/>
        <w:spacing w:before="360" w:after="120"/>
      </w:pPr>
      <w:r>
        <w:rPr>
          <w:rFonts w:ascii="Times New Roman" w:hAnsi="Times New Roman"/>
          <w:b/>
          <w:color w:val="003366"/>
          <w:sz w:val="32"/>
        </w:rPr>
        <w:t>10.  Mathematical Model Summary</w:t>
      </w:r>
    </w:p>
    <w:p>
      <w:pPr>
        <w:spacing w:after="160" w:before="0"/>
        <w:ind w:firstLine="425"/>
      </w:pPr>
      <w:r>
        <w:rPr>
          <w:rFonts w:ascii="Times New Roman" w:hAnsi="Times New Roman"/>
          <w:b w:val="0"/>
          <w:i w:val="0"/>
          <w:sz w:val="24"/>
        </w:rPr>
        <w:t>ECO-FAST solves a Mixed-Integer Nonlinear Program (MINLP) comprising binary technology selection variables, continuous mass flow and economic variables, and a set of linear and nonlinear constraints. The complete mathematical formulation with all numbered equations is presented in the Methods section of the associated publication. Key model statistics are summarised below.</w:t>
      </w:r>
    </w:p>
    <w:tbl>
      <w:tblPr>
        <w:tblStyle w:val="TableGrid"/>
        <w:tblW w:type="auto" w:w="0"/>
        <w:tblLook w:firstColumn="1" w:firstRow="1" w:lastColumn="0" w:lastRow="0" w:noHBand="0" w:noVBand="1" w:val="04A0"/>
      </w:tblPr>
      <w:tblGrid>
        <w:gridCol w:w="4317"/>
        <w:gridCol w:w="4317"/>
      </w:tblGrid>
      <w:tr>
        <w:tc>
          <w:tcPr>
            <w:tcW w:type="dxa" w:w="3118"/>
            <w:shd w:fill="003366" w:color="auto" w:val="clear"/>
          </w:tcPr>
          <w:p>
            <w:pPr>
              <w:jc w:val="center"/>
            </w:pPr>
            <w:r/>
            <w:r>
              <w:rPr>
                <w:rFonts w:ascii="Times New Roman" w:hAnsi="Times New Roman"/>
                <w:b/>
                <w:i w:val="0"/>
                <w:color w:val="FFFFFF"/>
                <w:sz w:val="22"/>
              </w:rPr>
              <w:t>Attribute</w:t>
            </w:r>
          </w:p>
        </w:tc>
        <w:tc>
          <w:tcPr>
            <w:tcW w:type="dxa" w:w="5386"/>
            <w:shd w:fill="003366" w:color="auto" w:val="clear"/>
          </w:tcPr>
          <w:p>
            <w:pPr>
              <w:jc w:val="center"/>
            </w:pPr>
            <w:r/>
            <w:r>
              <w:rPr>
                <w:rFonts w:ascii="Times New Roman" w:hAnsi="Times New Roman"/>
                <w:b/>
                <w:i w:val="0"/>
                <w:color w:val="FFFFFF"/>
                <w:sz w:val="22"/>
              </w:rPr>
              <w:t>Value / Description</w:t>
            </w:r>
          </w:p>
        </w:tc>
      </w:tr>
      <w:tr>
        <w:tc>
          <w:tcPr>
            <w:tcW w:type="dxa" w:w="3118"/>
            <w:shd w:fill="EAF0FB" w:color="auto" w:val="clear"/>
          </w:tcPr>
          <w:p>
            <w:r/>
            <w:r>
              <w:rPr>
                <w:rFonts w:ascii="Times New Roman" w:hAnsi="Times New Roman"/>
                <w:b w:val="0"/>
                <w:i w:val="0"/>
                <w:sz w:val="22"/>
              </w:rPr>
              <w:t>Model type</w:t>
            </w:r>
          </w:p>
        </w:tc>
        <w:tc>
          <w:tcPr>
            <w:tcW w:type="dxa" w:w="5386"/>
            <w:shd w:fill="EAF0FB" w:color="auto" w:val="clear"/>
          </w:tcPr>
          <w:p>
            <w:r/>
            <w:r>
              <w:rPr>
                <w:rFonts w:ascii="Times New Roman" w:hAnsi="Times New Roman"/>
                <w:b w:val="0"/>
                <w:i w:val="0"/>
                <w:sz w:val="22"/>
              </w:rPr>
              <w:t>MINLP (Mixed-Integer Nonlinear Program)</w:t>
            </w:r>
          </w:p>
        </w:tc>
      </w:tr>
      <w:tr>
        <w:tc>
          <w:tcPr>
            <w:tcW w:type="dxa" w:w="3118"/>
            <w:shd w:fill="FFFFFF" w:color="auto" w:val="clear"/>
          </w:tcPr>
          <w:p>
            <w:r/>
            <w:r>
              <w:rPr>
                <w:rFonts w:ascii="Times New Roman" w:hAnsi="Times New Roman"/>
                <w:b w:val="0"/>
                <w:i w:val="0"/>
                <w:sz w:val="22"/>
              </w:rPr>
              <w:t>Number of material streams</w:t>
            </w:r>
          </w:p>
        </w:tc>
        <w:tc>
          <w:tcPr>
            <w:tcW w:type="dxa" w:w="5386"/>
            <w:shd w:fill="FFFFFF" w:color="auto" w:val="clear"/>
          </w:tcPr>
          <w:p>
            <w:r/>
            <w:r>
              <w:rPr>
                <w:rFonts w:ascii="Times New Roman" w:hAnsi="Times New Roman"/>
                <w:b w:val="0"/>
                <w:i w:val="0"/>
                <w:sz w:val="22"/>
              </w:rPr>
              <w:t>61</w:t>
            </w:r>
          </w:p>
        </w:tc>
      </w:tr>
      <w:tr>
        <w:tc>
          <w:tcPr>
            <w:tcW w:type="dxa" w:w="3118"/>
            <w:shd w:fill="EAF0FB" w:color="auto" w:val="clear"/>
          </w:tcPr>
          <w:p>
            <w:r/>
            <w:r>
              <w:rPr>
                <w:rFonts w:ascii="Times New Roman" w:hAnsi="Times New Roman"/>
                <w:b w:val="0"/>
                <w:i w:val="0"/>
                <w:sz w:val="22"/>
              </w:rPr>
              <w:t>Number of stream components</w:t>
            </w:r>
          </w:p>
        </w:tc>
        <w:tc>
          <w:tcPr>
            <w:tcW w:type="dxa" w:w="5386"/>
            <w:shd w:fill="EAF0FB" w:color="auto" w:val="clear"/>
          </w:tcPr>
          <w:p>
            <w:r/>
            <w:r>
              <w:rPr>
                <w:rFonts w:ascii="Times New Roman" w:hAnsi="Times New Roman"/>
                <w:b w:val="0"/>
                <w:i w:val="0"/>
                <w:sz w:val="22"/>
              </w:rPr>
              <w:t>8 (WATER, CBH, PRT, FAT, OTH, ASH, FC, ENZYME)</w:t>
            </w:r>
          </w:p>
        </w:tc>
      </w:tr>
      <w:tr>
        <w:tc>
          <w:tcPr>
            <w:tcW w:type="dxa" w:w="3118"/>
            <w:shd w:fill="FFFFFF" w:color="auto" w:val="clear"/>
          </w:tcPr>
          <w:p>
            <w:r/>
            <w:r>
              <w:rPr>
                <w:rFonts w:ascii="Times New Roman" w:hAnsi="Times New Roman"/>
                <w:b w:val="0"/>
                <w:i w:val="0"/>
                <w:sz w:val="22"/>
              </w:rPr>
              <w:t>Number of processing units</w:t>
            </w:r>
          </w:p>
        </w:tc>
        <w:tc>
          <w:tcPr>
            <w:tcW w:type="dxa" w:w="5386"/>
            <w:shd w:fill="FFFFFF" w:color="auto" w:val="clear"/>
          </w:tcPr>
          <w:p>
            <w:r/>
            <w:r>
              <w:rPr>
                <w:rFonts w:ascii="Times New Roman" w:hAnsi="Times New Roman"/>
                <w:b w:val="0"/>
                <w:i w:val="0"/>
                <w:sz w:val="22"/>
              </w:rPr>
              <w:t>15</w:t>
            </w:r>
          </w:p>
        </w:tc>
      </w:tr>
      <w:tr>
        <w:tc>
          <w:tcPr>
            <w:tcW w:type="dxa" w:w="3118"/>
            <w:shd w:fill="EAF0FB" w:color="auto" w:val="clear"/>
          </w:tcPr>
          <w:p>
            <w:r/>
            <w:r>
              <w:rPr>
                <w:rFonts w:ascii="Times New Roman" w:hAnsi="Times New Roman"/>
                <w:b w:val="0"/>
                <w:i w:val="0"/>
                <w:sz w:val="22"/>
              </w:rPr>
              <w:t>Binary decision variables</w:t>
            </w:r>
          </w:p>
        </w:tc>
        <w:tc>
          <w:tcPr>
            <w:tcW w:type="dxa" w:w="5386"/>
            <w:shd w:fill="EAF0FB" w:color="auto" w:val="clear"/>
          </w:tcPr>
          <w:p>
            <w:r/>
            <w:r>
              <w:rPr>
                <w:rFonts w:ascii="Times New Roman" w:hAnsi="Times New Roman"/>
                <w:b w:val="0"/>
                <w:i w:val="0"/>
                <w:sz w:val="22"/>
              </w:rPr>
              <w:t>~20 (technology selection and routing switches)</w:t>
            </w:r>
          </w:p>
        </w:tc>
      </w:tr>
      <w:tr>
        <w:tc>
          <w:tcPr>
            <w:tcW w:type="dxa" w:w="3118"/>
            <w:shd w:fill="FFFFFF" w:color="auto" w:val="clear"/>
          </w:tcPr>
          <w:p>
            <w:r/>
            <w:r>
              <w:rPr>
                <w:rFonts w:ascii="Times New Roman" w:hAnsi="Times New Roman"/>
                <w:b w:val="0"/>
                <w:i w:val="0"/>
                <w:sz w:val="22"/>
              </w:rPr>
              <w:t>Continuous variables</w:t>
            </w:r>
          </w:p>
        </w:tc>
        <w:tc>
          <w:tcPr>
            <w:tcW w:type="dxa" w:w="5386"/>
            <w:shd w:fill="FFFFFF" w:color="auto" w:val="clear"/>
          </w:tcPr>
          <w:p>
            <w:r/>
            <w:r>
              <w:rPr>
                <w:rFonts w:ascii="Times New Roman" w:hAnsi="Times New Roman"/>
                <w:b w:val="0"/>
                <w:i w:val="0"/>
                <w:sz w:val="22"/>
              </w:rPr>
              <w:t>~500+ (stream flows, capacities, costs, emissions, sizing variables)</w:t>
            </w:r>
          </w:p>
        </w:tc>
      </w:tr>
      <w:tr>
        <w:tc>
          <w:tcPr>
            <w:tcW w:type="dxa" w:w="3118"/>
            <w:shd w:fill="EAF0FB" w:color="auto" w:val="clear"/>
          </w:tcPr>
          <w:p>
            <w:r/>
            <w:r>
              <w:rPr>
                <w:rFonts w:ascii="Times New Roman" w:hAnsi="Times New Roman"/>
                <w:b w:val="0"/>
                <w:i w:val="0"/>
                <w:sz w:val="22"/>
              </w:rPr>
              <w:t>Equality constraints</w:t>
            </w:r>
          </w:p>
        </w:tc>
        <w:tc>
          <w:tcPr>
            <w:tcW w:type="dxa" w:w="5386"/>
            <w:shd w:fill="EAF0FB" w:color="auto" w:val="clear"/>
          </w:tcPr>
          <w:p>
            <w:r/>
            <w:r>
              <w:rPr>
                <w:rFonts w:ascii="Times New Roman" w:hAnsi="Times New Roman"/>
                <w:b w:val="0"/>
                <w:i w:val="0"/>
                <w:sz w:val="22"/>
              </w:rPr>
              <w:t>~400 (mass balances, sizing, cost, GHG component equations)</w:t>
            </w:r>
          </w:p>
        </w:tc>
      </w:tr>
      <w:tr>
        <w:tc>
          <w:tcPr>
            <w:tcW w:type="dxa" w:w="3118"/>
            <w:shd w:fill="FFFFFF" w:color="auto" w:val="clear"/>
          </w:tcPr>
          <w:p>
            <w:r/>
            <w:r>
              <w:rPr>
                <w:rFonts w:ascii="Times New Roman" w:hAnsi="Times New Roman"/>
                <w:b w:val="0"/>
                <w:i w:val="0"/>
                <w:sz w:val="22"/>
              </w:rPr>
              <w:t>Nonlinear terms</w:t>
            </w:r>
          </w:p>
        </w:tc>
        <w:tc>
          <w:tcPr>
            <w:tcW w:type="dxa" w:w="5386"/>
            <w:shd w:fill="FFFFFF" w:color="auto" w:val="clear"/>
          </w:tcPr>
          <w:p>
            <w:r/>
            <w:r>
              <w:rPr>
                <w:rFonts w:ascii="Times New Roman" w:hAnsi="Times New Roman"/>
                <w:b w:val="0"/>
                <w:i w:val="0"/>
                <w:sz w:val="22"/>
              </w:rPr>
              <w:t>Capital cost scaling law (Qc/Q0)^0.67 per unit; steam turbine enthalpy calculation</w:t>
            </w:r>
          </w:p>
        </w:tc>
      </w:tr>
      <w:tr>
        <w:tc>
          <w:tcPr>
            <w:tcW w:type="dxa" w:w="3118"/>
            <w:shd w:fill="EAF0FB" w:color="auto" w:val="clear"/>
          </w:tcPr>
          <w:p>
            <w:r/>
            <w:r>
              <w:rPr>
                <w:rFonts w:ascii="Times New Roman" w:hAnsi="Times New Roman"/>
                <w:b w:val="0"/>
                <w:i w:val="0"/>
                <w:sz w:val="22"/>
              </w:rPr>
              <w:t>Objective functions</w:t>
            </w:r>
          </w:p>
        </w:tc>
        <w:tc>
          <w:tcPr>
            <w:tcW w:type="dxa" w:w="5386"/>
            <w:shd w:fill="EAF0FB" w:color="auto" w:val="clear"/>
          </w:tcPr>
          <w:p>
            <w:r/>
            <w:r>
              <w:rPr>
                <w:rFonts w:ascii="Times New Roman" w:hAnsi="Times New Roman"/>
                <w:b w:val="0"/>
                <w:i w:val="0"/>
                <w:sz w:val="22"/>
              </w:rPr>
              <w:t>2: NAC (M$ yr-1) and GHG (t CO2-eq yr-1)</w:t>
            </w:r>
          </w:p>
        </w:tc>
      </w:tr>
      <w:tr>
        <w:tc>
          <w:tcPr>
            <w:tcW w:type="dxa" w:w="3118"/>
            <w:shd w:fill="FFFFFF" w:color="auto" w:val="clear"/>
          </w:tcPr>
          <w:p>
            <w:r/>
            <w:r>
              <w:rPr>
                <w:rFonts w:ascii="Times New Roman" w:hAnsi="Times New Roman"/>
                <w:b w:val="0"/>
                <w:i w:val="0"/>
                <w:sz w:val="22"/>
              </w:rPr>
              <w:t>Multi-objective method</w:t>
            </w:r>
          </w:p>
        </w:tc>
        <w:tc>
          <w:tcPr>
            <w:tcW w:type="dxa" w:w="5386"/>
            <w:shd w:fill="FFFFFF" w:color="auto" w:val="clear"/>
          </w:tcPr>
          <w:p>
            <w:r/>
            <w:r>
              <w:rPr>
                <w:rFonts w:ascii="Times New Roman" w:hAnsi="Times New Roman"/>
                <w:b w:val="0"/>
                <w:i w:val="0"/>
                <w:sz w:val="22"/>
              </w:rPr>
              <w:t>Epsilon-constraint Pareto frontier (N user-defined points)</w:t>
            </w:r>
          </w:p>
        </w:tc>
      </w:tr>
      <w:tr>
        <w:tc>
          <w:tcPr>
            <w:tcW w:type="dxa" w:w="3118"/>
            <w:shd w:fill="EAF0FB" w:color="auto" w:val="clear"/>
          </w:tcPr>
          <w:p>
            <w:r/>
            <w:r>
              <w:rPr>
                <w:rFonts w:ascii="Times New Roman" w:hAnsi="Times New Roman"/>
                <w:b w:val="0"/>
                <w:i w:val="0"/>
                <w:sz w:val="22"/>
              </w:rPr>
              <w:t>Solver</w:t>
            </w:r>
          </w:p>
        </w:tc>
        <w:tc>
          <w:tcPr>
            <w:tcW w:type="dxa" w:w="5386"/>
            <w:shd w:fill="EAF0FB" w:color="auto" w:val="clear"/>
          </w:tcPr>
          <w:p>
            <w:r/>
            <w:r>
              <w:rPr>
                <w:rFonts w:ascii="Times New Roman" w:hAnsi="Times New Roman"/>
                <w:b w:val="0"/>
                <w:i w:val="0"/>
                <w:sz w:val="22"/>
              </w:rPr>
              <w:t>SBB (Simple Branch and Bound) via GAMSPy v1.23.1</w:t>
            </w:r>
          </w:p>
        </w:tc>
      </w:tr>
      <w:tr>
        <w:tc>
          <w:tcPr>
            <w:tcW w:type="dxa" w:w="3118"/>
            <w:shd w:fill="FFFFFF" w:color="auto" w:val="clear"/>
          </w:tcPr>
          <w:p>
            <w:r/>
            <w:r>
              <w:rPr>
                <w:rFonts w:ascii="Times New Roman" w:hAnsi="Times New Roman"/>
                <w:b w:val="0"/>
                <w:i w:val="0"/>
                <w:sz w:val="22"/>
              </w:rPr>
              <w:t>NLP subproblem solver</w:t>
            </w:r>
          </w:p>
        </w:tc>
        <w:tc>
          <w:tcPr>
            <w:tcW w:type="dxa" w:w="5386"/>
            <w:shd w:fill="FFFFFF" w:color="auto" w:val="clear"/>
          </w:tcPr>
          <w:p>
            <w:r/>
            <w:r>
              <w:rPr>
                <w:rFonts w:ascii="Times New Roman" w:hAnsi="Times New Roman"/>
                <w:b w:val="0"/>
                <w:i w:val="0"/>
                <w:sz w:val="22"/>
              </w:rPr>
              <w:t>CONOPT (local NLP; called at each B&amp;B node)</w:t>
            </w:r>
          </w:p>
        </w:tc>
      </w:tr>
      <w:tr>
        <w:tc>
          <w:tcPr>
            <w:tcW w:type="dxa" w:w="3118"/>
            <w:shd w:fill="EAF0FB" w:color="auto" w:val="clear"/>
          </w:tcPr>
          <w:p>
            <w:r/>
            <w:r>
              <w:rPr>
                <w:rFonts w:ascii="Times New Roman" w:hAnsi="Times New Roman"/>
                <w:b w:val="0"/>
                <w:i w:val="0"/>
                <w:sz w:val="22"/>
              </w:rPr>
              <w:t>Optimality</w:t>
            </w:r>
          </w:p>
        </w:tc>
        <w:tc>
          <w:tcPr>
            <w:tcW w:type="dxa" w:w="5386"/>
            <w:shd w:fill="EAF0FB" w:color="auto" w:val="clear"/>
          </w:tcPr>
          <w:p>
            <w:r/>
            <w:r>
              <w:rPr>
                <w:rFonts w:ascii="Times New Roman" w:hAnsi="Times New Roman"/>
                <w:b w:val="0"/>
                <w:i w:val="0"/>
                <w:sz w:val="22"/>
              </w:rPr>
              <w:t>Local optimum (SBB is a local MINLP solver; global optimality not guaranteed for nonconvex problems)</w:t>
            </w:r>
          </w:p>
        </w:tc>
      </w:tr>
      <w:tr>
        <w:tc>
          <w:tcPr>
            <w:tcW w:type="dxa" w:w="3118"/>
            <w:shd w:fill="FFFFFF" w:color="auto" w:val="clear"/>
          </w:tcPr>
          <w:p>
            <w:r/>
            <w:r>
              <w:rPr>
                <w:rFonts w:ascii="Times New Roman" w:hAnsi="Times New Roman"/>
                <w:b w:val="0"/>
                <w:i w:val="0"/>
                <w:sz w:val="22"/>
              </w:rPr>
              <w:t>Relative optimality gap</w:t>
            </w:r>
          </w:p>
        </w:tc>
        <w:tc>
          <w:tcPr>
            <w:tcW w:type="dxa" w:w="5386"/>
            <w:shd w:fill="FFFFFF" w:color="auto" w:val="clear"/>
          </w:tcPr>
          <w:p>
            <w:r/>
            <w:r>
              <w:rPr>
                <w:rFonts w:ascii="Times New Roman" w:hAnsi="Times New Roman"/>
                <w:b w:val="0"/>
                <w:i w:val="0"/>
                <w:sz w:val="22"/>
              </w:rPr>
              <w:t>5% (default; user-adjustable)</w:t>
            </w:r>
          </w:p>
        </w:tc>
      </w:tr>
      <w:tr>
        <w:tc>
          <w:tcPr>
            <w:tcW w:type="dxa" w:w="3118"/>
            <w:shd w:fill="EAF0FB" w:color="auto" w:val="clear"/>
          </w:tcPr>
          <w:p>
            <w:r/>
            <w:r>
              <w:rPr>
                <w:rFonts w:ascii="Times New Roman" w:hAnsi="Times New Roman"/>
                <w:b w:val="0"/>
                <w:i w:val="0"/>
                <w:sz w:val="22"/>
              </w:rPr>
              <w:t>Time limit per solve</w:t>
            </w:r>
          </w:p>
        </w:tc>
        <w:tc>
          <w:tcPr>
            <w:tcW w:type="dxa" w:w="5386"/>
            <w:shd w:fill="EAF0FB" w:color="auto" w:val="clear"/>
          </w:tcPr>
          <w:p>
            <w:r/>
            <w:r>
              <w:rPr>
                <w:rFonts w:ascii="Times New Roman" w:hAnsi="Times New Roman"/>
                <w:b w:val="0"/>
                <w:i w:val="0"/>
                <w:sz w:val="22"/>
              </w:rPr>
              <w:t>300 seconds (default; user-adjustable)</w:t>
            </w:r>
          </w:p>
        </w:tc>
      </w:tr>
    </w:tbl>
    <w:p/>
    <w:p>
      <w:r>
        <w:br w:type="page"/>
      </w:r>
    </w:p>
    <w:p>
      <w:pPr>
        <w:pStyle w:val="Heading1"/>
        <w:spacing w:before="360" w:after="120"/>
      </w:pPr>
      <w:r>
        <w:rPr>
          <w:rFonts w:ascii="Times New Roman" w:hAnsi="Times New Roman"/>
          <w:b/>
          <w:color w:val="003366"/>
          <w:sz w:val="32"/>
        </w:rPr>
        <w:t>11.  Data Flow Between Tabs</w:t>
      </w:r>
    </w:p>
    <w:p>
      <w:pPr>
        <w:spacing w:after="160" w:before="0"/>
        <w:ind w:firstLine="425"/>
      </w:pPr>
      <w:r>
        <w:rPr>
          <w:rFonts w:ascii="Times New Roman" w:hAnsi="Times New Roman"/>
          <w:b w:val="0"/>
          <w:i w:val="0"/>
          <w:sz w:val="24"/>
        </w:rPr>
        <w:t>All user inputs are held in Streamlit session state throughout a session. When the user clicks 'Run Optimisation' in Tab 5, a unified input dictionary is assembled from all session state values and sent to the FastAPI backend as a single JSON request. The data flow is strictly sequential across tabs.</w:t>
      </w:r>
    </w:p>
    <w:tbl>
      <w:tblPr>
        <w:tblStyle w:val="TableGrid"/>
        <w:tblW w:type="auto" w:w="0"/>
        <w:tblLook w:firstColumn="1" w:firstRow="1" w:lastColumn="0" w:lastRow="0" w:noHBand="0" w:noVBand="1" w:val="04A0"/>
      </w:tblPr>
      <w:tblGrid>
        <w:gridCol w:w="2878"/>
        <w:gridCol w:w="2878"/>
        <w:gridCol w:w="2878"/>
      </w:tblGrid>
      <w:tr>
        <w:tc>
          <w:tcPr>
            <w:tcW w:type="dxa" w:w="1984"/>
            <w:shd w:fill="003366" w:color="auto" w:val="clear"/>
          </w:tcPr>
          <w:p>
            <w:pPr>
              <w:jc w:val="center"/>
            </w:pPr>
            <w:r/>
            <w:r>
              <w:rPr>
                <w:rFonts w:ascii="Times New Roman" w:hAnsi="Times New Roman"/>
                <w:b/>
                <w:i w:val="0"/>
                <w:color w:val="FFFFFF"/>
                <w:sz w:val="22"/>
              </w:rPr>
              <w:t>Source Tab</w:t>
            </w:r>
          </w:p>
        </w:tc>
        <w:tc>
          <w:tcPr>
            <w:tcW w:type="dxa" w:w="3402"/>
            <w:shd w:fill="003366" w:color="auto" w:val="clear"/>
          </w:tcPr>
          <w:p>
            <w:pPr>
              <w:jc w:val="center"/>
            </w:pPr>
            <w:r/>
            <w:r>
              <w:rPr>
                <w:rFonts w:ascii="Times New Roman" w:hAnsi="Times New Roman"/>
                <w:b/>
                <w:i w:val="0"/>
                <w:color w:val="FFFFFF"/>
                <w:sz w:val="22"/>
              </w:rPr>
              <w:t>Data Produced</w:t>
            </w:r>
          </w:p>
        </w:tc>
        <w:tc>
          <w:tcPr>
            <w:tcW w:type="dxa" w:w="3118"/>
            <w:shd w:fill="003366" w:color="auto" w:val="clear"/>
          </w:tcPr>
          <w:p>
            <w:pPr>
              <w:jc w:val="center"/>
            </w:pPr>
            <w:r/>
            <w:r>
              <w:rPr>
                <w:rFonts w:ascii="Times New Roman" w:hAnsi="Times New Roman"/>
                <w:b/>
                <w:i w:val="0"/>
                <w:color w:val="FFFFFF"/>
                <w:sz w:val="22"/>
              </w:rPr>
              <w:t>Used In</w:t>
            </w:r>
          </w:p>
        </w:tc>
      </w:tr>
      <w:tr>
        <w:tc>
          <w:tcPr>
            <w:tcW w:type="dxa" w:w="1984"/>
            <w:shd w:fill="EAF0FB" w:color="auto" w:val="clear"/>
          </w:tcPr>
          <w:p>
            <w:r/>
            <w:r>
              <w:rPr>
                <w:rFonts w:ascii="Times New Roman" w:hAnsi="Times New Roman"/>
                <w:b w:val="0"/>
                <w:i w:val="0"/>
                <w:sz w:val="22"/>
              </w:rPr>
              <w:t>Tab 2 - Feed Inputs</w:t>
            </w:r>
          </w:p>
        </w:tc>
        <w:tc>
          <w:tcPr>
            <w:tcW w:type="dxa" w:w="3402"/>
            <w:shd w:fill="EAF0FB" w:color="auto" w:val="clear"/>
          </w:tcPr>
          <w:p>
            <w:r/>
            <w:r>
              <w:rPr>
                <w:rFonts w:ascii="Times New Roman" w:hAnsi="Times New Roman"/>
                <w:b w:val="0"/>
                <w:i w:val="0"/>
                <w:sz w:val="22"/>
              </w:rPr>
              <w:t>Q_f (kg/hr), T_ann (hr/yr), wet-basis composition (7 fractions), zip code</w:t>
            </w:r>
          </w:p>
        </w:tc>
        <w:tc>
          <w:tcPr>
            <w:tcW w:type="dxa" w:w="3118"/>
            <w:shd w:fill="EAF0FB" w:color="auto" w:val="clear"/>
          </w:tcPr>
          <w:p>
            <w:r/>
            <w:r>
              <w:rPr>
                <w:rFonts w:ascii="Times New Roman" w:hAnsi="Times New Roman"/>
                <w:b w:val="0"/>
                <w:i w:val="0"/>
                <w:sz w:val="22"/>
              </w:rPr>
              <w:t>Backend model - all process units use feed flow and composition as boundary conditions. Zip code used in Tab 6 for EJ assessment.</w:t>
            </w:r>
          </w:p>
        </w:tc>
      </w:tr>
      <w:tr>
        <w:tc>
          <w:tcPr>
            <w:tcW w:type="dxa" w:w="1984"/>
            <w:shd w:fill="FFFFFF" w:color="auto" w:val="clear"/>
          </w:tcPr>
          <w:p>
            <w:r/>
            <w:r>
              <w:rPr>
                <w:rFonts w:ascii="Times New Roman" w:hAnsi="Times New Roman"/>
                <w:b w:val="0"/>
                <w:i w:val="0"/>
                <w:sz w:val="22"/>
              </w:rPr>
              <w:t>Tab 3 - Technology Specifications</w:t>
            </w:r>
          </w:p>
        </w:tc>
        <w:tc>
          <w:tcPr>
            <w:tcW w:type="dxa" w:w="3402"/>
            <w:shd w:fill="FFFFFF" w:color="auto" w:val="clear"/>
          </w:tcPr>
          <w:p>
            <w:r/>
            <w:r>
              <w:rPr>
                <w:rFonts w:ascii="Times New Roman" w:hAnsi="Times New Roman"/>
                <w:b w:val="0"/>
                <w:i w:val="0"/>
                <w:sz w:val="22"/>
              </w:rPr>
              <w:t>Unit-specific engineering parameters for all 15 technologies (yields, efficiencies, HRTs, emission factors)</w:t>
            </w:r>
          </w:p>
        </w:tc>
        <w:tc>
          <w:tcPr>
            <w:tcW w:type="dxa" w:w="3118"/>
            <w:shd w:fill="FFFFFF" w:color="auto" w:val="clear"/>
          </w:tcPr>
          <w:p>
            <w:r/>
            <w:r>
              <w:rPr>
                <w:rFonts w:ascii="Times New Roman" w:hAnsi="Times New Roman"/>
                <w:b w:val="0"/>
                <w:i w:val="0"/>
                <w:sz w:val="22"/>
              </w:rPr>
              <w:t>Backend model - overrides default parameter values in parameters.py for the selected technology parameters.</w:t>
            </w:r>
          </w:p>
        </w:tc>
      </w:tr>
      <w:tr>
        <w:tc>
          <w:tcPr>
            <w:tcW w:type="dxa" w:w="1984"/>
            <w:shd w:fill="EAF0FB" w:color="auto" w:val="clear"/>
          </w:tcPr>
          <w:p>
            <w:r/>
            <w:r>
              <w:rPr>
                <w:rFonts w:ascii="Times New Roman" w:hAnsi="Times New Roman"/>
                <w:b w:val="0"/>
                <w:i w:val="0"/>
                <w:sz w:val="22"/>
              </w:rPr>
              <w:t>Tab 4 - Cost Specifications</w:t>
            </w:r>
          </w:p>
        </w:tc>
        <w:tc>
          <w:tcPr>
            <w:tcW w:type="dxa" w:w="3402"/>
            <w:shd w:fill="EAF0FB" w:color="auto" w:val="clear"/>
          </w:tcPr>
          <w:p>
            <w:r/>
            <w:r>
              <w:rPr>
                <w:rFonts w:ascii="Times New Roman" w:hAnsi="Times New Roman"/>
                <w:b w:val="0"/>
                <w:i w:val="0"/>
                <w:sz w:val="22"/>
              </w:rPr>
              <w:t>C_elec, C_tip, C_lbr, discount rate r, plant lifetime n, product prices, objective mode, N Pareto points, time limit, gap</w:t>
            </w:r>
          </w:p>
        </w:tc>
        <w:tc>
          <w:tcPr>
            <w:tcW w:type="dxa" w:w="3118"/>
            <w:shd w:fill="EAF0FB" w:color="auto" w:val="clear"/>
          </w:tcPr>
          <w:p>
            <w:r/>
            <w:r>
              <w:rPr>
                <w:rFonts w:ascii="Times New Roman" w:hAnsi="Times New Roman"/>
                <w:b w:val="0"/>
                <w:i w:val="0"/>
                <w:sz w:val="22"/>
              </w:rPr>
              <w:t>Backend model - costing.py (cost equations), solver.py (objective and epsilon grid configuration).</w:t>
            </w:r>
          </w:p>
        </w:tc>
      </w:tr>
      <w:tr>
        <w:tc>
          <w:tcPr>
            <w:tcW w:type="dxa" w:w="1984"/>
            <w:shd w:fill="FFFFFF" w:color="auto" w:val="clear"/>
          </w:tcPr>
          <w:p>
            <w:r/>
            <w:r>
              <w:rPr>
                <w:rFonts w:ascii="Times New Roman" w:hAnsi="Times New Roman"/>
                <w:b w:val="0"/>
                <w:i w:val="0"/>
                <w:sz w:val="22"/>
              </w:rPr>
              <w:t>Tab 5 - Results</w:t>
            </w:r>
          </w:p>
        </w:tc>
        <w:tc>
          <w:tcPr>
            <w:tcW w:type="dxa" w:w="3402"/>
            <w:shd w:fill="FFFFFF" w:color="auto" w:val="clear"/>
          </w:tcPr>
          <w:p>
            <w:r/>
            <w:r>
              <w:rPr>
                <w:rFonts w:ascii="Times New Roman" w:hAnsi="Times New Roman"/>
                <w:b w:val="0"/>
                <w:i w:val="0"/>
                <w:sz w:val="22"/>
              </w:rPr>
              <w:t>Pareto dataframe: NAC, GHG, all cost and GHG components, pathway configuration per Pareto point</w:t>
            </w:r>
          </w:p>
        </w:tc>
        <w:tc>
          <w:tcPr>
            <w:tcW w:type="dxa" w:w="3118"/>
            <w:shd w:fill="FFFFFF" w:color="auto" w:val="clear"/>
          </w:tcPr>
          <w:p>
            <w:r/>
            <w:r>
              <w:rPr>
                <w:rFonts w:ascii="Times New Roman" w:hAnsi="Times New Roman"/>
                <w:b w:val="0"/>
                <w:i w:val="0"/>
                <w:sz w:val="22"/>
              </w:rPr>
              <w:t>Displayed in Tab 5. GHG values passed to Tab 6 for EJ Index calculation. Full dataframe available as CSV download.</w:t>
            </w:r>
          </w:p>
        </w:tc>
      </w:tr>
      <w:tr>
        <w:tc>
          <w:tcPr>
            <w:tcW w:type="dxa" w:w="1984"/>
            <w:shd w:fill="EAF0FB" w:color="auto" w:val="clear"/>
          </w:tcPr>
          <w:p>
            <w:r/>
            <w:r>
              <w:rPr>
                <w:rFonts w:ascii="Times New Roman" w:hAnsi="Times New Roman"/>
                <w:b w:val="0"/>
                <w:i w:val="0"/>
                <w:sz w:val="22"/>
              </w:rPr>
              <w:t>Tab 6 - EJ Assessment</w:t>
            </w:r>
          </w:p>
        </w:tc>
        <w:tc>
          <w:tcPr>
            <w:tcW w:type="dxa" w:w="3402"/>
            <w:shd w:fill="EAF0FB" w:color="auto" w:val="clear"/>
          </w:tcPr>
          <w:p>
            <w:r/>
            <w:r>
              <w:rPr>
                <w:rFonts w:ascii="Times New Roman" w:hAnsi="Times New Roman"/>
                <w:b w:val="0"/>
                <w:i w:val="0"/>
                <w:sz w:val="22"/>
              </w:rPr>
              <w:t>EJ Index per pathway, community demographics, facility map</w:t>
            </w:r>
          </w:p>
        </w:tc>
        <w:tc>
          <w:tcPr>
            <w:tcW w:type="dxa" w:w="3118"/>
            <w:shd w:fill="EAF0FB" w:color="auto" w:val="clear"/>
          </w:tcPr>
          <w:p>
            <w:r/>
            <w:r>
              <w:rPr>
                <w:rFonts w:ascii="Times New Roman" w:hAnsi="Times New Roman"/>
                <w:b w:val="0"/>
                <w:i w:val="0"/>
                <w:sz w:val="22"/>
              </w:rPr>
              <w:t>Final output only. Not fed back to any upstream tab.</w:t>
            </w:r>
          </w:p>
        </w:tc>
      </w:tr>
    </w:tbl>
    <w:p/>
    <w:p>
      <w:r>
        <w:br w:type="page"/>
      </w:r>
    </w:p>
    <w:p>
      <w:pPr>
        <w:pStyle w:val="Heading1"/>
        <w:spacing w:before="360" w:after="120"/>
      </w:pPr>
      <w:r>
        <w:rPr>
          <w:rFonts w:ascii="Times New Roman" w:hAnsi="Times New Roman"/>
          <w:b/>
          <w:color w:val="003366"/>
          <w:sz w:val="32"/>
        </w:rPr>
        <w:t>12.  Software Stack and Deployment</w:t>
      </w:r>
    </w:p>
    <w:p>
      <w:pPr>
        <w:pStyle w:val="Heading2"/>
        <w:spacing w:before="240" w:after="80"/>
      </w:pPr>
      <w:r>
        <w:rPr>
          <w:rFonts w:ascii="Times New Roman" w:hAnsi="Times New Roman"/>
          <w:b/>
          <w:color w:val="1F497D"/>
          <w:sz w:val="26"/>
        </w:rPr>
        <w:t>12.1  Software Dependencies</w:t>
      </w:r>
    </w:p>
    <w:tbl>
      <w:tblPr>
        <w:tblStyle w:val="TableGrid"/>
        <w:tblW w:type="auto" w:w="0"/>
        <w:tblLook w:firstColumn="1" w:firstRow="1" w:lastColumn="0" w:lastRow="0" w:noHBand="0" w:noVBand="1" w:val="04A0"/>
      </w:tblPr>
      <w:tblGrid>
        <w:gridCol w:w="2878"/>
        <w:gridCol w:w="2878"/>
        <w:gridCol w:w="2878"/>
      </w:tblGrid>
      <w:tr>
        <w:tc>
          <w:tcPr>
            <w:tcW w:type="dxa" w:w="1984"/>
            <w:shd w:fill="003366" w:color="auto" w:val="clear"/>
          </w:tcPr>
          <w:p>
            <w:pPr>
              <w:jc w:val="center"/>
            </w:pPr>
            <w:r/>
            <w:r>
              <w:rPr>
                <w:rFonts w:ascii="Times New Roman" w:hAnsi="Times New Roman"/>
                <w:b/>
                <w:i w:val="0"/>
                <w:color w:val="FFFFFF"/>
                <w:sz w:val="22"/>
              </w:rPr>
              <w:t>Package</w:t>
            </w:r>
          </w:p>
        </w:tc>
        <w:tc>
          <w:tcPr>
            <w:tcW w:type="dxa" w:w="1417"/>
            <w:shd w:fill="003366" w:color="auto" w:val="clear"/>
          </w:tcPr>
          <w:p>
            <w:pPr>
              <w:jc w:val="center"/>
            </w:pPr>
            <w:r/>
            <w:r>
              <w:rPr>
                <w:rFonts w:ascii="Times New Roman" w:hAnsi="Times New Roman"/>
                <w:b/>
                <w:i w:val="0"/>
                <w:color w:val="FFFFFF"/>
                <w:sz w:val="22"/>
              </w:rPr>
              <w:t>Version</w:t>
            </w:r>
          </w:p>
        </w:tc>
        <w:tc>
          <w:tcPr>
            <w:tcW w:type="dxa" w:w="5102"/>
            <w:shd w:fill="003366" w:color="auto" w:val="clear"/>
          </w:tcPr>
          <w:p>
            <w:pPr>
              <w:jc w:val="center"/>
            </w:pPr>
            <w:r/>
            <w:r>
              <w:rPr>
                <w:rFonts w:ascii="Times New Roman" w:hAnsi="Times New Roman"/>
                <w:b/>
                <w:i w:val="0"/>
                <w:color w:val="FFFFFF"/>
                <w:sz w:val="22"/>
              </w:rPr>
              <w:t>Role</w:t>
            </w:r>
          </w:p>
        </w:tc>
      </w:tr>
      <w:tr>
        <w:tc>
          <w:tcPr>
            <w:tcW w:type="dxa" w:w="1984"/>
            <w:shd w:fill="EAF0FB" w:color="auto" w:val="clear"/>
          </w:tcPr>
          <w:p>
            <w:r/>
            <w:r>
              <w:rPr>
                <w:rFonts w:ascii="Times New Roman" w:hAnsi="Times New Roman"/>
                <w:b w:val="0"/>
                <w:i w:val="0"/>
                <w:sz w:val="22"/>
              </w:rPr>
              <w:t>Python</w:t>
            </w:r>
          </w:p>
        </w:tc>
        <w:tc>
          <w:tcPr>
            <w:tcW w:type="dxa" w:w="1417"/>
            <w:shd w:fill="EAF0FB" w:color="auto" w:val="clear"/>
          </w:tcPr>
          <w:p>
            <w:r/>
            <w:r>
              <w:rPr>
                <w:rFonts w:ascii="Times New Roman" w:hAnsi="Times New Roman"/>
                <w:b w:val="0"/>
                <w:i w:val="0"/>
                <w:sz w:val="22"/>
              </w:rPr>
              <w:t>3.12</w:t>
            </w:r>
          </w:p>
        </w:tc>
        <w:tc>
          <w:tcPr>
            <w:tcW w:type="dxa" w:w="5102"/>
            <w:shd w:fill="EAF0FB" w:color="auto" w:val="clear"/>
          </w:tcPr>
          <w:p>
            <w:r/>
            <w:r>
              <w:rPr>
                <w:rFonts w:ascii="Times New Roman" w:hAnsi="Times New Roman"/>
                <w:b w:val="0"/>
                <w:i w:val="0"/>
                <w:sz w:val="22"/>
              </w:rPr>
              <w:t>Runtime environment for all model and application code</w:t>
            </w:r>
          </w:p>
        </w:tc>
      </w:tr>
      <w:tr>
        <w:tc>
          <w:tcPr>
            <w:tcW w:type="dxa" w:w="1984"/>
            <w:shd w:fill="FFFFFF" w:color="auto" w:val="clear"/>
          </w:tcPr>
          <w:p>
            <w:r/>
            <w:r>
              <w:rPr>
                <w:rFonts w:ascii="Times New Roman" w:hAnsi="Times New Roman"/>
                <w:b w:val="0"/>
                <w:i w:val="0"/>
                <w:sz w:val="22"/>
              </w:rPr>
              <w:t>GAMSPy</w:t>
            </w:r>
          </w:p>
        </w:tc>
        <w:tc>
          <w:tcPr>
            <w:tcW w:type="dxa" w:w="1417"/>
            <w:shd w:fill="FFFFFF" w:color="auto" w:val="clear"/>
          </w:tcPr>
          <w:p>
            <w:r/>
            <w:r>
              <w:rPr>
                <w:rFonts w:ascii="Times New Roman" w:hAnsi="Times New Roman"/>
                <w:b w:val="0"/>
                <w:i w:val="0"/>
                <w:sz w:val="22"/>
              </w:rPr>
              <w:t>1.23.1</w:t>
            </w:r>
          </w:p>
        </w:tc>
        <w:tc>
          <w:tcPr>
            <w:tcW w:type="dxa" w:w="5102"/>
            <w:shd w:fill="FFFFFF" w:color="auto" w:val="clear"/>
          </w:tcPr>
          <w:p>
            <w:r/>
            <w:r>
              <w:rPr>
                <w:rFonts w:ascii="Times New Roman" w:hAnsi="Times New Roman"/>
                <w:b w:val="0"/>
                <w:i w:val="0"/>
                <w:sz w:val="22"/>
              </w:rPr>
              <w:t>Python-native algebraic modelling interface to the GAMS solver system</w:t>
            </w:r>
          </w:p>
        </w:tc>
      </w:tr>
      <w:tr>
        <w:tc>
          <w:tcPr>
            <w:tcW w:type="dxa" w:w="1984"/>
            <w:shd w:fill="EAF0FB" w:color="auto" w:val="clear"/>
          </w:tcPr>
          <w:p>
            <w:r/>
            <w:r>
              <w:rPr>
                <w:rFonts w:ascii="Times New Roman" w:hAnsi="Times New Roman"/>
                <w:b w:val="0"/>
                <w:i w:val="0"/>
                <w:sz w:val="22"/>
              </w:rPr>
              <w:t>GAMS / SBB</w:t>
            </w:r>
          </w:p>
        </w:tc>
        <w:tc>
          <w:tcPr>
            <w:tcW w:type="dxa" w:w="1417"/>
            <w:shd w:fill="EAF0FB" w:color="auto" w:val="clear"/>
          </w:tcPr>
          <w:p>
            <w:r/>
            <w:r>
              <w:rPr>
                <w:rFonts w:ascii="Times New Roman" w:hAnsi="Times New Roman"/>
                <w:b w:val="0"/>
                <w:i w:val="0"/>
                <w:sz w:val="22"/>
              </w:rPr>
              <w:t>System license</w:t>
            </w:r>
          </w:p>
        </w:tc>
        <w:tc>
          <w:tcPr>
            <w:tcW w:type="dxa" w:w="5102"/>
            <w:shd w:fill="EAF0FB" w:color="auto" w:val="clear"/>
          </w:tcPr>
          <w:p>
            <w:r/>
            <w:r>
              <w:rPr>
                <w:rFonts w:ascii="Times New Roman" w:hAnsi="Times New Roman"/>
                <w:b w:val="0"/>
                <w:i w:val="0"/>
                <w:sz w:val="22"/>
              </w:rPr>
              <w:t>Branch-and-bound MINLP solver; SBB is the local MINLP solver used for all optimisation runs</w:t>
            </w:r>
          </w:p>
        </w:tc>
      </w:tr>
      <w:tr>
        <w:tc>
          <w:tcPr>
            <w:tcW w:type="dxa" w:w="1984"/>
            <w:shd w:fill="FFFFFF" w:color="auto" w:val="clear"/>
          </w:tcPr>
          <w:p>
            <w:r/>
            <w:r>
              <w:rPr>
                <w:rFonts w:ascii="Times New Roman" w:hAnsi="Times New Roman"/>
                <w:b w:val="0"/>
                <w:i w:val="0"/>
                <w:sz w:val="22"/>
              </w:rPr>
              <w:t>Streamlit</w:t>
            </w:r>
          </w:p>
        </w:tc>
        <w:tc>
          <w:tcPr>
            <w:tcW w:type="dxa" w:w="1417"/>
            <w:shd w:fill="FFFFFF" w:color="auto" w:val="clear"/>
          </w:tcPr>
          <w:p>
            <w:r/>
            <w:r>
              <w:rPr>
                <w:rFonts w:ascii="Times New Roman" w:hAnsi="Times New Roman"/>
                <w:b w:val="0"/>
                <w:i w:val="0"/>
                <w:sz w:val="22"/>
              </w:rPr>
              <w:t>Latest stable</w:t>
            </w:r>
          </w:p>
        </w:tc>
        <w:tc>
          <w:tcPr>
            <w:tcW w:type="dxa" w:w="5102"/>
            <w:shd w:fill="FFFFFF" w:color="auto" w:val="clear"/>
          </w:tcPr>
          <w:p>
            <w:r/>
            <w:r>
              <w:rPr>
                <w:rFonts w:ascii="Times New Roman" w:hAnsi="Times New Roman"/>
                <w:b w:val="0"/>
                <w:i w:val="0"/>
                <w:sz w:val="22"/>
              </w:rPr>
              <w:t>Frontend web application framework; renders all six tabs and interactive widgets</w:t>
            </w:r>
          </w:p>
        </w:tc>
      </w:tr>
      <w:tr>
        <w:tc>
          <w:tcPr>
            <w:tcW w:type="dxa" w:w="1984"/>
            <w:shd w:fill="EAF0FB" w:color="auto" w:val="clear"/>
          </w:tcPr>
          <w:p>
            <w:r/>
            <w:r>
              <w:rPr>
                <w:rFonts w:ascii="Times New Roman" w:hAnsi="Times New Roman"/>
                <w:b w:val="0"/>
                <w:i w:val="0"/>
                <w:sz w:val="22"/>
              </w:rPr>
              <w:t>FastAPI</w:t>
            </w:r>
          </w:p>
        </w:tc>
        <w:tc>
          <w:tcPr>
            <w:tcW w:type="dxa" w:w="1417"/>
            <w:shd w:fill="EAF0FB" w:color="auto" w:val="clear"/>
          </w:tcPr>
          <w:p>
            <w:r/>
            <w:r>
              <w:rPr>
                <w:rFonts w:ascii="Times New Roman" w:hAnsi="Times New Roman"/>
                <w:b w:val="0"/>
                <w:i w:val="0"/>
                <w:sz w:val="22"/>
              </w:rPr>
              <w:t>Latest stable</w:t>
            </w:r>
          </w:p>
        </w:tc>
        <w:tc>
          <w:tcPr>
            <w:tcW w:type="dxa" w:w="5102"/>
            <w:shd w:fill="EAF0FB" w:color="auto" w:val="clear"/>
          </w:tcPr>
          <w:p>
            <w:r/>
            <w:r>
              <w:rPr>
                <w:rFonts w:ascii="Times New Roman" w:hAnsi="Times New Roman"/>
                <w:b w:val="0"/>
                <w:i w:val="0"/>
                <w:sz w:val="22"/>
              </w:rPr>
              <w:t>REST API backend framework; receives optimisation requests and returns results as JSON</w:t>
            </w:r>
          </w:p>
        </w:tc>
      </w:tr>
      <w:tr>
        <w:tc>
          <w:tcPr>
            <w:tcW w:type="dxa" w:w="1984"/>
            <w:shd w:fill="FFFFFF" w:color="auto" w:val="clear"/>
          </w:tcPr>
          <w:p>
            <w:r/>
            <w:r>
              <w:rPr>
                <w:rFonts w:ascii="Times New Roman" w:hAnsi="Times New Roman"/>
                <w:b w:val="0"/>
                <w:i w:val="0"/>
                <w:sz w:val="22"/>
              </w:rPr>
              <w:t>Uvicorn</w:t>
            </w:r>
          </w:p>
        </w:tc>
        <w:tc>
          <w:tcPr>
            <w:tcW w:type="dxa" w:w="1417"/>
            <w:shd w:fill="FFFFFF" w:color="auto" w:val="clear"/>
          </w:tcPr>
          <w:p>
            <w:r/>
            <w:r>
              <w:rPr>
                <w:rFonts w:ascii="Times New Roman" w:hAnsi="Times New Roman"/>
                <w:b w:val="0"/>
                <w:i w:val="0"/>
                <w:sz w:val="22"/>
              </w:rPr>
              <w:t>Latest stable</w:t>
            </w:r>
          </w:p>
        </w:tc>
        <w:tc>
          <w:tcPr>
            <w:tcW w:type="dxa" w:w="5102"/>
            <w:shd w:fill="FFFFFF" w:color="auto" w:val="clear"/>
          </w:tcPr>
          <w:p>
            <w:r/>
            <w:r>
              <w:rPr>
                <w:rFonts w:ascii="Times New Roman" w:hAnsi="Times New Roman"/>
                <w:b w:val="0"/>
                <w:i w:val="0"/>
                <w:sz w:val="22"/>
              </w:rPr>
              <w:t>ASGI web server that hosts the FastAPI application</w:t>
            </w:r>
          </w:p>
        </w:tc>
      </w:tr>
      <w:tr>
        <w:tc>
          <w:tcPr>
            <w:tcW w:type="dxa" w:w="1984"/>
            <w:shd w:fill="EAF0FB" w:color="auto" w:val="clear"/>
          </w:tcPr>
          <w:p>
            <w:r/>
            <w:r>
              <w:rPr>
                <w:rFonts w:ascii="Times New Roman" w:hAnsi="Times New Roman"/>
                <w:b w:val="0"/>
                <w:i w:val="0"/>
                <w:sz w:val="22"/>
              </w:rPr>
              <w:t>Pandas</w:t>
            </w:r>
          </w:p>
        </w:tc>
        <w:tc>
          <w:tcPr>
            <w:tcW w:type="dxa" w:w="1417"/>
            <w:shd w:fill="EAF0FB" w:color="auto" w:val="clear"/>
          </w:tcPr>
          <w:p>
            <w:r/>
            <w:r>
              <w:rPr>
                <w:rFonts w:ascii="Times New Roman" w:hAnsi="Times New Roman"/>
                <w:b w:val="0"/>
                <w:i w:val="0"/>
                <w:sz w:val="22"/>
              </w:rPr>
              <w:t>Latest stable</w:t>
            </w:r>
          </w:p>
        </w:tc>
        <w:tc>
          <w:tcPr>
            <w:tcW w:type="dxa" w:w="5102"/>
            <w:shd w:fill="EAF0FB" w:color="auto" w:val="clear"/>
          </w:tcPr>
          <w:p>
            <w:r/>
            <w:r>
              <w:rPr>
                <w:rFonts w:ascii="Times New Roman" w:hAnsi="Times New Roman"/>
                <w:b w:val="0"/>
                <w:i w:val="0"/>
                <w:sz w:val="22"/>
              </w:rPr>
              <w:t>Tabular data handling, Pareto result formatting, and CSV export</w:t>
            </w:r>
          </w:p>
        </w:tc>
      </w:tr>
      <w:tr>
        <w:tc>
          <w:tcPr>
            <w:tcW w:type="dxa" w:w="1984"/>
            <w:shd w:fill="FFFFFF" w:color="auto" w:val="clear"/>
          </w:tcPr>
          <w:p>
            <w:r/>
            <w:r>
              <w:rPr>
                <w:rFonts w:ascii="Times New Roman" w:hAnsi="Times New Roman"/>
                <w:b w:val="0"/>
                <w:i w:val="0"/>
                <w:sz w:val="22"/>
              </w:rPr>
              <w:t>Matplotlib</w:t>
            </w:r>
          </w:p>
        </w:tc>
        <w:tc>
          <w:tcPr>
            <w:tcW w:type="dxa" w:w="1417"/>
            <w:shd w:fill="FFFFFF" w:color="auto" w:val="clear"/>
          </w:tcPr>
          <w:p>
            <w:r/>
            <w:r>
              <w:rPr>
                <w:rFonts w:ascii="Times New Roman" w:hAnsi="Times New Roman"/>
                <w:b w:val="0"/>
                <w:i w:val="0"/>
                <w:sz w:val="22"/>
              </w:rPr>
              <w:t>Latest stable</w:t>
            </w:r>
          </w:p>
        </w:tc>
        <w:tc>
          <w:tcPr>
            <w:tcW w:type="dxa" w:w="5102"/>
            <w:shd w:fill="FFFFFF" w:color="auto" w:val="clear"/>
          </w:tcPr>
          <w:p>
            <w:r/>
            <w:r>
              <w:rPr>
                <w:rFonts w:ascii="Times New Roman" w:hAnsi="Times New Roman"/>
                <w:b w:val="0"/>
                <w:i w:val="0"/>
                <w:sz w:val="22"/>
              </w:rPr>
              <w:t>Composition donut chart and Pareto frontier scatter plot in the Results tab</w:t>
            </w:r>
          </w:p>
        </w:tc>
      </w:tr>
      <w:tr>
        <w:tc>
          <w:tcPr>
            <w:tcW w:type="dxa" w:w="1984"/>
            <w:shd w:fill="EAF0FB" w:color="auto" w:val="clear"/>
          </w:tcPr>
          <w:p>
            <w:r/>
            <w:r>
              <w:rPr>
                <w:rFonts w:ascii="Times New Roman" w:hAnsi="Times New Roman"/>
                <w:b w:val="0"/>
                <w:i w:val="0"/>
                <w:sz w:val="22"/>
              </w:rPr>
              <w:t>Folium</w:t>
            </w:r>
          </w:p>
        </w:tc>
        <w:tc>
          <w:tcPr>
            <w:tcW w:type="dxa" w:w="1417"/>
            <w:shd w:fill="EAF0FB" w:color="auto" w:val="clear"/>
          </w:tcPr>
          <w:p>
            <w:r/>
            <w:r>
              <w:rPr>
                <w:rFonts w:ascii="Times New Roman" w:hAnsi="Times New Roman"/>
                <w:b w:val="0"/>
                <w:i w:val="0"/>
                <w:sz w:val="22"/>
              </w:rPr>
              <w:t>Latest stable</w:t>
            </w:r>
          </w:p>
        </w:tc>
        <w:tc>
          <w:tcPr>
            <w:tcW w:type="dxa" w:w="5102"/>
            <w:shd w:fill="EAF0FB" w:color="auto" w:val="clear"/>
          </w:tcPr>
          <w:p>
            <w:r/>
            <w:r>
              <w:rPr>
                <w:rFonts w:ascii="Times New Roman" w:hAnsi="Times New Roman"/>
                <w:b w:val="0"/>
                <w:i w:val="0"/>
                <w:sz w:val="22"/>
              </w:rPr>
              <w:t>Interactive facility location map with buffer zones in the EJ tab</w:t>
            </w:r>
          </w:p>
        </w:tc>
      </w:tr>
      <w:tr>
        <w:tc>
          <w:tcPr>
            <w:tcW w:type="dxa" w:w="1984"/>
            <w:shd w:fill="FFFFFF" w:color="auto" w:val="clear"/>
          </w:tcPr>
          <w:p>
            <w:r/>
            <w:r>
              <w:rPr>
                <w:rFonts w:ascii="Times New Roman" w:hAnsi="Times New Roman"/>
                <w:b w:val="0"/>
                <w:i w:val="0"/>
                <w:sz w:val="22"/>
              </w:rPr>
              <w:t>streamlit-folium</w:t>
            </w:r>
          </w:p>
        </w:tc>
        <w:tc>
          <w:tcPr>
            <w:tcW w:type="dxa" w:w="1417"/>
            <w:shd w:fill="FFFFFF" w:color="auto" w:val="clear"/>
          </w:tcPr>
          <w:p>
            <w:r/>
            <w:r>
              <w:rPr>
                <w:rFonts w:ascii="Times New Roman" w:hAnsi="Times New Roman"/>
                <w:b w:val="0"/>
                <w:i w:val="0"/>
                <w:sz w:val="22"/>
              </w:rPr>
              <w:t>Latest stable</w:t>
            </w:r>
          </w:p>
        </w:tc>
        <w:tc>
          <w:tcPr>
            <w:tcW w:type="dxa" w:w="5102"/>
            <w:shd w:fill="FFFFFF" w:color="auto" w:val="clear"/>
          </w:tcPr>
          <w:p>
            <w:r/>
            <w:r>
              <w:rPr>
                <w:rFonts w:ascii="Times New Roman" w:hAnsi="Times New Roman"/>
                <w:b w:val="0"/>
                <w:i w:val="0"/>
                <w:sz w:val="22"/>
              </w:rPr>
              <w:t>Streamlit component for rendering Folium maps within the Streamlit interface</w:t>
            </w:r>
          </w:p>
        </w:tc>
      </w:tr>
      <w:tr>
        <w:tc>
          <w:tcPr>
            <w:tcW w:type="dxa" w:w="1984"/>
            <w:shd w:fill="EAF0FB" w:color="auto" w:val="clear"/>
          </w:tcPr>
          <w:p>
            <w:r/>
            <w:r>
              <w:rPr>
                <w:rFonts w:ascii="Times New Roman" w:hAnsi="Times New Roman"/>
                <w:b w:val="0"/>
                <w:i w:val="0"/>
                <w:sz w:val="22"/>
              </w:rPr>
              <w:t>Requests</w:t>
            </w:r>
          </w:p>
        </w:tc>
        <w:tc>
          <w:tcPr>
            <w:tcW w:type="dxa" w:w="1417"/>
            <w:shd w:fill="EAF0FB" w:color="auto" w:val="clear"/>
          </w:tcPr>
          <w:p>
            <w:r/>
            <w:r>
              <w:rPr>
                <w:rFonts w:ascii="Times New Roman" w:hAnsi="Times New Roman"/>
                <w:b w:val="0"/>
                <w:i w:val="0"/>
                <w:sz w:val="22"/>
              </w:rPr>
              <w:t>Latest stable</w:t>
            </w:r>
          </w:p>
        </w:tc>
        <w:tc>
          <w:tcPr>
            <w:tcW w:type="dxa" w:w="5102"/>
            <w:shd w:fill="EAF0FB" w:color="auto" w:val="clear"/>
          </w:tcPr>
          <w:p>
            <w:r/>
            <w:r>
              <w:rPr>
                <w:rFonts w:ascii="Times New Roman" w:hAnsi="Times New Roman"/>
                <w:b w:val="0"/>
                <w:i w:val="0"/>
                <w:sz w:val="22"/>
              </w:rPr>
              <w:t>HTTP requests to the Zippopotam.us geocoding API and US Census Bureau ACS data API</w:t>
            </w:r>
          </w:p>
        </w:tc>
      </w:tr>
      <w:tr>
        <w:tc>
          <w:tcPr>
            <w:tcW w:type="dxa" w:w="1984"/>
            <w:shd w:fill="FFFFFF" w:color="auto" w:val="clear"/>
          </w:tcPr>
          <w:p>
            <w:r/>
            <w:r>
              <w:rPr>
                <w:rFonts w:ascii="Times New Roman" w:hAnsi="Times New Roman"/>
                <w:b w:val="0"/>
                <w:i w:val="0"/>
                <w:sz w:val="22"/>
              </w:rPr>
              <w:t>python-docx</w:t>
            </w:r>
          </w:p>
        </w:tc>
        <w:tc>
          <w:tcPr>
            <w:tcW w:type="dxa" w:w="1417"/>
            <w:shd w:fill="FFFFFF" w:color="auto" w:val="clear"/>
          </w:tcPr>
          <w:p>
            <w:r/>
            <w:r>
              <w:rPr>
                <w:rFonts w:ascii="Times New Roman" w:hAnsi="Times New Roman"/>
                <w:b w:val="0"/>
                <w:i w:val="0"/>
                <w:sz w:val="22"/>
              </w:rPr>
              <w:t>Latest stable</w:t>
            </w:r>
          </w:p>
        </w:tc>
        <w:tc>
          <w:tcPr>
            <w:tcW w:type="dxa" w:w="5102"/>
            <w:shd w:fill="FFFFFF" w:color="auto" w:val="clear"/>
          </w:tcPr>
          <w:p>
            <w:r/>
            <w:r>
              <w:rPr>
                <w:rFonts w:ascii="Times New Roman" w:hAnsi="Times New Roman"/>
                <w:b w:val="0"/>
                <w:i w:val="0"/>
                <w:sz w:val="22"/>
              </w:rPr>
              <w:t>Used to generate this report document programmatically</w:t>
            </w:r>
          </w:p>
        </w:tc>
      </w:tr>
    </w:tbl>
    <w:p/>
    <w:p>
      <w:pPr>
        <w:pStyle w:val="Heading2"/>
        <w:spacing w:before="240" w:after="80"/>
      </w:pPr>
      <w:r>
        <w:rPr>
          <w:rFonts w:ascii="Times New Roman" w:hAnsi="Times New Roman"/>
          <w:b/>
          <w:color w:val="1F497D"/>
          <w:sz w:val="26"/>
        </w:rPr>
        <w:t>12.2  Starting the Application</w:t>
      </w:r>
    </w:p>
    <w:p>
      <w:pPr>
        <w:spacing w:after="160" w:before="0"/>
        <w:ind w:firstLine="425"/>
      </w:pPr>
      <w:r>
        <w:rPr>
          <w:rFonts w:ascii="Times New Roman" w:hAnsi="Times New Roman"/>
          <w:b w:val="0"/>
          <w:i w:val="0"/>
          <w:sz w:val="24"/>
        </w:rPr>
        <w:t>Both processes must be started in separate terminal windows. The backend API must be started first, followed by the Streamlit frontend.</w:t>
      </w:r>
    </w:p>
    <w:p>
      <w:pPr>
        <w:pStyle w:val="ListBullet"/>
        <w:spacing w:after="80"/>
        <w:ind w:left="567"/>
      </w:pPr>
      <w:r>
        <w:rPr>
          <w:rFonts w:ascii="Times New Roman" w:hAnsi="Times New Roman"/>
          <w:b/>
          <w:i w:val="0"/>
          <w:sz w:val="24"/>
        </w:rPr>
        <w:t xml:space="preserve">Terminal 1 - Backend API:  </w:t>
      </w:r>
      <w:r>
        <w:rPr>
          <w:rFonts w:ascii="Times New Roman" w:hAnsi="Times New Roman"/>
          <w:b w:val="0"/>
          <w:i w:val="0"/>
          <w:sz w:val="24"/>
        </w:rPr>
        <w:t>py -3.12 -m uvicorn api:app --host 127.0.0.1 --port 8000</w:t>
      </w:r>
    </w:p>
    <w:p>
      <w:pPr>
        <w:pStyle w:val="ListBullet"/>
        <w:spacing w:after="80"/>
        <w:ind w:left="567"/>
      </w:pPr>
      <w:r>
        <w:rPr>
          <w:rFonts w:ascii="Times New Roman" w:hAnsi="Times New Roman"/>
          <w:b/>
          <w:i w:val="0"/>
          <w:sz w:val="24"/>
        </w:rPr>
        <w:t xml:space="preserve">Terminal 2 - Frontend:  </w:t>
      </w:r>
      <w:r>
        <w:rPr>
          <w:rFonts w:ascii="Times New Roman" w:hAnsi="Times New Roman"/>
          <w:b w:val="0"/>
          <w:i w:val="0"/>
          <w:sz w:val="24"/>
        </w:rPr>
        <w:t>py -3.12 -m streamlit run app.py</w:t>
      </w:r>
    </w:p>
    <w:p>
      <w:pPr>
        <w:spacing w:after="160" w:before="0"/>
        <w:ind w:firstLine="425"/>
      </w:pPr>
      <w:r>
        <w:rPr>
          <w:rFonts w:ascii="Times New Roman" w:hAnsi="Times New Roman"/>
          <w:b w:val="0"/>
          <w:i w:val="0"/>
          <w:sz w:val="24"/>
        </w:rPr>
        <w:t>Once both processes are running, the application is accessible in a web browser at http://localhost:8501. The API health endpoint can be verified at http://127.0.0.1:8000/health, which returns {"status": "ok"} when the backend is operating correctly.</w:t>
      </w:r>
    </w:p>
    <w:p>
      <w:pPr>
        <w:pStyle w:val="Heading2"/>
        <w:spacing w:before="240" w:after="80"/>
      </w:pPr>
      <w:r>
        <w:rPr>
          <w:rFonts w:ascii="Times New Roman" w:hAnsi="Times New Roman"/>
          <w:b/>
          <w:color w:val="1F497D"/>
          <w:sz w:val="26"/>
        </w:rPr>
        <w:t>12.3  Sharing with External Stakeholders (Temporary Access)</w:t>
      </w:r>
    </w:p>
    <w:p>
      <w:pPr>
        <w:spacing w:after="160" w:before="0"/>
        <w:ind w:firstLine="425"/>
      </w:pPr>
      <w:r>
        <w:rPr>
          <w:rFonts w:ascii="Times New Roman" w:hAnsi="Times New Roman"/>
          <w:b w:val="0"/>
          <w:i w:val="0"/>
          <w:sz w:val="24"/>
        </w:rPr>
        <w:t>For sharing the tool with external collaborators or regulatory agencies (e.g. EPA) during a meeting or review period, the application can be temporarily exposed to the internet using the ngrok tunnelling service:</w:t>
      </w:r>
    </w:p>
    <w:p>
      <w:pPr>
        <w:pStyle w:val="ListBullet"/>
        <w:spacing w:after="80"/>
        <w:ind w:left="567"/>
      </w:pPr>
      <w:r>
        <w:rPr>
          <w:rFonts w:ascii="Times New Roman" w:hAnsi="Times New Roman"/>
          <w:b/>
          <w:i w:val="0"/>
          <w:sz w:val="24"/>
        </w:rPr>
        <w:t xml:space="preserve">Step 1:  </w:t>
      </w:r>
      <w:r>
        <w:rPr>
          <w:rFonts w:ascii="Times New Roman" w:hAnsi="Times New Roman"/>
          <w:b w:val="0"/>
          <w:i w:val="0"/>
          <w:sz w:val="24"/>
        </w:rPr>
        <w:t>Start both backend and frontend processes as described above.</w:t>
      </w:r>
    </w:p>
    <w:p>
      <w:pPr>
        <w:pStyle w:val="ListBullet"/>
        <w:spacing w:after="80"/>
        <w:ind w:left="567"/>
      </w:pPr>
      <w:r>
        <w:rPr>
          <w:rFonts w:ascii="Times New Roman" w:hAnsi="Times New Roman"/>
          <w:b/>
          <w:i w:val="0"/>
          <w:sz w:val="24"/>
        </w:rPr>
        <w:t xml:space="preserve">Step 2:  </w:t>
      </w:r>
      <w:r>
        <w:rPr>
          <w:rFonts w:ascii="Times New Roman" w:hAnsi="Times New Roman"/>
          <w:b w:val="0"/>
          <w:i w:val="0"/>
          <w:sz w:val="24"/>
        </w:rPr>
        <w:t>Run: ngrok http 8501</w:t>
      </w:r>
    </w:p>
    <w:p>
      <w:pPr>
        <w:pStyle w:val="ListBullet"/>
        <w:spacing w:after="80"/>
        <w:ind w:left="567"/>
      </w:pPr>
      <w:r>
        <w:rPr>
          <w:rFonts w:ascii="Times New Roman" w:hAnsi="Times New Roman"/>
          <w:b/>
          <w:i w:val="0"/>
          <w:sz w:val="24"/>
        </w:rPr>
        <w:t xml:space="preserve">Step 3:  </w:t>
      </w:r>
      <w:r>
        <w:rPr>
          <w:rFonts w:ascii="Times New Roman" w:hAnsi="Times New Roman"/>
          <w:b w:val="0"/>
          <w:i w:val="0"/>
          <w:sz w:val="24"/>
        </w:rPr>
        <w:t>Share the public URL provided by ngrok (e.g. https://abc123.ngrok-free.app) with stakeholders. All computation remains on the host machine; the GAMS license remains valid on the local installation.</w:t>
      </w:r>
    </w:p>
    <w:p>
      <w:pPr>
        <w:spacing w:after="160" w:before="0"/>
        <w:ind w:firstLine="425"/>
      </w:pPr>
      <w:r>
        <w:rPr>
          <w:rFonts w:ascii="Times New Roman" w:hAnsi="Times New Roman"/>
          <w:b w:val="0"/>
          <w:i w:val="0"/>
          <w:sz w:val="24"/>
        </w:rPr>
        <w:t>This approach requires no cloud infrastructure and no license transfer. The ngrok free tier displays a one-time warning page before the application loads; a paid ngrok account removes this warning.</w:t>
      </w:r>
    </w:p>
    <w:p>
      <w:pPr>
        <w:pStyle w:val="Heading2"/>
        <w:spacing w:before="240" w:after="80"/>
      </w:pPr>
      <w:r>
        <w:rPr>
          <w:rFonts w:ascii="Times New Roman" w:hAnsi="Times New Roman"/>
          <w:b/>
          <w:color w:val="1F497D"/>
          <w:sz w:val="26"/>
        </w:rPr>
        <w:t>12.4  Permanent Cloud Deployment</w:t>
      </w:r>
    </w:p>
    <w:p>
      <w:pPr>
        <w:spacing w:after="160" w:before="0"/>
        <w:ind w:firstLine="425"/>
      </w:pPr>
      <w:r>
        <w:rPr>
          <w:rFonts w:ascii="Times New Roman" w:hAnsi="Times New Roman"/>
          <w:b w:val="0"/>
          <w:i w:val="0"/>
          <w:sz w:val="24"/>
        </w:rPr>
        <w:t>For permanent hosting accessible to all stakeholders at any time, the application can be deployed on a cloud virtual machine (e.g. Google Cloud Compute Engine, AWS EC2, or Azure VM). Both backend and frontend processes run on the same VM, and a public IP address or custom domain provides permanent access.</w:t>
      </w:r>
    </w:p>
    <w:p>
      <w:pPr>
        <w:spacing w:after="160" w:before="0"/>
        <w:ind w:firstLine="425"/>
      </w:pPr>
      <w:r>
        <w:rPr>
          <w:rFonts w:ascii="Times New Roman" w:hAnsi="Times New Roman"/>
          <w:b w:val="0"/>
          <w:i w:val="0"/>
          <w:sz w:val="24"/>
        </w:rPr>
        <w:t>The key requirement for cloud deployment is a valid GAMS license installed on the cloud VM. Standard GAMS node-locked licenses may be transferred to a cloud VM (up to three transfers per license term under current GAMS EULA terms). Cloud deployment costs are approximately $25-50 per month for a general-purpose VM instance of appropriate size (e.g. 2 vCPUs, 8 GB RAM).</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