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TÜBİTAK 2209-B Başvuru Formu Taslağı</w:t>
      </w:r>
    </w:p>
    <w:p>
      <w:pPr>
        <w:spacing w:after="120"/>
      </w:pPr>
      <w:r>
        <w:rPr>
          <w:b/>
          <w:bCs/>
        </w:rPr>
        <w:t xml:space="preserve">Proje başlığı (taslak): Üniversite tanıtım robotunun sanayi tesisinde bilgilendirme asistanı olarak çalışması için gürültülü ortamlara uyarlanması</w:t>
      </w:r>
    </w:p>
    <w:p>
      <w:pPr>
        <w:spacing w:after="120"/>
      </w:pPr>
      <w:r>
        <w:t xml:space="preserve">Yürütücü: Efe Yavuz Yılmaz · Proje ortakları: Mehmet Parlak, Muhammed Enes Barman, Ahmet Yorulmaz · Akademik danışman: Öğr. Gör. Osman Demirci · Sanayi danışmanı: sanayi ortağının genel müdürü (ad eklenecek)</w:t>
      </w:r>
    </w:p>
    <w:p>
      <w:pPr>
        <w:spacing w:after="120"/>
      </w:pPr>
      <w:r>
        <w:t xml:space="preserve">Bu taslak üretken yapay zekâ desteğiyle hazırlanmıştır; metin başvuru öncesinde yürütücü ve akademik danışman tarafından okunup düzeltilecek, ÜYZ kullanımı başvuruda beyan edilecektir. Metinde firma, kurum ve marka adı kullanılmamıştır.</w:t>
      </w:r>
    </w:p>
    <w:p>
      <w:pPr>
        <w:pStyle w:val="Heading2"/>
        <w:spacing w:before="240" w:after="120"/>
      </w:pPr>
      <w:r>
        <w:t xml:space="preserve">Özet</w:t>
      </w:r>
    </w:p>
    <w:p>
      <w:pPr>
        <w:spacing w:after="120"/>
      </w:pPr>
      <w:r>
        <w:t>Üniversiteler ve sanayi tesisleri ziyaretçi karşılama, tanıtım ve yönlendirme için giderek daha fazla sosyal robot kullanmaktadır; ancak saha çalışmaları bu robotların en zayıf halkasının gürültülü ortamlarda sesli etkileşim olduğunu göstermektedir (Kanda vd., 2010; Tonkin vd., 2018). Bu projede, ders kapsamında tasarlanıp üretilen bacaksız, tekerlekli, iki kollu ve yüz ekranlı insansı robot platformu, asıl görevi olan üniversite tanıtım robotu işlevini korurken, bir sanayi tesisinde ziyaretçi ve personel için bilgilendirme ve yönlendirme asistanı olarak da güvenilir biçimde çalışacak şekilde gürültülü ortamlara uyarlanacaktır. Robot platformunun mekanik tasarımı ders kapsamında sürdürülmektedir; yaklaşık 170 cm boy için devrilme, tahrik ve kol dinamiği hesapları, baskı parçalarının mukavemet artırımı ve servo seçimi güncel tasarıma göre tamamlanacak, platformun kurulumu üniversite ve sanayi kuruluşunun desteğiyle proje başlamadan önce bitirilecektir. Proje dört araştırma sorusunu ele alır: (1) 70-85 dB ortam gürültüsünde mikrofon dizisi, gürültü bastırma ve düğmesiz konuşma etkinliği algılama (VAD) ile komut ve soru tanıma oranının ne ölçüde yükseltilebileceği; (2) kurum bilgisinin (üniversite ↔ tesis) teknik bilgi gerektirmeden değiştirilebilen bir içerik paketi olarak dil modeli destekli diyaloğa nasıl bağlanacağı; (3) insan yakınında çalışan mobil bir sosyal robot için hız, durma ve acil durdurma davranışının hangi ölçütlerle doğrulanacağı; (4) robotun bulunduğu bölgeyi altyapı kurmadan, düşük maliyetli kaynakları (Wi-Fi parmak izi, GPS, görsel işaretler, teker odometrisi ve kamerayla öğrenilen yer tanıma) birleştirerek ne doğrulukla belirleyebileceği ve yön tarifini buna göre verebileceği. Yöntem, dört ortamda (laboratuvar, kampüs iç mekânı ve açık alanı, sanayi tesisi) gürültü profili ölçümü, iki mikrofon düzeninin karşılaştırmalı testi, 50 soruluk bilgi tabanı test seti, 10 bölgelik konum test turu, güvenlik kontrol listesi ve iki saha denemesi (kampüs etkinliği ve sanayi tesisi) ile kullanıcı anketinden oluşur. Başarı ölçütleri niceldir: 75 dB'de komut tanıma oranı en az %85, uçtan uca yanıt gecikmesi en çok 2,5 s, bilgi tabanı sorularında doğruluk en az %80, bölge tespiti doğruluğu en az %90, 0,5 m engelde durma 20/20, her sahada en az 2 saat kesintisiz çalışma ve en az 30 kullanıcı. Proje 12 ay sürecek, dört öğrenci eşit katkıyla altı iş paketini yürütecek; akademik danışman ve sanayi danışmanı izleyecektir. Çıktılar sanayi tesisinde denenmiş bir prototip, gürültü-tanıma-gecikme karşılaştırma tablosu, değiştirilebilir içerik paketi biçimi, çok kaynaklı konumlandırma modülü, güvenlik kontrol listesi ve açık kaynak depo olacak; aynı düşük maliyetli platform KOBİ'lerde bilgilendirme asistanı, fuarlarda ve eğitim kurumlarında tanıtım robotu olarak yaygınlaşabilecektir.</w:t>
      </w:r>
    </w:p>
    <w:p>
      <w:pPr>
        <w:pStyle w:val="Heading2"/>
        <w:spacing w:before="240" w:after="120"/>
      </w:pPr>
      <w:r>
        <w:t xml:space="preserve">1.1 Amaç ve Hedefler</w:t>
      </w:r>
    </w:p>
    <w:p>
      <w:pPr>
        <w:spacing w:after="120"/>
      </w:pPr>
      <w:r>
        <w:t xml:space="preserve">Üniversite tanıtım günleri, sanayi tesislerinin ziyaretçi girişleri ve fuar standları, az sayıda personelin çok sayıda kişiyle tekrar eden bilgilendirme yaptığı ortamlardır. Sosyal robotlar bu işi üstlenebilmektedir; ne var ki alışveriş merkezi (Kanda vd., 2010), havalimanı (Tonkin vd., 2018) ve üniversite binası (Blair ve Foster, 2023) saha çalışmaları, kalabalık ve gürültülü ortamda konuşma tanımanın güvenilmez kaldığını, hatta robotun kısmen uzaktan yönetilmek zorunda kalındığını belgelemektedir. Sanayi tesisleri bu sorunu daha da ağırlaştırır: ortam gürültüsü yüksektir; robotun kendi motor ve fan gürültüsü ile kendi sesi de mikrofona yakındır (İnce vd., 2009; Li vd., 2024).</w:t>
      </w:r>
    </w:p>
    <w:p>
      <w:pPr>
        <w:spacing w:after="120"/>
      </w:pPr>
      <w:r>
        <w:t xml:space="preserve">Projenin amacı, ders kapsamında üniversite tanıtım robotu olarak tasarlanan tekerlekli insansı robot platformunu değiştirmeden, aynı robotun sanayi tesisinde ziyaretçi ve personel için bilgilendirme ve yönlendirme asistanı olarak güvenilir biçimde çalışmasını sağlayacak ortam ve içerik uyarlamasını geliştirmek ve ölçmektir.</w:t>
      </w:r>
    </w:p>
    <w:p>
      <w:pPr>
        <w:spacing w:after="120"/>
      </w:pPr>
      <w:r>
        <w:t>Somut hedefler: (H1) dört ortamın (laboratuvar, kampüs iç mekânı, kampüs açık alanı, sanayi tesisi) gürültü profilini ölçmek ve mevcut robotun temel tanıma oranını belirlemek; (H2) mikrofon dizisi + gürültü bastırma + düğmesiz konuşma etkinliği algılama ile 75 dB ortamda komut tanıma oranını en az %85'e, yanıt gecikmesini en çok 2,5 s'ye getirmek; (H3) kurum bilgisini dosya tabanlı, değiştirilebilir bir içerik paketi olarak dil modeli destekli diyaloğa bağlamak ve 50 soruluk test setinde en az %80 doğruluk elde etmek; (H4) robotun bölgesini Wi-Fi parmak izi, GPS, görsel işaret, teker odometrisi ve kamerayla öğrenilen yer tanıma kaynaklarını birleştirerek iç ve açık alanda en az %90 doğrulukla belirlemek ve yön tarifini bulunduğu bölgeye göre vermek; (H5) insan yakınında güvenli davranış için hız/ivme sınırı, engelde durma ve acil durdurma testlerini ISO 13482 çerçevesinde doğrulamak; (H6) kampüs etkinliğinde ve sanayi tesisinde en az 2'şer saatlik saha denemesi yapıp en az 30 kullanıcıyla kabul ölçümü almak; (H7) sonuçları açık kaynak depo ve teknik notla paylaşmak.</w:t>
      </w:r>
    </w:p>
    <w:p>
      <w:pPr>
        <w:pStyle w:val="Heading2"/>
        <w:spacing w:before="240" w:after="120"/>
      </w:pPr>
      <w:r>
        <w:t xml:space="preserve">1.2 Yenilikçi Yönü ve Teknolojik Değeri</w:t>
      </w:r>
    </w:p>
    <w:p>
      <w:pPr>
        <w:spacing w:after="120"/>
      </w:pPr>
      <w:r>
        <w:t xml:space="preserve">Literatürdeki karşılama ve rehber robotlarının çoğu ya onbinlerce dolarlık ticari platformlardır (Tonkin vd., 2018; Pande ve Mishra, 2024) ya da araştırma amaçlı özel tasarımlardır (Specian vd., 2022). Bu projenin ilk farkı, öğrenciler tarafından açık kaynak araçlarla tasarlanan, malzeme maliyeti yaklaşık 80 bin TL olan bir platformun, üniversitedeki tanıtım görevine ek olarak sanayi tesisinde bilgilendirme asistanı görevini aynı donanımla üstlenecek biçimde uyarlanmasıdır; düşük maliyetli donanımla yüksek başarı alınabildiği başka alanlarda gösterilmiştir (Zhao vd., 2023).</w:t>
      </w:r>
    </w:p>
    <w:p>
      <w:pPr>
        <w:spacing w:after="120"/>
      </w:pPr>
      <w:r>
        <w:t xml:space="preserve">İkinci fark, gürültülü ortamda sesli etkileşimin nicel olarak ele alınmasıdır. Gürültü eklenmiş veriyle eğitim kelime hata oranını belirgin düşürmekte (Orel ve Varol, 2023), mikrofon dizileriyle kaynak ayrımı düşük maliyetli gömülü sistemlerde çalışabilmekte (Grondin vd., 2022), robotun kendi gürültüsü ise ayrıca bastırılabilmektedir (İnce vd., 2009). Ancak bu yöntemlerin bir karşılama robotu üzerinde, ölçülmüş dB düzeylerinde ve Türkçe konuşmayla birlikte değerlendirildiği bir çalışma bulunamamıştır; Türkçe konuşma tanıma modelleri temiz veride düşük hata oranı vermektedir (Polat vd., 2024) ama gürültülü saha verisi yoktur. Proje bu boşluğu dolduracak karşılaştırma tablosunu üretecektir.</w:t>
      </w:r>
    </w:p>
    <w:p>
      <w:pPr>
        <w:spacing w:after="120"/>
      </w:pPr>
      <w:r>
        <w:t xml:space="preserve">Üçüncü fark, kurum bilgisinin değiştirilebilir içerik paketi olarak taşınmasıdır. Dil modeliyle çalışan resepsiyon robotları tesis bilgisini genel sohbetle birleştirebilmekte (Cherakara vd., 2023), bilgi tabanına dayalı yanıt üretimi öğrencilerle çok oturumlu denemelerde sınanmıştır (Mauliana vd., 2025); kullanıcılar robottan jest ve yüz ifadesi gibi sözsüz ipuçları da beklemektedir (Kim vd., 2024). Projede içerik paketi, uzmanlık gerektirmeden 30 dakikada değiştirilebilecek biçimde tasarlanacak; tek kartlı bilgisayarda yerel modellerin sınırlı kaldığı gösterildiğinden (Cao, 2025) bulut + çevrimdışı yedek mimarisi kullanılacaktır.</w:t>
      </w:r>
    </w:p>
    <w:p>
      <w:pPr>
        <w:spacing w:after="120"/>
      </w:pPr>
      <w:r>
        <w:t xml:space="preserve">Dördüncü fark, kamusal alanda çalışan mobil sosyal robotlar için mevcut standardın eksik kaldığı gösterilen (Salvini vd., 2021) güvenlik gereksinimlerinin, devrilme kararlılığı ölçütüyle (Papadopoulos ve Rey, 1996) birlikte uygulanabilir bir kontrol listesine dönüştürülmesidir.</w:t>
      </w:r>
    </w:p>
    <w:p>
      <w:pPr>
        <w:spacing w:after="120"/>
      </w:pPr>
      <w:r>
        <w:t>Beşinci fark, robotun bulunduğu yeri bilmesinin pahalı iç mekân konumlandırma altyapısı (UWB çapaları, lidar haritası) kurmadan, zaten var olan kablosuz ağ, ucuz GPS, basılı işaretler, teker odometrisi ve robota sahada öğretilen yer görünümlerinin birleştirilmesiyle çözülmesidir; aynı yazılım hem kampüs binasında hem tesis girişinde çalışır ve bölge bilgisi yön tarifini kişiye göre doğru yöne çevirir. Kaynakların tek tek ve birleşik doğruluğu aynı test turunda raporlanacaktır.</w:t>
      </w:r>
    </w:p>
    <w:p>
      <w:pPr>
        <w:spacing w:after="120"/>
      </w:pPr>
      <w:r>
        <w:t xml:space="preserve">Proje, çağrı duyurusunun işaret ettiği TÜBİTAK Öncelikli Alanlar listesindeki «Robotik-mekatronik» ve «Yapay zekâ» alanlarına girer. On İkinci Kalkınma Planı ve 2030 Sanayi ve Teknoloji Stratejisi temel alınarak hazırlanan TÜBİTAK 2026-2028 Öncelikli Ar-Ge ve Yenilik Konuları belgesinde ise «Yapay Zeka ve Veri Bilimi» teknoloji alanı altındaki «Türkçe Konuşma Tanıma/Sentezleme Algoritmaları» (THS 3-8) ve «Doğal Dil İşleme (NLP) Uygulamaları» (THS 3-8) konularıyla doğrudan ilişkilidir: proje, Türkçe konuşma tanıma başarımını ölçülmüş gürültü koşullarında raporlayacak ve Türkçe bilgi tabanından yanıt üretimini sahada sınayacaktır.</w:t>
      </w:r>
    </w:p>
    <w:p>
      <w:pPr>
        <w:pStyle w:val="Heading2"/>
        <w:spacing w:before="240" w:after="120"/>
      </w:pPr>
      <w:r>
        <w:t xml:space="preserve">2. Yöntem</w:t>
      </w:r>
    </w:p>
    <w:p>
      <w:pPr>
        <w:spacing w:after="120"/>
      </w:pPr>
      <w:r>
        <w:t xml:space="preserve">Çalışma altı iş paketinde (İP1-İP6, bkz. 3.1) yürütülecektir.</w:t>
      </w:r>
    </w:p>
    <w:p>
      <w:pPr>
        <w:spacing w:after="120"/>
      </w:pPr>
      <w:r>
        <w:rPr>
          <w:b/>
          <w:bCs/>
        </w:rPr>
        <w:t xml:space="preserve">Platform.</w:t>
      </w:r>
      <w:r>
        <w:t xml:space="preserve"> Bacaksız, dört tekerlekli, gövde + kafa + iki kollu insansı robot (hedef boy yaklaşık 170 cm). Mekanik tasarım parametrik CAD ile modüller halinde yürütülmektedir. Boy ve kol oranı güncellendiğinden devrilme, tahrik ve kol dinamiği hesapları 170 cm boy için yeniden yapılacak; 3D baskı parçalarda eklem et kalınlığı mukavemet için 8 mm olarak uygulanacak; kol servoları yeniden hesaplanan yüklere göre seçilecek; eklem aralıkları çakışma taramasıyla doğrulanacaktır. Tasarım ölçütleri: devrilme ivme eşiğinde en az 3 kat güvenlik payı, 5° rampada tahrik torkunun motorun sürekli değerinin altında kalması, akü kapasitesinin saha denemesindeki en az 2 saat kesintisiz çalışmayı payla karşılaması. Ana işlemci tek kartlı bilgisayar, alt denetleyici mikrodenetleyici; 10,1 inç dokunmatik göğüs ekranı, 7 inç yüz ekranı, kamera, üç ultrasonik sensör, BMS'li LiFePO4 akü ve donanımsal acil durdurma. Platform ders kapsamında, üniversite ve sanayi kuruluşu desteğiyle proje başlamadan önce kurulacaktır.</w:t>
      </w:r>
    </w:p>
    <w:p>
      <w:pPr>
        <w:spacing w:after="120"/>
      </w:pPr>
      <w:r>
        <w:rPr>
          <w:b/>
          <w:bCs/>
        </w:rPr>
        <w:t xml:space="preserve">İP1 Temel ölçüm ve gereksinim (Ay 1-2).</w:t>
      </w:r>
      <w:r>
        <w:t xml:space="preserve"> Dört ortamda (laboratuvar, kampüs iç mekânı, kampüs açık alanı, sanayi tesisi girişi) A-ağırlıklı ses seviyesi ölçerle gürültü düzeyi ve spektrumu kaydedilir; açık alanda rüzgâr koşulu da not edilir. Mevcut tek mikrofonlu düzenle 100 komut/sorudan oluşan Türkçe test seti sessiz ortamda ve kayıtlı gürültü altında çalıştırılır; komut tanıma oranı, kelime hata oranı ve uçtan uca gecikme temel değer olarak raporlanır. Sanayi danışmanıyla tesis gereksinimleri (ziyaretçi akışı, soru türleri, güvenlik kuralları) listelenir.</w:t>
      </w:r>
    </w:p>
    <w:p>
      <w:pPr>
        <w:spacing w:after="120"/>
      </w:pPr>
      <w:r>
        <w:rPr>
          <w:b/>
          <w:bCs/>
        </w:rPr>
        <w:t xml:space="preserve">İP2 Gürültüye dayanıklı ses alt sistemi (Ay 2-5).</w:t>
      </w:r>
      <w:r>
        <w:t xml:space="preserve"> İki düzen karşılaştırılır: (a) donanımsal yankı iptali ve gürültü bastırmalı dört mikrofonlu dizi (ham ve işlenmiş kanallar birlikte kaydedilir; ham kanallarda açık kaynak ses kaynağı konumlandırma/ayırma, Grondin vd., 2022), (b) rüzgâr kılıflı yönlü mikrofon. Mikrofon dizisi robot kafasının içine, durgun hava hacmine gömülü ve köpük/kürk kılıflı monte edilir; yüksek geçiren filtreyle rüzgâr gürültüsü azaltılır. Her ikisinde gürültü bastırma ve düğmesiz konuşma etkinliği algılama (VAD) kullanılır; etkileşim tamamen seslidir, düğme ya da ekran girişi yoktur; robotun kendi motor gürültüsü hareket halinde ayrıca ölçülür (İnce vd., 2009). Konuşma tanıma bulutta çalışır; bağlantı kesilirse yerel küçük modelle sınırlı komut seti devreye girer (Cao, 2025). Ölçüm: 65/75/85 dB'de komut tanıma oranı ve gecikme, her koşulda 100 deneme, en az 5 konuşmacı. Hedef 75 dB'de ≥ %85 ve ≤ 2,5 s.</w:t>
      </w:r>
    </w:p>
    <w:p>
      <w:pPr>
        <w:spacing w:after="120"/>
      </w:pPr>
      <w:r>
        <w:rPr>
          <w:b/>
          <w:bCs/>
        </w:rPr>
        <w:t>İP3 Değiştirilebilir içerik paketi ve konuma duyarlı yönlendirme (Ay 4-8).</w:t>
      </w:r>
      <w:r>
        <w:t xml:space="preserve"> Kurum bilgisi (bölümler, kişiler, yerler, ürünler, sık sorulanlar) yapılandırılmış dosya paketi olarak tanımlanır; dil modeli bu paketten bilgi getirerek (RAG) yanıt üretir (Cherakara vd., 2023; Mauliana vd., 2025). Üniversite ve tesis için iki örnek paket hazırlanır. Ölçüm: paket başına 50 soruluk test setinde doğru yanıt oranı (hedef ≥ %80), yanlış bilgi (halüsinasyon) oranı, paket değiştirme süresi (hedef ≤ 30 dk, teknik bilgi gerektirmeden). Yanıtlar kayıtlı jest ve yüz ifadesiyle eşlenir (Kim vd., 2024). Yer sorularında robot, bulunduğu bölgeye göre tarif verir ve kolunu o yöne kaldırır; bölge, altyapı kurulumu gerektirmeyen düşük maliyetli kaynakların birleştirilmesiyle belirlenir: mevcut kablosuz ağ erişim noktalarının sinyal parmak izi (bağlantı gerektirmez), açık alanda GPS, kameradan okunan basılı görsel işaretler (ArUco), teker enkoderi ve atalet sensörüyle ölü hesap ve robota sahada öğretilen yer görünümleri (kameradan çıkarılan sayısal özetlerin en yakın komşu eşlemesi; görüntü saklanmaz). Her kaynak güven ağırlığıyla birleştirilir; hiçbir kaynak taze değilse son bilinen bölge korunur, böylece ağ ya da sensör kesintisi yönlendirmeyi durdurmaz. Ölçüm: kampüs iç mekânı, açık alanı ve tesis girişinde 10 bölgelik test turunda doğru bölge oranı (hedef ≥ %90), kaynak başına ve birleşik; yön tarifi doğruluğu kullanıcı değerlendirmesiyle.</w:t>
      </w:r>
    </w:p>
    <w:p>
      <w:pPr>
        <w:spacing w:after="120"/>
      </w:pPr>
      <w:r>
        <w:rPr>
          <w:b/>
          <w:bCs/>
        </w:rPr>
        <w:t xml:space="preserve">İP4 İnsan yakınında güvenli davranış (Ay 6-9).</w:t>
      </w:r>
      <w:r>
        <w:t xml:space="preserve"> Hız ve ivme sınırı (rampada ≤ 0,25 m/s²), ultrasonik sensörle engelde durma, acil durdurma devresi ve 5° rampada devrilme testi uygulanır; ISO 13482'nin "mobil hizmet robotu" sınıfı ve Salvini vd. (2021) tarafından işaret edilen kamusal alan eksikleri dikkate alınarak kontrol listesi hazırlanır. Ölçüm: 0,5 m engelde durma 20/20, acil durdurma gecikmesi ≤ 0,5 s, devrilme yok. Kamera görüntüsü kaydedilmez, yüz tanıma yapılmaz; bilgilendirme levhası kullanılır.</w:t>
      </w:r>
    </w:p>
    <w:p>
      <w:pPr>
        <w:spacing w:after="120"/>
      </w:pPr>
      <w:r>
        <w:rPr>
          <w:b/>
          <w:bCs/>
        </w:rPr>
        <w:t xml:space="preserve">İP5 Saha denemesi (Ay 9-11).</w:t>
      </w:r>
      <w:r>
        <w:t xml:space="preserve"> Kampüs tanıtım etkinliğinde (tanıtım robotu) ve sanayi tesisinde (bilgilendirme asistanı) en az 2'şer saat kesintisiz görev; her sahada en az 30 kullanıcı. Kullanıcı kabulü Godspeed ölçeğiyle (Bartneck vd., 2009), görev tamamlama oranı ve memnuniyet (5'li ölçek, hedef ≥ 4) ile ölçülür; Türkiye'de hizmet robotlarına yönelik tutum bulgularıyla (Seyitoğlu vd., 2021) karşılaştırılır.</w:t>
      </w:r>
    </w:p>
    <w:p>
      <w:pPr>
        <w:spacing w:after="120"/>
      </w:pPr>
      <w:r>
        <w:rPr>
          <w:b/>
          <w:bCs/>
        </w:rPr>
        <w:t xml:space="preserve">İP6 Değerlendirme ve yaygınlaştırma (Ay 11-12).</w:t>
      </w:r>
      <w:r>
        <w:t xml:space="preserve"> İP1 temel değerleriyle İP2-İP5 sonuçları karşılaştırılır; mekanik tasarım, yazılım ve belgeler açık kaynak depoda yayımlanır; teknik not ve sonuç raporu hazırlanır.</w:t>
      </w:r>
    </w:p>
    <w:p>
      <w:pPr>
        <w:spacing w:after="120"/>
      </w:pPr>
      <w:r>
        <w:rPr>
          <w:b/>
          <w:bCs/>
        </w:rPr>
        <w:t xml:space="preserve">Veri ve etik.</w:t>
      </w:r>
      <w:r>
        <w:t xml:space="preserve"> Ses ve görüntü anlık işlenir, kaydedilmez; yer tanıma için yalnız görüntüden türetilen sayısal özetler saklanır, görüntünün kendisi ve kişiler saklanmaz; anket anonimdir; gerekli etik kurul/kurum izinleri İP1'de alınır.</w:t>
      </w:r>
    </w:p>
    <w:p>
      <w:pPr>
        <w:pStyle w:val="Heading2"/>
        <w:spacing w:before="240" w:after="120"/>
      </w:pPr>
      <w:r>
        <w:t xml:space="preserve">3.1 Çalışma takvimi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E7E6E6" w:color="auto" w:val="clear"/>
            <w:tcMar>
              <w:top w:type="dxa" w:w="60"/>
              <w:left w:type="dxa" w:w="80"/>
              <w:bottom w:type="dxa" w:w="60"/>
              <w:right w:type="dxa" w:w="80"/>
            </w:tcMar>
          </w:tcPr>
          <w:p>
            <w:r>
              <w:rPr>
                <w:b/>
                <w:bCs/>
                <w:sz w:val="18"/>
                <w:szCs w:val="18"/>
              </w:rPr>
              <w:t xml:space="preserve">İP</w:t>
            </w:r>
          </w:p>
        </w:tc>
        <w:tc>
          <w:tcPr>
            <w:tcW w:type="dxa" w:w="1800"/>
            <w:shd w:fill="E7E6E6" w:color="auto" w:val="clear"/>
            <w:tcMar>
              <w:top w:type="dxa" w:w="60"/>
              <w:left w:type="dxa" w:w="80"/>
              <w:bottom w:type="dxa" w:w="60"/>
              <w:right w:type="dxa" w:w="80"/>
            </w:tcMar>
          </w:tcPr>
          <w:p>
            <w:r>
              <w:rPr>
                <w:b/>
                <w:bCs/>
                <w:sz w:val="18"/>
                <w:szCs w:val="18"/>
              </w:rPr>
              <w:t xml:space="preserve">Ay</w:t>
            </w:r>
          </w:p>
        </w:tc>
        <w:tc>
          <w:tcPr>
            <w:tcW w:type="dxa" w:w="1800"/>
            <w:shd w:fill="E7E6E6" w:color="auto" w:val="clear"/>
            <w:tcMar>
              <w:top w:type="dxa" w:w="60"/>
              <w:left w:type="dxa" w:w="80"/>
              <w:bottom w:type="dxa" w:w="60"/>
              <w:right w:type="dxa" w:w="80"/>
            </w:tcMar>
          </w:tcPr>
          <w:p>
            <w:r>
              <w:rPr>
                <w:b/>
                <w:bCs/>
                <w:sz w:val="18"/>
                <w:szCs w:val="18"/>
              </w:rPr>
              <w:t xml:space="preserve">İş</w:t>
            </w:r>
          </w:p>
        </w:tc>
        <w:tc>
          <w:tcPr>
            <w:tcW w:type="dxa" w:w="1800"/>
            <w:shd w:fill="E7E6E6" w:color="auto" w:val="clear"/>
            <w:tcMar>
              <w:top w:type="dxa" w:w="60"/>
              <w:left w:type="dxa" w:w="80"/>
              <w:bottom w:type="dxa" w:w="60"/>
              <w:right w:type="dxa" w:w="80"/>
            </w:tcMar>
          </w:tcPr>
          <w:p>
            <w:r>
              <w:rPr>
                <w:b/>
                <w:bCs/>
                <w:sz w:val="18"/>
                <w:szCs w:val="18"/>
              </w:rPr>
              <w:t xml:space="preserve">Başarı ölçütü (nicel)</w:t>
            </w:r>
          </w:p>
        </w:tc>
        <w:tc>
          <w:tcPr>
            <w:tcW w:type="dxa" w:w="1800"/>
            <w:shd w:fill="E7E6E6" w:color="auto" w:val="clear"/>
            <w:tcMar>
              <w:top w:type="dxa" w:w="60"/>
              <w:left w:type="dxa" w:w="80"/>
              <w:bottom w:type="dxa" w:w="60"/>
              <w:right w:type="dxa" w:w="80"/>
            </w:tcMar>
          </w:tcPr>
          <w:p>
            <w:r>
              <w:rPr>
                <w:b/>
                <w:bCs/>
                <w:sz w:val="18"/>
                <w:szCs w:val="18"/>
              </w:rPr>
              <w:t xml:space="preserve">Katkı (E=Efe, A=Ahmet, M=Mehmet, En=Enes)</w:t>
            </w:r>
          </w:p>
        </w:tc>
      </w:tr>
      <w:tr>
        <w:trPr>
          <w:tblHeader w:val="false"/>
        </w:trPr>
        <w:tc>
          <w:tcPr>
            <w:tcW w:type="dxa" w:w="1800"/>
            <w:tcMar>
              <w:top w:type="dxa" w:w="60"/>
              <w:left w:type="dxa" w:w="80"/>
              <w:bottom w:type="dxa" w:w="60"/>
              <w:right w:type="dxa" w:w="80"/>
            </w:tcMar>
          </w:tcPr>
          <w:p>
            <w:r>
              <w:rPr>
                <w:b w:val="false"/>
                <w:bCs w:val="false"/>
                <w:sz w:val="18"/>
                <w:szCs w:val="18"/>
              </w:rPr>
              <w:t xml:space="preserve">İP1 Temel ölçüm ve gereksinim</w:t>
            </w:r>
          </w:p>
        </w:tc>
        <w:tc>
          <w:tcPr>
            <w:tcW w:type="dxa" w:w="1800"/>
            <w:tcMar>
              <w:top w:type="dxa" w:w="60"/>
              <w:left w:type="dxa" w:w="80"/>
              <w:bottom w:type="dxa" w:w="60"/>
              <w:right w:type="dxa" w:w="80"/>
            </w:tcMar>
          </w:tcPr>
          <w:p>
            <w:r>
              <w:rPr>
                <w:b w:val="false"/>
                <w:bCs w:val="false"/>
                <w:sz w:val="18"/>
                <w:szCs w:val="18"/>
              </w:rPr>
              <w:t xml:space="preserve">1-2</w:t>
            </w:r>
          </w:p>
        </w:tc>
        <w:tc>
          <w:tcPr>
            <w:tcW w:type="dxa" w:w="1800"/>
            <w:tcMar>
              <w:top w:type="dxa" w:w="60"/>
              <w:left w:type="dxa" w:w="80"/>
              <w:bottom w:type="dxa" w:w="60"/>
              <w:right w:type="dxa" w:w="80"/>
            </w:tcMar>
          </w:tcPr>
          <w:p>
            <w:r>
              <w:rPr>
                <w:b w:val="false"/>
                <w:bCs w:val="false"/>
                <w:sz w:val="18"/>
                <w:szCs w:val="18"/>
              </w:rPr>
              <w:t xml:space="preserve">Mevcut robotun sessiz ortamda (kampüs) temel ölçümü; sanayi tesisinde ve kampüste gürültü profili ölçümü (dB, spektrum); sanayi gereksinim listesi</w:t>
            </w:r>
          </w:p>
        </w:tc>
        <w:tc>
          <w:tcPr>
            <w:tcW w:type="dxa" w:w="1800"/>
            <w:tcMar>
              <w:top w:type="dxa" w:w="60"/>
              <w:left w:type="dxa" w:w="80"/>
              <w:bottom w:type="dxa" w:w="60"/>
              <w:right w:type="dxa" w:w="80"/>
            </w:tcMar>
          </w:tcPr>
          <w:p>
            <w:r>
              <w:rPr>
                <w:b w:val="false"/>
                <w:bCs w:val="false"/>
                <w:sz w:val="18"/>
                <w:szCs w:val="18"/>
              </w:rPr>
              <w:t xml:space="preserve">4 ortam × gürültü profili; ≥100 komutluk temel tanıma oranı ve gecikme raporu</w:t>
            </w:r>
          </w:p>
        </w:tc>
        <w:tc>
          <w:tcPr>
            <w:tcW w:type="dxa" w:w="1800"/>
            <w:tcMar>
              <w:top w:type="dxa" w:w="60"/>
              <w:left w:type="dxa" w:w="80"/>
              <w:bottom w:type="dxa" w:w="60"/>
              <w:right w:type="dxa" w:w="80"/>
            </w:tcMar>
          </w:tcPr>
          <w:p>
            <w:r>
              <w:rPr>
                <w:b w:val="false"/>
                <w:bCs w:val="false"/>
                <w:sz w:val="18"/>
                <w:szCs w:val="18"/>
              </w:rPr>
              <w:t xml:space="preserve">E 25 · A 25 · M 25 · En 25</w:t>
            </w:r>
          </w:p>
        </w:tc>
      </w:tr>
      <w:tr>
        <w:trPr>
          <w:tblHeader w:val="false"/>
        </w:trPr>
        <w:tc>
          <w:tcPr>
            <w:tcW w:type="dxa" w:w="1800"/>
            <w:tcMar>
              <w:top w:type="dxa" w:w="60"/>
              <w:left w:type="dxa" w:w="80"/>
              <w:bottom w:type="dxa" w:w="60"/>
              <w:right w:type="dxa" w:w="80"/>
            </w:tcMar>
          </w:tcPr>
          <w:p>
            <w:r>
              <w:rPr>
                <w:b w:val="false"/>
                <w:bCs w:val="false"/>
                <w:sz w:val="18"/>
                <w:szCs w:val="18"/>
              </w:rPr>
              <w:t xml:space="preserve">İP2 Gürültüye dayanıklı ses alt sistemi</w:t>
            </w:r>
          </w:p>
        </w:tc>
        <w:tc>
          <w:tcPr>
            <w:tcW w:type="dxa" w:w="1800"/>
            <w:tcMar>
              <w:top w:type="dxa" w:w="60"/>
              <w:left w:type="dxa" w:w="80"/>
              <w:bottom w:type="dxa" w:w="60"/>
              <w:right w:type="dxa" w:w="80"/>
            </w:tcMar>
          </w:tcPr>
          <w:p>
            <w:r>
              <w:rPr>
                <w:b w:val="false"/>
                <w:bCs w:val="false"/>
                <w:sz w:val="18"/>
                <w:szCs w:val="18"/>
              </w:rPr>
              <w:t xml:space="preserve">2-5</w:t>
            </w:r>
          </w:p>
        </w:tc>
        <w:tc>
          <w:tcPr>
            <w:tcW w:type="dxa" w:w="1800"/>
            <w:tcMar>
              <w:top w:type="dxa" w:w="60"/>
              <w:left w:type="dxa" w:w="80"/>
              <w:bottom w:type="dxa" w:w="60"/>
              <w:right w:type="dxa" w:w="80"/>
            </w:tcMar>
          </w:tcPr>
          <w:p>
            <w:r>
              <w:rPr>
                <w:b w:val="false"/>
                <w:bCs w:val="false"/>
                <w:sz w:val="18"/>
                <w:szCs w:val="18"/>
              </w:rPr>
              <w:t xml:space="preserve">Mikrofon dizisi / yönlü mikrofon + gürültü bastırma + düğmesiz konuşma etkinliği algılama; robotun kendi motor gürültüsünün etkisi; karşılaştırmalı test</w:t>
            </w:r>
          </w:p>
        </w:tc>
        <w:tc>
          <w:tcPr>
            <w:tcW w:type="dxa" w:w="1800"/>
            <w:tcMar>
              <w:top w:type="dxa" w:w="60"/>
              <w:left w:type="dxa" w:w="80"/>
              <w:bottom w:type="dxa" w:w="60"/>
              <w:right w:type="dxa" w:w="80"/>
            </w:tcMar>
          </w:tcPr>
          <w:p>
            <w:r>
              <w:rPr>
                <w:b w:val="false"/>
                <w:bCs w:val="false"/>
                <w:sz w:val="18"/>
                <w:szCs w:val="18"/>
              </w:rPr>
              <w:t xml:space="preserve">75 dB'de komut tanıma ≥ %85 (temele göre ≥ +20 puan); uçtan uca cevap gecikmesi ≤ 2,5 s</w:t>
            </w:r>
          </w:p>
        </w:tc>
        <w:tc>
          <w:tcPr>
            <w:tcW w:type="dxa" w:w="1800"/>
            <w:tcMar>
              <w:top w:type="dxa" w:w="60"/>
              <w:left w:type="dxa" w:w="80"/>
              <w:bottom w:type="dxa" w:w="60"/>
              <w:right w:type="dxa" w:w="80"/>
            </w:tcMar>
          </w:tcPr>
          <w:p>
            <w:r>
              <w:rPr>
                <w:b w:val="false"/>
                <w:bCs w:val="false"/>
                <w:sz w:val="18"/>
                <w:szCs w:val="18"/>
              </w:rPr>
              <w:t xml:space="preserve">E 25 · A 25 · M 25 · En 25</w:t>
            </w:r>
          </w:p>
        </w:tc>
      </w:tr>
      <w:tr>
        <w:trPr>
          <w:tblHeader w:val="false"/>
        </w:trPr>
        <w:tc>
          <w:tcPr>
            <w:tcW w:type="dxa" w:w="1800"/>
            <w:tcMar>
              <w:top w:type="dxa" w:w="60"/>
              <w:left w:type="dxa" w:w="80"/>
              <w:bottom w:type="dxa" w:w="60"/>
              <w:right w:type="dxa" w:w="80"/>
            </w:tcMar>
          </w:tcPr>
          <w:p>
            <w:r>
              <w:rPr>
                <w:b w:val="false"/>
                <w:bCs w:val="false"/>
                <w:sz w:val="18"/>
                <w:szCs w:val="18"/>
              </w:rPr>
              <w:t>İP3 Değiştirilebilir içerik paketi ve konuma duyarlı yönlendirme</w:t>
            </w:r>
          </w:p>
        </w:tc>
        <w:tc>
          <w:tcPr>
            <w:tcW w:type="dxa" w:w="1800"/>
            <w:tcMar>
              <w:top w:type="dxa" w:w="60"/>
              <w:left w:type="dxa" w:w="80"/>
              <w:bottom w:type="dxa" w:w="60"/>
              <w:right w:type="dxa" w:w="80"/>
            </w:tcMar>
          </w:tcPr>
          <w:p>
            <w:r>
              <w:rPr>
                <w:b w:val="false"/>
                <w:bCs w:val="false"/>
                <w:sz w:val="18"/>
                <w:szCs w:val="18"/>
              </w:rPr>
              <w:t>4-8</w:t>
            </w:r>
          </w:p>
        </w:tc>
        <w:tc>
          <w:tcPr>
            <w:tcW w:type="dxa" w:w="1800"/>
            <w:tcMar>
              <w:top w:type="dxa" w:w="60"/>
              <w:left w:type="dxa" w:w="80"/>
              <w:bottom w:type="dxa" w:w="60"/>
              <w:right w:type="dxa" w:w="80"/>
            </w:tcMar>
          </w:tcPr>
          <w:p>
            <w:r>
              <w:rPr>
                <w:b w:val="false"/>
                <w:bCs w:val="false"/>
                <w:sz w:val="18"/>
                <w:szCs w:val="18"/>
              </w:rPr>
              <w:t>Kurum bilgi tabanı (üniversite / tesis) dosya paketi; dil modeli + bilgi tabanından cevap; çevrimdışı yedek komut seti; bölge tespiti (Wi-Fi parmak izi + GPS + görsel işaret + odometri + kamerayla öğrenilen yer tanıma) ve bölgeye göre yön tarifi</w:t>
            </w:r>
          </w:p>
        </w:tc>
        <w:tc>
          <w:tcPr>
            <w:tcW w:type="dxa" w:w="1800"/>
            <w:tcMar>
              <w:top w:type="dxa" w:w="60"/>
              <w:left w:type="dxa" w:w="80"/>
              <w:bottom w:type="dxa" w:w="60"/>
              <w:right w:type="dxa" w:w="80"/>
            </w:tcMar>
          </w:tcPr>
          <w:p>
            <w:r>
              <w:rPr>
                <w:b w:val="false"/>
                <w:bCs w:val="false"/>
                <w:sz w:val="18"/>
                <w:szCs w:val="18"/>
              </w:rPr>
              <w:t>50 soruluk test setinde doğru cevap ≥ %80; içerik değişimi ≤ 30 dk, teknik bilgi gerektirmeden; 10 bölgelik test turunda doğru bölge ≥ %90</w:t>
            </w:r>
          </w:p>
        </w:tc>
        <w:tc>
          <w:tcPr>
            <w:tcW w:type="dxa" w:w="1800"/>
            <w:tcMar>
              <w:top w:type="dxa" w:w="60"/>
              <w:left w:type="dxa" w:w="80"/>
              <w:bottom w:type="dxa" w:w="60"/>
              <w:right w:type="dxa" w:w="80"/>
            </w:tcMar>
          </w:tcPr>
          <w:p>
            <w:r>
              <w:rPr>
                <w:b w:val="false"/>
                <w:bCs w:val="false"/>
                <w:sz w:val="18"/>
                <w:szCs w:val="18"/>
              </w:rPr>
              <w:t xml:space="preserve">E 25 · A 25 · M 25 · En 25</w:t>
            </w:r>
          </w:p>
        </w:tc>
      </w:tr>
      <w:tr>
        <w:trPr>
          <w:tblHeader w:val="false"/>
        </w:trPr>
        <w:tc>
          <w:tcPr>
            <w:tcW w:type="dxa" w:w="1800"/>
            <w:tcMar>
              <w:top w:type="dxa" w:w="60"/>
              <w:left w:type="dxa" w:w="80"/>
              <w:bottom w:type="dxa" w:w="60"/>
              <w:right w:type="dxa" w:w="80"/>
            </w:tcMar>
          </w:tcPr>
          <w:p>
            <w:r>
              <w:rPr>
                <w:b w:val="false"/>
                <w:bCs w:val="false"/>
                <w:sz w:val="18"/>
                <w:szCs w:val="18"/>
              </w:rPr>
              <w:t xml:space="preserve">İP4 İnsan yakınında güvenli davranış</w:t>
            </w:r>
          </w:p>
        </w:tc>
        <w:tc>
          <w:tcPr>
            <w:tcW w:type="dxa" w:w="1800"/>
            <w:tcMar>
              <w:top w:type="dxa" w:w="60"/>
              <w:left w:type="dxa" w:w="80"/>
              <w:bottom w:type="dxa" w:w="60"/>
              <w:right w:type="dxa" w:w="80"/>
            </w:tcMar>
          </w:tcPr>
          <w:p>
            <w:r>
              <w:rPr>
                <w:b w:val="false"/>
                <w:bCs w:val="false"/>
                <w:sz w:val="18"/>
                <w:szCs w:val="18"/>
              </w:rPr>
              <w:t xml:space="preserve">6-9</w:t>
            </w:r>
          </w:p>
        </w:tc>
        <w:tc>
          <w:tcPr>
            <w:tcW w:type="dxa" w:w="1800"/>
            <w:tcMar>
              <w:top w:type="dxa" w:w="60"/>
              <w:left w:type="dxa" w:w="80"/>
              <w:bottom w:type="dxa" w:w="60"/>
              <w:right w:type="dxa" w:w="80"/>
            </w:tcMar>
          </w:tcPr>
          <w:p>
            <w:r>
              <w:rPr>
                <w:b w:val="false"/>
                <w:bCs w:val="false"/>
                <w:sz w:val="18"/>
                <w:szCs w:val="18"/>
              </w:rPr>
              <w:t xml:space="preserve">Hız/ivme sınırı, engelde durma, acil stop, 5° rampa devrilme doğrulaması; ISO 13482 kontrol listesi</w:t>
            </w:r>
          </w:p>
        </w:tc>
        <w:tc>
          <w:tcPr>
            <w:tcW w:type="dxa" w:w="1800"/>
            <w:tcMar>
              <w:top w:type="dxa" w:w="60"/>
              <w:left w:type="dxa" w:w="80"/>
              <w:bottom w:type="dxa" w:w="60"/>
              <w:right w:type="dxa" w:w="80"/>
            </w:tcMar>
          </w:tcPr>
          <w:p>
            <w:r>
              <w:rPr>
                <w:b w:val="false"/>
                <w:bCs w:val="false"/>
                <w:sz w:val="18"/>
                <w:szCs w:val="18"/>
              </w:rPr>
              <w:t xml:space="preserve">0,5 m engelde durma 20/20; acil stop ≤ 0,5 s; rampada devrilme yok; kontrol listesi tamam</w:t>
            </w:r>
          </w:p>
        </w:tc>
        <w:tc>
          <w:tcPr>
            <w:tcW w:type="dxa" w:w="1800"/>
            <w:tcMar>
              <w:top w:type="dxa" w:w="60"/>
              <w:left w:type="dxa" w:w="80"/>
              <w:bottom w:type="dxa" w:w="60"/>
              <w:right w:type="dxa" w:w="80"/>
            </w:tcMar>
          </w:tcPr>
          <w:p>
            <w:r>
              <w:rPr>
                <w:b w:val="false"/>
                <w:bCs w:val="false"/>
                <w:sz w:val="18"/>
                <w:szCs w:val="18"/>
              </w:rPr>
              <w:t xml:space="preserve">E 25 · A 25 · M 25 · En 25</w:t>
            </w:r>
          </w:p>
        </w:tc>
      </w:tr>
      <w:tr>
        <w:trPr>
          <w:tblHeader w:val="false"/>
        </w:trPr>
        <w:tc>
          <w:tcPr>
            <w:tcW w:type="dxa" w:w="1800"/>
            <w:tcMar>
              <w:top w:type="dxa" w:w="60"/>
              <w:left w:type="dxa" w:w="80"/>
              <w:bottom w:type="dxa" w:w="60"/>
              <w:right w:type="dxa" w:w="80"/>
            </w:tcMar>
          </w:tcPr>
          <w:p>
            <w:r>
              <w:rPr>
                <w:b w:val="false"/>
                <w:bCs w:val="false"/>
                <w:sz w:val="18"/>
                <w:szCs w:val="18"/>
              </w:rPr>
              <w:t xml:space="preserve">İP5 Saha denemesi</w:t>
            </w:r>
          </w:p>
        </w:tc>
        <w:tc>
          <w:tcPr>
            <w:tcW w:type="dxa" w:w="1800"/>
            <w:tcMar>
              <w:top w:type="dxa" w:w="60"/>
              <w:left w:type="dxa" w:w="80"/>
              <w:bottom w:type="dxa" w:w="60"/>
              <w:right w:type="dxa" w:w="80"/>
            </w:tcMar>
          </w:tcPr>
          <w:p>
            <w:r>
              <w:rPr>
                <w:b w:val="false"/>
                <w:bCs w:val="false"/>
                <w:sz w:val="18"/>
                <w:szCs w:val="18"/>
              </w:rPr>
              <w:t xml:space="preserve">9-11</w:t>
            </w:r>
          </w:p>
        </w:tc>
        <w:tc>
          <w:tcPr>
            <w:tcW w:type="dxa" w:w="1800"/>
            <w:tcMar>
              <w:top w:type="dxa" w:w="60"/>
              <w:left w:type="dxa" w:w="80"/>
              <w:bottom w:type="dxa" w:w="60"/>
              <w:right w:type="dxa" w:w="80"/>
            </w:tcMar>
          </w:tcPr>
          <w:p>
            <w:r>
              <w:rPr>
                <w:b w:val="false"/>
                <w:bCs w:val="false"/>
                <w:sz w:val="18"/>
                <w:szCs w:val="18"/>
              </w:rPr>
              <w:t xml:space="preserve">Kampüs tanıtım etkinliği (tanıtım robotu) + sanayi tesisinde bilgilendirme asistanı görevi; kullanıcı anketi</w:t>
            </w:r>
          </w:p>
        </w:tc>
        <w:tc>
          <w:tcPr>
            <w:tcW w:type="dxa" w:w="1800"/>
            <w:tcMar>
              <w:top w:type="dxa" w:w="60"/>
              <w:left w:type="dxa" w:w="80"/>
              <w:bottom w:type="dxa" w:w="60"/>
              <w:right w:type="dxa" w:w="80"/>
            </w:tcMar>
          </w:tcPr>
          <w:p>
            <w:r>
              <w:rPr>
                <w:b w:val="false"/>
                <w:bCs w:val="false"/>
                <w:sz w:val="18"/>
                <w:szCs w:val="18"/>
              </w:rPr>
              <w:t xml:space="preserve">Her ortamda ≥ 2 saat kesintisiz çalışma, ≥ 30 kullanıcı, memnuniyet ≥ 4/5, görev tamamlama ≥ %80</w:t>
            </w:r>
          </w:p>
        </w:tc>
        <w:tc>
          <w:tcPr>
            <w:tcW w:type="dxa" w:w="1800"/>
            <w:tcMar>
              <w:top w:type="dxa" w:w="60"/>
              <w:left w:type="dxa" w:w="80"/>
              <w:bottom w:type="dxa" w:w="60"/>
              <w:right w:type="dxa" w:w="80"/>
            </w:tcMar>
          </w:tcPr>
          <w:p>
            <w:r>
              <w:rPr>
                <w:b w:val="false"/>
                <w:bCs w:val="false"/>
                <w:sz w:val="18"/>
                <w:szCs w:val="18"/>
              </w:rPr>
              <w:t xml:space="preserve">E 25 · A 25 · M 25 · En 25</w:t>
            </w:r>
          </w:p>
        </w:tc>
      </w:tr>
      <w:tr>
        <w:trPr>
          <w:tblHeader w:val="false"/>
        </w:trPr>
        <w:tc>
          <w:tcPr>
            <w:tcW w:type="dxa" w:w="1800"/>
            <w:tcMar>
              <w:top w:type="dxa" w:w="60"/>
              <w:left w:type="dxa" w:w="80"/>
              <w:bottom w:type="dxa" w:w="60"/>
              <w:right w:type="dxa" w:w="80"/>
            </w:tcMar>
          </w:tcPr>
          <w:p>
            <w:r>
              <w:rPr>
                <w:b w:val="false"/>
                <w:bCs w:val="false"/>
                <w:sz w:val="18"/>
                <w:szCs w:val="18"/>
              </w:rPr>
              <w:t xml:space="preserve">İP6 Değerlendirme ve yaygınlaştırma</w:t>
            </w:r>
          </w:p>
        </w:tc>
        <w:tc>
          <w:tcPr>
            <w:tcW w:type="dxa" w:w="1800"/>
            <w:tcMar>
              <w:top w:type="dxa" w:w="60"/>
              <w:left w:type="dxa" w:w="80"/>
              <w:bottom w:type="dxa" w:w="60"/>
              <w:right w:type="dxa" w:w="80"/>
            </w:tcMar>
          </w:tcPr>
          <w:p>
            <w:r>
              <w:rPr>
                <w:b w:val="false"/>
                <w:bCs w:val="false"/>
                <w:sz w:val="18"/>
                <w:szCs w:val="18"/>
              </w:rPr>
              <w:t xml:space="preserve">11-12</w:t>
            </w:r>
          </w:p>
        </w:tc>
        <w:tc>
          <w:tcPr>
            <w:tcW w:type="dxa" w:w="1800"/>
            <w:tcMar>
              <w:top w:type="dxa" w:w="60"/>
              <w:left w:type="dxa" w:w="80"/>
              <w:bottom w:type="dxa" w:w="60"/>
              <w:right w:type="dxa" w:w="80"/>
            </w:tcMar>
          </w:tcPr>
          <w:p>
            <w:r>
              <w:rPr>
                <w:b w:val="false"/>
                <w:bCs w:val="false"/>
                <w:sz w:val="18"/>
                <w:szCs w:val="18"/>
              </w:rPr>
              <w:t xml:space="preserve">Sonuçların karşılaştırmalı değerlendirmesi, açık kaynak yayın, teknik not, sonuç raporu</w:t>
            </w:r>
          </w:p>
        </w:tc>
        <w:tc>
          <w:tcPr>
            <w:tcW w:type="dxa" w:w="1800"/>
            <w:tcMar>
              <w:top w:type="dxa" w:w="60"/>
              <w:left w:type="dxa" w:w="80"/>
              <w:bottom w:type="dxa" w:w="60"/>
              <w:right w:type="dxa" w:w="80"/>
            </w:tcMar>
          </w:tcPr>
          <w:p>
            <w:r>
              <w:rPr>
                <w:b w:val="false"/>
                <w:bCs w:val="false"/>
                <w:sz w:val="18"/>
                <w:szCs w:val="18"/>
              </w:rPr>
              <w:t xml:space="preserve">Depo + belge yayında; sonuç raporu teslim</w:t>
            </w:r>
          </w:p>
        </w:tc>
        <w:tc>
          <w:tcPr>
            <w:tcW w:type="dxa" w:w="1800"/>
            <w:tcMar>
              <w:top w:type="dxa" w:w="60"/>
              <w:left w:type="dxa" w:w="80"/>
              <w:bottom w:type="dxa" w:w="60"/>
              <w:right w:type="dxa" w:w="80"/>
            </w:tcMar>
          </w:tcPr>
          <w:p>
            <w:r>
              <w:rPr>
                <w:b w:val="false"/>
                <w:bCs w:val="false"/>
                <w:sz w:val="18"/>
                <w:szCs w:val="18"/>
              </w:rPr>
              <w:t xml:space="preserve">E 25 · A 25 · M 25 · En 25</w:t>
            </w:r>
          </w:p>
        </w:tc>
      </w:tr>
    </w:tbl>
    <w:p>
      <w:pPr>
        <w:spacing w:after="120"/>
      </w:pPr>
    </w:p>
    <w:p>
      <w:pPr>
        <w:pStyle w:val="Heading2"/>
        <w:spacing w:before="240" w:after="120"/>
      </w:pPr>
      <w:r>
        <w:t xml:space="preserve">3.2 Risk ve B planı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7E6E6" w:color="auto" w:val="clear"/>
            <w:tcMar>
              <w:top w:type="dxa" w:w="60"/>
              <w:left w:type="dxa" w:w="80"/>
              <w:bottom w:type="dxa" w:w="60"/>
              <w:right w:type="dxa" w:w="80"/>
            </w:tcMar>
          </w:tcPr>
          <w:p>
            <w:r>
              <w:rPr>
                <w:b/>
                <w:bCs/>
                <w:sz w:val="18"/>
                <w:szCs w:val="18"/>
              </w:rPr>
              <w:t xml:space="preserve">Risk</w:t>
            </w:r>
          </w:p>
        </w:tc>
        <w:tc>
          <w:tcPr>
            <w:tcW w:type="dxa" w:w="4500"/>
            <w:shd w:fill="E7E6E6" w:color="auto" w:val="clear"/>
            <w:tcMar>
              <w:top w:type="dxa" w:w="60"/>
              <w:left w:type="dxa" w:w="80"/>
              <w:bottom w:type="dxa" w:w="60"/>
              <w:right w:type="dxa" w:w="80"/>
            </w:tcMar>
          </w:tcPr>
          <w:p>
            <w:r>
              <w:rPr>
                <w:b/>
                <w:bCs/>
                <w:sz w:val="18"/>
                <w:szCs w:val="18"/>
              </w:rPr>
              <w:t xml:space="preserve">B planı</w:t>
            </w:r>
          </w:p>
        </w:tc>
      </w:tr>
      <w:tr>
        <w:trPr>
          <w:tblHeader w:val="false"/>
        </w:trPr>
        <w:tc>
          <w:tcPr>
            <w:tcW w:type="dxa" w:w="4500"/>
            <w:tcMar>
              <w:top w:type="dxa" w:w="60"/>
              <w:left w:type="dxa" w:w="80"/>
              <w:bottom w:type="dxa" w:w="60"/>
              <w:right w:type="dxa" w:w="80"/>
            </w:tcMar>
          </w:tcPr>
          <w:p>
            <w:r>
              <w:rPr>
                <w:b w:val="false"/>
                <w:bCs w:val="false"/>
                <w:sz w:val="18"/>
                <w:szCs w:val="18"/>
              </w:rPr>
              <w:t xml:space="preserve">TÜBİTAK ödemesi gecikir (2025'te Mayıs-Haziran)</w:t>
            </w:r>
          </w:p>
        </w:tc>
        <w:tc>
          <w:tcPr>
            <w:tcW w:type="dxa" w:w="4500"/>
            <w:tcMar>
              <w:top w:type="dxa" w:w="60"/>
              <w:left w:type="dxa" w:w="80"/>
              <w:bottom w:type="dxa" w:w="60"/>
              <w:right w:type="dxa" w:w="80"/>
            </w:tcMar>
          </w:tcPr>
          <w:p>
            <w:r>
              <w:rPr>
                <w:b w:val="false"/>
                <w:bCs w:val="false"/>
                <w:sz w:val="18"/>
                <w:szCs w:val="18"/>
              </w:rPr>
              <w:t xml:space="preserve">İlk 2 ay ölçüm ve yazılım; alım gerektiren İP2 malzemesi okul/sponsor köprüsüyle ya da ödeme sonrası</w:t>
            </w:r>
          </w:p>
        </w:tc>
      </w:tr>
      <w:tr>
        <w:trPr>
          <w:tblHeader w:val="false"/>
        </w:trPr>
        <w:tc>
          <w:tcPr>
            <w:tcW w:type="dxa" w:w="4500"/>
            <w:tcMar>
              <w:top w:type="dxa" w:w="60"/>
              <w:left w:type="dxa" w:w="80"/>
              <w:bottom w:type="dxa" w:w="60"/>
              <w:right w:type="dxa" w:w="80"/>
            </w:tcMar>
          </w:tcPr>
          <w:p>
            <w:r>
              <w:rPr>
                <w:b w:val="false"/>
                <w:bCs w:val="false"/>
                <w:sz w:val="18"/>
                <w:szCs w:val="18"/>
              </w:rPr>
              <w:t xml:space="preserve">75 dB hedefine ulaşılamaz</w:t>
            </w:r>
          </w:p>
        </w:tc>
        <w:tc>
          <w:tcPr>
            <w:tcW w:type="dxa" w:w="4500"/>
            <w:tcMar>
              <w:top w:type="dxa" w:w="60"/>
              <w:left w:type="dxa" w:w="80"/>
              <w:bottom w:type="dxa" w:w="60"/>
              <w:right w:type="dxa" w:w="80"/>
            </w:tcMar>
          </w:tcPr>
          <w:p>
            <w:r>
              <w:rPr>
                <w:b w:val="false"/>
                <w:bCs w:val="false"/>
                <w:sz w:val="18"/>
                <w:szCs w:val="18"/>
              </w:rPr>
              <w:t xml:space="preserve">Yönlü (boom) mikrofon ve kullanıcıyı 30-50 cm'ye çağıran sesli yönlendirme; robot konuşurken mikrofonun kapatılması; hedef 70 dB'e çekilir, rapora gerekçesiyle yazılır</w:t>
            </w:r>
          </w:p>
        </w:tc>
      </w:tr>
      <w:tr>
        <w:trPr>
          <w:tblHeader w:val="false"/>
        </w:trPr>
        <w:tc>
          <w:tcPr>
            <w:tcW w:type="dxa" w:w="4500"/>
            <w:tcMar>
              <w:top w:type="dxa" w:w="60"/>
              <w:left w:type="dxa" w:w="80"/>
              <w:bottom w:type="dxa" w:w="60"/>
              <w:right w:type="dxa" w:w="80"/>
            </w:tcMar>
          </w:tcPr>
          <w:p>
            <w:r>
              <w:rPr>
                <w:b w:val="false"/>
                <w:bCs w:val="false"/>
                <w:sz w:val="18"/>
                <w:szCs w:val="18"/>
              </w:rPr>
              <w:t xml:space="preserve">Bulut servisi kesilir / internet yok</w:t>
            </w:r>
          </w:p>
        </w:tc>
        <w:tc>
          <w:tcPr>
            <w:tcW w:type="dxa" w:w="4500"/>
            <w:tcMar>
              <w:top w:type="dxa" w:w="60"/>
              <w:left w:type="dxa" w:w="80"/>
              <w:bottom w:type="dxa" w:w="60"/>
              <w:right w:type="dxa" w:w="80"/>
            </w:tcMar>
          </w:tcPr>
          <w:p>
            <w:r>
              <w:rPr>
                <w:b w:val="false"/>
                <w:bCs w:val="false"/>
                <w:sz w:val="18"/>
                <w:szCs w:val="18"/>
              </w:rPr>
              <w:t xml:space="preserve">Çevrimdışı yedek mod (yerel komut tanıma + seslendirme); mobil erişim noktası</w:t>
            </w:r>
          </w:p>
        </w:tc>
      </w:tr>
      <w:tr>
        <w:trPr>
          <w:tblHeader w:val="false"/>
        </w:trPr>
        <w:tc>
          <w:tcPr>
            <w:tcW w:type="dxa" w:w="4500"/>
            <w:tcMar>
              <w:top w:type="dxa" w:w="60"/>
              <w:left w:type="dxa" w:w="80"/>
              <w:bottom w:type="dxa" w:w="60"/>
              <w:right w:type="dxa" w:w="80"/>
            </w:tcMar>
          </w:tcPr>
          <w:p>
            <w:r>
              <w:rPr>
                <w:b w:val="false"/>
                <w:bCs w:val="false"/>
                <w:sz w:val="18"/>
                <w:szCs w:val="18"/>
              </w:rPr>
              <w:t xml:space="preserve">Sanayi tesisine erişim kısıtlanır</w:t>
            </w:r>
          </w:p>
        </w:tc>
        <w:tc>
          <w:tcPr>
            <w:tcW w:type="dxa" w:w="4500"/>
            <w:tcMar>
              <w:top w:type="dxa" w:w="60"/>
              <w:left w:type="dxa" w:w="80"/>
              <w:bottom w:type="dxa" w:w="60"/>
              <w:right w:type="dxa" w:w="80"/>
            </w:tcMar>
          </w:tcPr>
          <w:p>
            <w:r>
              <w:rPr>
                <w:b w:val="false"/>
                <w:bCs w:val="false"/>
                <w:sz w:val="18"/>
                <w:szCs w:val="18"/>
              </w:rPr>
              <w:t xml:space="preserve">Kampüs atölyesinde kayıtlı tesis gürültüsüyle (hoparlör, ölçülmüş dB) simülasyon; saha günü tek seferlik</w:t>
            </w:r>
          </w:p>
        </w:tc>
      </w:tr>
      <w:tr>
        <w:trPr>
          <w:tblHeader w:val="false"/>
        </w:trPr>
        <w:tc>
          <w:tcPr>
            <w:tcW w:type="dxa" w:w="4500"/>
            <w:tcMar>
              <w:top w:type="dxa" w:w="60"/>
              <w:left w:type="dxa" w:w="80"/>
              <w:bottom w:type="dxa" w:w="60"/>
              <w:right w:type="dxa" w:w="80"/>
            </w:tcMar>
          </w:tcPr>
          <w:p>
            <w:r>
              <w:rPr>
                <w:b w:val="false"/>
                <w:bCs w:val="false"/>
                <w:sz w:val="18"/>
                <w:szCs w:val="18"/>
              </w:rPr>
              <w:t xml:space="preserve">Ekip üyesi staj/İşletmede Mesleki Eğitim (2027 bahar)</w:t>
            </w:r>
          </w:p>
        </w:tc>
        <w:tc>
          <w:tcPr>
            <w:tcW w:type="dxa" w:w="4500"/>
            <w:tcMar>
              <w:top w:type="dxa" w:w="60"/>
              <w:left w:type="dxa" w:w="80"/>
              <w:bottom w:type="dxa" w:w="60"/>
              <w:right w:type="dxa" w:w="80"/>
            </w:tcMar>
          </w:tcPr>
          <w:p>
            <w:r>
              <w:rPr>
                <w:b w:val="false"/>
                <w:bCs w:val="false"/>
                <w:sz w:val="18"/>
                <w:szCs w:val="18"/>
              </w:rPr>
              <w:t xml:space="preserve">Her İP'de ikinci sorumlu; ortak depo; haftalık kısa toplantı</w:t>
            </w:r>
          </w:p>
        </w:tc>
      </w:tr>
      <w:tr>
        <w:trPr>
          <w:tblHeader w:val="false"/>
        </w:trPr>
        <w:tc>
          <w:tcPr>
            <w:tcW w:type="dxa" w:w="4500"/>
            <w:tcMar>
              <w:top w:type="dxa" w:w="60"/>
              <w:left w:type="dxa" w:w="80"/>
              <w:bottom w:type="dxa" w:w="60"/>
              <w:right w:type="dxa" w:w="80"/>
            </w:tcMar>
          </w:tcPr>
          <w:p>
            <w:r>
              <w:rPr>
                <w:b w:val="false"/>
                <w:bCs w:val="false"/>
                <w:sz w:val="18"/>
                <w:szCs w:val="18"/>
              </w:rPr>
              <w:t xml:space="preserve">Donanım arızası (servo, sürücü, akü)</w:t>
            </w:r>
          </w:p>
        </w:tc>
        <w:tc>
          <w:tcPr>
            <w:tcW w:type="dxa" w:w="4500"/>
            <w:tcMar>
              <w:top w:type="dxa" w:w="60"/>
              <w:left w:type="dxa" w:w="80"/>
              <w:bottom w:type="dxa" w:w="60"/>
              <w:right w:type="dxa" w:w="80"/>
            </w:tcMar>
          </w:tcPr>
          <w:p>
            <w:r>
              <w:rPr>
                <w:b w:val="false"/>
                <w:bCs w:val="false"/>
                <w:sz w:val="18"/>
                <w:szCs w:val="18"/>
              </w:rPr>
              <w:t xml:space="preserve">Yedek servo/sürücü bütçede; akü BMS'li, ayrı güç hatları</w:t>
            </w:r>
          </w:p>
        </w:tc>
      </w:tr>
      <w:tr>
        <w:trPr>
          <w:tblHeader w:val="false"/>
        </w:trPr>
        <w:tc>
          <w:tcPr>
            <w:tcW w:type="dxa" w:w="4500"/>
            <w:tcMar>
              <w:top w:type="dxa" w:w="60"/>
              <w:left w:type="dxa" w:w="80"/>
              <w:bottom w:type="dxa" w:w="60"/>
              <w:right w:type="dxa" w:w="80"/>
            </w:tcMar>
          </w:tcPr>
          <w:p>
            <w:r>
              <w:rPr>
                <w:b w:val="false"/>
                <w:bCs w:val="false"/>
                <w:sz w:val="18"/>
                <w:szCs w:val="18"/>
              </w:rPr>
              <w:t xml:space="preserve">Açık alanda rüzgâr gürültüsü</w:t>
            </w:r>
          </w:p>
        </w:tc>
        <w:tc>
          <w:tcPr>
            <w:tcW w:type="dxa" w:w="4500"/>
            <w:tcMar>
              <w:top w:type="dxa" w:w="60"/>
              <w:left w:type="dxa" w:w="80"/>
              <w:bottom w:type="dxa" w:w="60"/>
              <w:right w:type="dxa" w:w="80"/>
            </w:tcMar>
          </w:tcPr>
          <w:p>
            <w:r>
              <w:rPr>
                <w:b w:val="false"/>
                <w:bCs w:val="false"/>
                <w:sz w:val="18"/>
                <w:szCs w:val="18"/>
              </w:rPr>
              <w:t xml:space="preserve">Mikrofon dizisi kafa içine gömülü, köpük/kürk kılıflı; yüksek geçiren filtre; rüzgâr koşulu kaydedilir, kuvvetli rüzgârda açık alan denemesi ertelenir</w:t>
            </w:r>
          </w:p>
        </w:tc>
      </w:tr>
      <w:tr>
        <w:trPr>
          <w:tblHeader w:val="false"/>
        </w:trPr>
        <w:tc>
          <w:tcPr>
            <w:tcW w:type="dxa" w:w="4500"/>
            <w:tcMar>
              <w:top w:type="dxa" w:w="60"/>
              <w:left w:type="dxa" w:w="80"/>
              <w:bottom w:type="dxa" w:w="60"/>
              <w:right w:type="dxa" w:w="80"/>
            </w:tcMar>
          </w:tcPr>
          <w:p>
            <w:r>
              <w:rPr>
                <w:b w:val="false"/>
                <w:bCs w:val="false"/>
                <w:sz w:val="18"/>
                <w:szCs w:val="18"/>
              </w:rPr>
              <w:t>Bölge tespiti açık alanda ya da kalabalıkta düşer</w:t>
            </w:r>
          </w:p>
        </w:tc>
        <w:tc>
          <w:tcPr>
            <w:tcW w:type="dxa" w:w="4500"/>
            <w:tcMar>
              <w:top w:type="dxa" w:w="60"/>
              <w:left w:type="dxa" w:w="80"/>
              <w:bottom w:type="dxa" w:w="60"/>
              <w:right w:type="dxa" w:w="80"/>
            </w:tcMar>
          </w:tcPr>
          <w:p>
            <w:r>
              <w:rPr>
                <w:b w:val="false"/>
                <w:bCs w:val="false"/>
                <w:sz w:val="18"/>
                <w:szCs w:val="18"/>
              </w:rPr>
              <w:t>Kaynaklar birbirini yedekler (içeride Wi-Fi + işaret, dışarıda GPS); son bilinen bölge korunur; elle bölge seçimi; bölge bilinmiyorsa genel tarif ve görevliye yönlendirme</w:t>
            </w:r>
          </w:p>
        </w:tc>
      </w:tr>
      <w:tr>
        <w:trPr>
          <w:tblHeader w:val="false"/>
        </w:trPr>
        <w:tc>
          <w:tcPr>
            <w:tcW w:type="dxa" w:w="4500"/>
            <w:tcMar>
              <w:top w:type="dxa" w:w="60"/>
              <w:left w:type="dxa" w:w="80"/>
              <w:bottom w:type="dxa" w:w="60"/>
              <w:right w:type="dxa" w:w="80"/>
            </w:tcMar>
          </w:tcPr>
          <w:p>
            <w:r>
              <w:rPr>
                <w:b w:val="false"/>
                <w:bCs w:val="false"/>
                <w:sz w:val="18"/>
                <w:szCs w:val="18"/>
              </w:rPr>
              <w:t xml:space="preserve">Kişisel veri (ses, görüntü)</w:t>
            </w:r>
          </w:p>
        </w:tc>
        <w:tc>
          <w:tcPr>
            <w:tcW w:type="dxa" w:w="4500"/>
            <w:tcMar>
              <w:top w:type="dxa" w:w="60"/>
              <w:left w:type="dxa" w:w="80"/>
              <w:bottom w:type="dxa" w:w="60"/>
              <w:right w:type="dxa" w:w="80"/>
            </w:tcMar>
          </w:tcPr>
          <w:p>
            <w:r>
              <w:rPr>
                <w:b w:val="false"/>
                <w:bCs w:val="false"/>
                <w:sz w:val="18"/>
                <w:szCs w:val="18"/>
              </w:rPr>
              <w:t xml:space="preserve">Kayıt yok, anlık işleme; bilgilendirme levhası; yüz tanıma yok</w:t>
            </w:r>
          </w:p>
        </w:tc>
      </w:tr>
    </w:tbl>
    <w:p>
      <w:pPr>
        <w:spacing w:after="120"/>
      </w:pPr>
    </w:p>
    <w:p>
      <w:pPr>
        <w:pStyle w:val="Heading2"/>
        <w:spacing w:before="240" w:after="120"/>
      </w:pPr>
      <w:r>
        <w:t xml:space="preserve">3.3 Araştırma olanakları</w:t>
      </w:r>
    </w:p>
    <w:p>
      <w:pPr>
        <w:pStyle w:val="ListParagraph"/>
        <w:numPr>
          <w:ilvl w:val="0"/>
          <w:numId w:val="2"/>
        </w:numPr>
        <w:spacing w:after="80"/>
      </w:pPr>
      <w:r>
        <w:rPr>
          <w:b/>
          <w:bCs/>
        </w:rPr>
        <w:t xml:space="preserve">Üniversite:</w:t>
      </w:r>
      <w:r>
        <w:t xml:space="preserve"> Proje, Mekatronik Mühendisliği Bölümü Mekatronik Laboratuvarı'nda yürütülecektir. Laboratuvarda 3D yazıcı, laboratuvar güç kaynakları, sigma profil ve temel atölye malzemesi mevcuttur. Robot platformunun mekanik üretimi ve montajı bu olanaklarla, Mekatronik Sistem Tasarımı dersi kapsamında ve akademik danışmanın gözetiminde yapılacaktır.</w:t>
      </w:r>
    </w:p>
    <w:p>
      <w:pPr>
        <w:pStyle w:val="ListParagraph"/>
        <w:numPr>
          <w:ilvl w:val="0"/>
          <w:numId w:val="2"/>
        </w:numPr>
        <w:spacing w:after="80"/>
      </w:pPr>
      <w:r>
        <w:rPr>
          <w:b/>
          <w:bCs/>
        </w:rPr>
        <w:t xml:space="preserve">Sanayi kuruluşu:</w:t>
      </w:r>
      <w:r>
        <w:t xml:space="preserve"> Projenin sanayi ortağı, teknoloji geliştirme bölgesinde faaliyet gösteren bir mühendislik firmasıdır. Kuruluş, proje malzemelerinin teminine katkı sağlayacak ve saha denemesi için ziyaretçi girişi ile tesis ortamını kullanıma açacaktır. Sanayi danışmanı kuruluşun genel müdürüdür.</w:t>
      </w:r>
    </w:p>
    <w:p>
      <w:pPr>
        <w:pStyle w:val="ListParagraph"/>
        <w:numPr>
          <w:ilvl w:val="0"/>
          <w:numId w:val="2"/>
        </w:numPr>
        <w:spacing w:after="80"/>
      </w:pPr>
      <w:r>
        <w:rPr>
          <w:b/>
          <w:bCs/>
        </w:rPr>
        <w:t xml:space="preserve">Platform bileşenleri:</w:t>
      </w:r>
      <w:r>
        <w:t xml:space="preserve"> Ana işlemci (8 GB tek kartlı bilgisayar), 10,1 inç dokunmatik ekran, tahrik, servo, akü ve gövde malzemesi dahil tüm platform bileşenleri, üniversite ve sanayi ortağının desteğiyle proje başlamadan önce temin edilecektir. Robotun mekanik tasarımı parametrik CAD ortamında sürmekte olup malzeme listesi güncel tasarım revizyonuyla birlikte kesinleşecektir. Konumlandırma için kullanılan kamera ve teker enkoderleri platformun parçasıdır; GPS modülü, görsel işaret levhaları ve gerekirse birkaç Bluetooth işaretçi (ESP32) üniversite ve sanayi ortağının desteğiyle temin edilecektir. TÜBİTAK bütçesi yalnız ses alt sistemi, ölçüm cihazları, bulut hizmeti, sarf malzemesi ve saha ulaşımı için kullanılacaktır.</w:t>
      </w:r>
    </w:p>
    <w:p>
      <w:pPr>
        <w:pStyle w:val="Heading2"/>
        <w:spacing w:before="240" w:after="120"/>
      </w:pPr>
      <w:r>
        <w:t xml:space="preserve">4. Sanayi odaklı çıktılar</w:t>
      </w:r>
    </w:p>
    <w:p>
      <w:pPr>
        <w:pStyle w:val="ListParagraph"/>
        <w:numPr>
          <w:ilvl w:val="0"/>
          <w:numId w:val="3"/>
        </w:numPr>
        <w:spacing w:after="80"/>
      </w:pPr>
      <w:r>
        <w:t xml:space="preserve">Sanayi tesisinde bilgilendirme asistanı olarak saha denemesi yapılmış, gürültülü ortamda çalışan robot prototipi (üniversitede tanıtım robotu olarak da görev yapar).</w:t>
      </w:r>
    </w:p>
    <w:p>
      <w:pPr>
        <w:pStyle w:val="ListParagraph"/>
        <w:numPr>
          <w:ilvl w:val="0"/>
          <w:numId w:val="3"/>
        </w:numPr>
        <w:spacing w:after="80"/>
      </w:pPr>
      <w:r>
        <w:t xml:space="preserve">Ortam gürültüsü × tanıma oranı × gecikme karşılaştırma tablosu (4 ortam, 2 mikrofon düzeni).</w:t>
      </w:r>
    </w:p>
    <w:p>
      <w:pPr>
        <w:pStyle w:val="ListParagraph"/>
        <w:numPr>
          <w:ilvl w:val="0"/>
          <w:numId w:val="3"/>
        </w:numPr>
        <w:spacing w:after="80"/>
      </w:pPr>
      <w:r>
        <w:t xml:space="preserve">Değiştirilebilir içerik paketi biçimi ve aracı (üniversite ve tesis için iki örnek paket).</w:t>
      </w:r>
    </w:p>
    <w:p>
      <w:pPr>
        <w:pStyle w:val="ListParagraph"/>
        <w:numPr>
          <w:ilvl w:val="0"/>
          <w:numId w:val="3"/>
        </w:numPr>
        <w:spacing w:after="80"/>
      </w:pPr>
      <w:r>
        <w:t xml:space="preserve">Sanayi ortamı güvenlik kontrol listesi ve test sonuçları.</w:t>
      </w:r>
    </w:p>
    <w:p>
      <w:pPr>
        <w:pStyle w:val="ListParagraph"/>
        <w:numPr>
          <w:ilvl w:val="0"/>
          <w:numId w:val="3"/>
        </w:numPr>
        <w:spacing w:after="80"/>
      </w:pPr>
      <w:r>
        <w:t>Çok kaynaklı konumlandırma modülü (Wi-Fi parmak izi, GPS, görsel işaret, odometri, öğrenilen yer tanıma) ve kaynak başına / birleşik bölge doğruluğu tablosu.</w:t>
      </w:r>
    </w:p>
    <w:p>
      <w:pPr>
        <w:pStyle w:val="ListParagraph"/>
        <w:numPr>
          <w:ilvl w:val="0"/>
          <w:numId w:val="3"/>
        </w:numPr>
        <w:spacing w:after="80"/>
      </w:pPr>
      <w:r>
        <w:t xml:space="preserve">Açık kaynak depo (mekanik + yazılım + belgeler), teknik not; isteğe bağlı ulusal bildiri (gideri bütçe dışı).</w:t>
      </w:r>
    </w:p>
    <w:p>
      <w:pPr>
        <w:spacing w:after="120"/>
      </w:pPr>
      <w:r>
        <w:t xml:space="preserve">Yaygın etki: aynı platform KOBİ'lerde bilgilendirme asistanı, fuar standı ve eğitim kurumu tanıtımı için düşük maliyetli (≈ 80 bin TL) alternatif; ekip için ürünleştirme yolu.</w:t>
      </w:r>
    </w:p>
    <w:p>
      <w:pPr>
        <w:pStyle w:val="Heading2"/>
        <w:spacing w:before="240" w:after="120"/>
      </w:pPr>
      <w:r>
        <w:t xml:space="preserve">Bütçe (TÜBİTAK desteği; üst sınır 16.000 TL)</w:t>
      </w:r>
    </w:p>
    <w:p>
      <w:pPr>
        <w:spacing w:after="120"/>
      </w:pPr>
      <w:r>
        <w:t xml:space="preserve">Bu bölüm yalnız TÜBİTAK 2209-B desteğinden karşılanacak giderleri kapsar. Program desteği en fazla 16.000 TL'dir ve yalnız makine/teçhizat, sarf, hizmet alımı, seyahat ve kırtasiye kalemlerine kullanılabilir. Robot platformunun kendisi (gövde, tahrik, kollar, ekranlar, ana işlemci, akü; toplam malzeme maliyeti yaklaşık 80 bin TL) bu bütçenin dışındadır: platform ders kapsamında, üniversite ve sanayi ortağının desteğiyle proje başlamadan önce kurulmaktadır (bkz. 3.3). Aşağıdaki kalemler yalnız sanayi uyarlaması iş paketlerinin (İP1-İP6) gereksinimleridir: ses alt sistemi, ölçüm cihazı, bulut hizmeti, sarf malzemesi ve saha ulaşımı.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7E6E6" w:color="auto" w:val="clear"/>
            <w:tcMar>
              <w:top w:type="dxa" w:w="60"/>
              <w:left w:type="dxa" w:w="80"/>
              <w:bottom w:type="dxa" w:w="60"/>
              <w:right w:type="dxa" w:w="80"/>
            </w:tcMar>
          </w:tcPr>
          <w:p>
            <w:r>
              <w:rPr>
                <w:b/>
                <w:bCs/>
                <w:sz w:val="18"/>
                <w:szCs w:val="18"/>
              </w:rPr>
              <w:t xml:space="preserve">Kalem</w:t>
            </w:r>
          </w:p>
        </w:tc>
        <w:tc>
          <w:tcPr>
            <w:tcW w:type="dxa" w:w="3000"/>
            <w:shd w:fill="E7E6E6" w:color="auto" w:val="clear"/>
            <w:tcMar>
              <w:top w:type="dxa" w:w="60"/>
              <w:left w:type="dxa" w:w="80"/>
              <w:bottom w:type="dxa" w:w="60"/>
              <w:right w:type="dxa" w:w="80"/>
            </w:tcMar>
          </w:tcPr>
          <w:p>
            <w:r>
              <w:rPr>
                <w:b/>
                <w:bCs/>
                <w:sz w:val="18"/>
                <w:szCs w:val="18"/>
              </w:rPr>
              <w:t xml:space="preserve">Tür</w:t>
            </w:r>
          </w:p>
        </w:tc>
        <w:tc>
          <w:tcPr>
            <w:tcW w:type="dxa" w:w="3000"/>
            <w:shd w:fill="E7E6E6" w:color="auto" w:val="clear"/>
            <w:tcMar>
              <w:top w:type="dxa" w:w="60"/>
              <w:left w:type="dxa" w:w="80"/>
              <w:bottom w:type="dxa" w:w="60"/>
              <w:right w:type="dxa" w:w="80"/>
            </w:tcMar>
          </w:tcPr>
          <w:p>
            <w:r>
              <w:rPr>
                <w:b/>
                <w:bCs/>
                <w:sz w:val="18"/>
                <w:szCs w:val="18"/>
              </w:rPr>
              <w:t xml:space="preserve">TL</w:t>
            </w:r>
          </w:p>
        </w:tc>
      </w:tr>
      <w:tr>
        <w:trPr>
          <w:tblHeader w:val="false"/>
        </w:trPr>
        <w:tc>
          <w:tcPr>
            <w:tcW w:type="dxa" w:w="3000"/>
            <w:tcMar>
              <w:top w:type="dxa" w:w="60"/>
              <w:left w:type="dxa" w:w="80"/>
              <w:bottom w:type="dxa" w:w="60"/>
              <w:right w:type="dxa" w:w="80"/>
            </w:tcMar>
          </w:tcPr>
          <w:p>
            <w:r>
              <w:rPr>
                <w:b w:val="false"/>
                <w:bCs w:val="false"/>
                <w:sz w:val="18"/>
                <w:szCs w:val="18"/>
              </w:rPr>
              <w:t xml:space="preserve">Donanımsal yankı iptalli ve gürültü bastırmalı 4 mikrofonlu USB mikrofon dizisi + rüzgâr koruyucu</w:t>
            </w:r>
          </w:p>
        </w:tc>
        <w:tc>
          <w:tcPr>
            <w:tcW w:type="dxa" w:w="3000"/>
            <w:tcMar>
              <w:top w:type="dxa" w:w="60"/>
              <w:left w:type="dxa" w:w="80"/>
              <w:bottom w:type="dxa" w:w="60"/>
              <w:right w:type="dxa" w:w="80"/>
            </w:tcMar>
          </w:tcPr>
          <w:p>
            <w:r>
              <w:rPr>
                <w:b w:val="false"/>
                <w:bCs w:val="false"/>
                <w:sz w:val="18"/>
                <w:szCs w:val="18"/>
              </w:rPr>
              <w:t xml:space="preserve">makine/teçhizat</w:t>
            </w:r>
          </w:p>
        </w:tc>
        <w:tc>
          <w:tcPr>
            <w:tcW w:type="dxa" w:w="3000"/>
            <w:tcMar>
              <w:top w:type="dxa" w:w="60"/>
              <w:left w:type="dxa" w:w="80"/>
              <w:bottom w:type="dxa" w:w="60"/>
              <w:right w:type="dxa" w:w="80"/>
            </w:tcMar>
          </w:tcPr>
          <w:p>
            <w:r>
              <w:rPr>
                <w:b w:val="false"/>
                <w:bCs w:val="false"/>
                <w:sz w:val="18"/>
                <w:szCs w:val="18"/>
              </w:rPr>
              <w:t xml:space="preserve">5.500</w:t>
            </w:r>
          </w:p>
        </w:tc>
      </w:tr>
      <w:tr>
        <w:trPr>
          <w:tblHeader w:val="false"/>
        </w:trPr>
        <w:tc>
          <w:tcPr>
            <w:tcW w:type="dxa" w:w="3000"/>
            <w:tcMar>
              <w:top w:type="dxa" w:w="60"/>
              <w:left w:type="dxa" w:w="80"/>
              <w:bottom w:type="dxa" w:w="60"/>
              <w:right w:type="dxa" w:w="80"/>
            </w:tcMar>
          </w:tcPr>
          <w:p>
            <w:r>
              <w:rPr>
                <w:b w:val="false"/>
                <w:bCs w:val="false"/>
                <w:sz w:val="18"/>
                <w:szCs w:val="18"/>
              </w:rPr>
              <w:t xml:space="preserve">Yönlü mikrofon, USB ses kartı ve kürk rüzgâr kılıfı (karşılaştırma kolu)</w:t>
            </w:r>
          </w:p>
        </w:tc>
        <w:tc>
          <w:tcPr>
            <w:tcW w:type="dxa" w:w="3000"/>
            <w:tcMar>
              <w:top w:type="dxa" w:w="60"/>
              <w:left w:type="dxa" w:w="80"/>
              <w:bottom w:type="dxa" w:w="60"/>
              <w:right w:type="dxa" w:w="80"/>
            </w:tcMar>
          </w:tcPr>
          <w:p>
            <w:r>
              <w:rPr>
                <w:b w:val="false"/>
                <w:bCs w:val="false"/>
                <w:sz w:val="18"/>
                <w:szCs w:val="18"/>
              </w:rPr>
              <w:t xml:space="preserve">makine/teçhizat</w:t>
            </w:r>
          </w:p>
        </w:tc>
        <w:tc>
          <w:tcPr>
            <w:tcW w:type="dxa" w:w="3000"/>
            <w:tcMar>
              <w:top w:type="dxa" w:w="60"/>
              <w:left w:type="dxa" w:w="80"/>
              <w:bottom w:type="dxa" w:w="60"/>
              <w:right w:type="dxa" w:w="80"/>
            </w:tcMar>
          </w:tcPr>
          <w:p>
            <w:r>
              <w:rPr>
                <w:b w:val="false"/>
                <w:bCs w:val="false"/>
                <w:sz w:val="18"/>
                <w:szCs w:val="18"/>
              </w:rPr>
              <w:t xml:space="preserve">2.000</w:t>
            </w:r>
          </w:p>
        </w:tc>
      </w:tr>
      <w:tr>
        <w:trPr>
          <w:tblHeader w:val="false"/>
        </w:trPr>
        <w:tc>
          <w:tcPr>
            <w:tcW w:type="dxa" w:w="3000"/>
            <w:tcMar>
              <w:top w:type="dxa" w:w="60"/>
              <w:left w:type="dxa" w:w="80"/>
              <w:bottom w:type="dxa" w:w="60"/>
              <w:right w:type="dxa" w:w="80"/>
            </w:tcMar>
          </w:tcPr>
          <w:p>
            <w:r>
              <w:rPr>
                <w:b w:val="false"/>
                <w:bCs w:val="false"/>
                <w:sz w:val="18"/>
                <w:szCs w:val="18"/>
              </w:rPr>
              <w:t xml:space="preserve">Ses seviyesi ölçer (dB metre, A ağırlıklı)</w:t>
            </w:r>
          </w:p>
        </w:tc>
        <w:tc>
          <w:tcPr>
            <w:tcW w:type="dxa" w:w="3000"/>
            <w:tcMar>
              <w:top w:type="dxa" w:w="60"/>
              <w:left w:type="dxa" w:w="80"/>
              <w:bottom w:type="dxa" w:w="60"/>
              <w:right w:type="dxa" w:w="80"/>
            </w:tcMar>
          </w:tcPr>
          <w:p>
            <w:r>
              <w:rPr>
                <w:b w:val="false"/>
                <w:bCs w:val="false"/>
                <w:sz w:val="18"/>
                <w:szCs w:val="18"/>
              </w:rPr>
              <w:t xml:space="preserve">makine/teçhizat</w:t>
            </w:r>
          </w:p>
        </w:tc>
        <w:tc>
          <w:tcPr>
            <w:tcW w:type="dxa" w:w="3000"/>
            <w:tcMar>
              <w:top w:type="dxa" w:w="60"/>
              <w:left w:type="dxa" w:w="80"/>
              <w:bottom w:type="dxa" w:w="60"/>
              <w:right w:type="dxa" w:w="80"/>
            </w:tcMar>
          </w:tcPr>
          <w:p>
            <w:r>
              <w:rPr>
                <w:b w:val="false"/>
                <w:bCs w:val="false"/>
                <w:sz w:val="18"/>
                <w:szCs w:val="18"/>
              </w:rPr>
              <w:t xml:space="preserve">1.500</w:t>
            </w:r>
          </w:p>
        </w:tc>
      </w:tr>
      <w:tr>
        <w:trPr>
          <w:tblHeader w:val="false"/>
        </w:trPr>
        <w:tc>
          <w:tcPr>
            <w:tcW w:type="dxa" w:w="3000"/>
            <w:tcMar>
              <w:top w:type="dxa" w:w="60"/>
              <w:left w:type="dxa" w:w="80"/>
              <w:bottom w:type="dxa" w:w="60"/>
              <w:right w:type="dxa" w:w="80"/>
            </w:tcMar>
          </w:tcPr>
          <w:p>
            <w:r>
              <w:rPr>
                <w:b w:val="false"/>
                <w:bCs w:val="false"/>
                <w:sz w:val="18"/>
                <w:szCs w:val="18"/>
              </w:rPr>
              <w:t xml:space="preserve">Bulut konuşma/dil modeli kredisi (12 ay)</w:t>
            </w:r>
          </w:p>
        </w:tc>
        <w:tc>
          <w:tcPr>
            <w:tcW w:type="dxa" w:w="3000"/>
            <w:tcMar>
              <w:top w:type="dxa" w:w="60"/>
              <w:left w:type="dxa" w:w="80"/>
              <w:bottom w:type="dxa" w:w="60"/>
              <w:right w:type="dxa" w:w="80"/>
            </w:tcMar>
          </w:tcPr>
          <w:p>
            <w:r>
              <w:rPr>
                <w:b w:val="false"/>
                <w:bCs w:val="false"/>
                <w:sz w:val="18"/>
                <w:szCs w:val="18"/>
              </w:rPr>
              <w:t xml:space="preserve">hizmet alımı</w:t>
            </w:r>
          </w:p>
        </w:tc>
        <w:tc>
          <w:tcPr>
            <w:tcW w:type="dxa" w:w="3000"/>
            <w:tcMar>
              <w:top w:type="dxa" w:w="60"/>
              <w:left w:type="dxa" w:w="80"/>
              <w:bottom w:type="dxa" w:w="60"/>
              <w:right w:type="dxa" w:w="80"/>
            </w:tcMar>
          </w:tcPr>
          <w:p>
            <w:r>
              <w:rPr>
                <w:b w:val="false"/>
                <w:bCs w:val="false"/>
                <w:sz w:val="18"/>
                <w:szCs w:val="18"/>
              </w:rPr>
              <w:t xml:space="preserve">3.000</w:t>
            </w:r>
          </w:p>
        </w:tc>
      </w:tr>
      <w:tr>
        <w:trPr>
          <w:tblHeader w:val="false"/>
        </w:trPr>
        <w:tc>
          <w:tcPr>
            <w:tcW w:type="dxa" w:w="3000"/>
            <w:tcMar>
              <w:top w:type="dxa" w:w="60"/>
              <w:left w:type="dxa" w:w="80"/>
              <w:bottom w:type="dxa" w:w="60"/>
              <w:right w:type="dxa" w:w="80"/>
            </w:tcMar>
          </w:tcPr>
          <w:p>
            <w:r>
              <w:rPr>
                <w:b w:val="false"/>
                <w:bCs w:val="false"/>
                <w:sz w:val="18"/>
                <w:szCs w:val="18"/>
              </w:rPr>
              <w:t xml:space="preserve">Filament, kablo, konnektör, yedek servo/sürücü</w:t>
            </w:r>
          </w:p>
        </w:tc>
        <w:tc>
          <w:tcPr>
            <w:tcW w:type="dxa" w:w="3000"/>
            <w:tcMar>
              <w:top w:type="dxa" w:w="60"/>
              <w:left w:type="dxa" w:w="80"/>
              <w:bottom w:type="dxa" w:w="60"/>
              <w:right w:type="dxa" w:w="80"/>
            </w:tcMar>
          </w:tcPr>
          <w:p>
            <w:r>
              <w:rPr>
                <w:b w:val="false"/>
                <w:bCs w:val="false"/>
                <w:sz w:val="18"/>
                <w:szCs w:val="18"/>
              </w:rPr>
              <w:t xml:space="preserve">sarf</w:t>
            </w:r>
          </w:p>
        </w:tc>
        <w:tc>
          <w:tcPr>
            <w:tcW w:type="dxa" w:w="3000"/>
            <w:tcMar>
              <w:top w:type="dxa" w:w="60"/>
              <w:left w:type="dxa" w:w="80"/>
              <w:bottom w:type="dxa" w:w="60"/>
              <w:right w:type="dxa" w:w="80"/>
            </w:tcMar>
          </w:tcPr>
          <w:p>
            <w:r>
              <w:rPr>
                <w:b w:val="false"/>
                <w:bCs w:val="false"/>
                <w:sz w:val="18"/>
                <w:szCs w:val="18"/>
              </w:rPr>
              <w:t xml:space="preserve">2.500</w:t>
            </w:r>
          </w:p>
        </w:tc>
      </w:tr>
      <w:tr>
        <w:trPr>
          <w:tblHeader w:val="false"/>
        </w:trPr>
        <w:tc>
          <w:tcPr>
            <w:tcW w:type="dxa" w:w="3000"/>
            <w:tcMar>
              <w:top w:type="dxa" w:w="60"/>
              <w:left w:type="dxa" w:w="80"/>
              <w:bottom w:type="dxa" w:w="60"/>
              <w:right w:type="dxa" w:w="80"/>
            </w:tcMar>
          </w:tcPr>
          <w:p>
            <w:r>
              <w:rPr>
                <w:b w:val="false"/>
                <w:bCs w:val="false"/>
                <w:sz w:val="18"/>
                <w:szCs w:val="18"/>
              </w:rPr>
              <w:t xml:space="preserve">Saha günleri ulaşım (sanayi tesisi, kampüs dışı)</w:t>
            </w:r>
          </w:p>
        </w:tc>
        <w:tc>
          <w:tcPr>
            <w:tcW w:type="dxa" w:w="3000"/>
            <w:tcMar>
              <w:top w:type="dxa" w:w="60"/>
              <w:left w:type="dxa" w:w="80"/>
              <w:bottom w:type="dxa" w:w="60"/>
              <w:right w:type="dxa" w:w="80"/>
            </w:tcMar>
          </w:tcPr>
          <w:p>
            <w:r>
              <w:rPr>
                <w:b w:val="false"/>
                <w:bCs w:val="false"/>
                <w:sz w:val="18"/>
                <w:szCs w:val="18"/>
              </w:rPr>
              <w:t xml:space="preserve">seyahat</w:t>
            </w:r>
          </w:p>
        </w:tc>
        <w:tc>
          <w:tcPr>
            <w:tcW w:type="dxa" w:w="3000"/>
            <w:tcMar>
              <w:top w:type="dxa" w:w="60"/>
              <w:left w:type="dxa" w:w="80"/>
              <w:bottom w:type="dxa" w:w="60"/>
              <w:right w:type="dxa" w:w="80"/>
            </w:tcMar>
          </w:tcPr>
          <w:p>
            <w:r>
              <w:rPr>
                <w:b w:val="false"/>
                <w:bCs w:val="false"/>
                <w:sz w:val="18"/>
                <w:szCs w:val="18"/>
              </w:rPr>
              <w:t xml:space="preserve">1.000</w:t>
            </w:r>
          </w:p>
        </w:tc>
      </w:tr>
      <w:tr>
        <w:trPr>
          <w:tblHeader w:val="false"/>
        </w:trPr>
        <w:tc>
          <w:tcPr>
            <w:tcW w:type="dxa" w:w="3000"/>
            <w:tcMar>
              <w:top w:type="dxa" w:w="60"/>
              <w:left w:type="dxa" w:w="80"/>
              <w:bottom w:type="dxa" w:w="60"/>
              <w:right w:type="dxa" w:w="80"/>
            </w:tcMar>
          </w:tcPr>
          <w:p>
            <w:r>
              <w:rPr>
                <w:b w:val="false"/>
                <w:bCs w:val="false"/>
                <w:sz w:val="18"/>
                <w:szCs w:val="18"/>
              </w:rPr>
              <w:t xml:space="preserve">Kırtasiye, poster, bilgilendirme levhası</w:t>
            </w:r>
          </w:p>
        </w:tc>
        <w:tc>
          <w:tcPr>
            <w:tcW w:type="dxa" w:w="3000"/>
            <w:tcMar>
              <w:top w:type="dxa" w:w="60"/>
              <w:left w:type="dxa" w:w="80"/>
              <w:bottom w:type="dxa" w:w="60"/>
              <w:right w:type="dxa" w:w="80"/>
            </w:tcMar>
          </w:tcPr>
          <w:p>
            <w:r>
              <w:rPr>
                <w:b w:val="false"/>
                <w:bCs w:val="false"/>
                <w:sz w:val="18"/>
                <w:szCs w:val="18"/>
              </w:rPr>
              <w:t xml:space="preserve">kırtasiye</w:t>
            </w:r>
          </w:p>
        </w:tc>
        <w:tc>
          <w:tcPr>
            <w:tcW w:type="dxa" w:w="3000"/>
            <w:tcMar>
              <w:top w:type="dxa" w:w="60"/>
              <w:left w:type="dxa" w:w="80"/>
              <w:bottom w:type="dxa" w:w="60"/>
              <w:right w:type="dxa" w:w="80"/>
            </w:tcMar>
          </w:tcPr>
          <w:p>
            <w:r>
              <w:rPr>
                <w:b w:val="false"/>
                <w:bCs w:val="false"/>
                <w:sz w:val="18"/>
                <w:szCs w:val="18"/>
              </w:rPr>
              <w:t xml:space="preserve">500</w:t>
            </w:r>
          </w:p>
        </w:tc>
      </w:tr>
      <w:tr>
        <w:trPr>
          <w:tblHeader w:val="false"/>
        </w:trPr>
        <w:tc>
          <w:tcPr>
            <w:tcW w:type="dxa" w:w="3000"/>
            <w:tcMar>
              <w:top w:type="dxa" w:w="60"/>
              <w:left w:type="dxa" w:w="80"/>
              <w:bottom w:type="dxa" w:w="60"/>
              <w:right w:type="dxa" w:w="80"/>
            </w:tcMar>
          </w:tcPr>
          <w:p>
            <w:r>
              <w:rPr>
                <w:b w:val="false"/>
                <w:bCs w:val="false"/>
                <w:sz w:val="18"/>
                <w:szCs w:val="18"/>
              </w:rPr>
              <w:t xml:space="preserve">Toplam</w:t>
            </w:r>
          </w:p>
        </w:tc>
        <w:tc>
          <w:tcPr>
            <w:tcW w:type="dxa" w:w="3000"/>
            <w:tcMar>
              <w:top w:type="dxa" w:w="60"/>
              <w:left w:type="dxa" w:w="80"/>
              <w:bottom w:type="dxa" w:w="60"/>
              <w:right w:type="dxa" w:w="80"/>
            </w:tcMar>
          </w:tcPr>
          <w:p/>
        </w:tc>
        <w:tc>
          <w:tcPr>
            <w:tcW w:type="dxa" w:w="3000"/>
            <w:tcMar>
              <w:top w:type="dxa" w:w="60"/>
              <w:left w:type="dxa" w:w="80"/>
              <w:bottom w:type="dxa" w:w="60"/>
              <w:right w:type="dxa" w:w="80"/>
            </w:tcMar>
          </w:tcPr>
          <w:p>
            <w:r>
              <w:rPr>
                <w:b w:val="false"/>
                <w:bCs w:val="false"/>
                <w:sz w:val="18"/>
                <w:szCs w:val="18"/>
              </w:rPr>
              <w:t xml:space="preserve">16.000</w:t>
            </w:r>
          </w:p>
        </w:tc>
      </w:tr>
    </w:tbl>
    <w:p>
      <w:pPr>
        <w:spacing w:after="120"/>
      </w:pPr>
    </w:p>
    <w:p>
      <w:pPr>
        <w:spacing w:after="120"/>
      </w:pPr>
      <w:r>
        <w:t>Sanayi ortağı ve üniversitenin karşıladığı kalemler (TÜBİTAK bütçesi dışında): robot platformunun tamamı, ek mesafe sensörleri (ToF ×3) ve kablolama (≈ 1.200 TL), lazer kesim / baskı hizmeti (mikrofon yuvası, kapak; ≈ 1.000 TL), konumlandırma için GPS modülü (≈ 600 TL), basılı görsel işaret levhaları (≈ 200 TL) ve gerekirse üç Bluetooth işaretçi (ESP32, ≈ 600 TL). Program desteği üst sınırı 16.000 TL olduğundan bu kalemler forma yazılmamış, 3.3'teki mevcut olanaklar içinde gösterilmiştir.</w:t>
      </w:r>
    </w:p>
    <w:p>
      <w:pPr>
        <w:spacing w:after="120"/>
      </w:pPr>
      <w:r>
        <w:rPr>
          <w:i/>
          <w:iCs/>
          <w:color w:val="555555"/>
          <w:sz w:val="18"/>
          <w:szCs w:val="18"/>
        </w:rPr>
        <w:t xml:space="preserve">Demirbaşlar (mikrofon dizisi, dB metre) proje sonunda üniversite envanterine kaydedilir. Konferans, yayın ve patent gideri programda desteklenmediğinden yer almaz. Tutarlar tahminidir; satıcı teklifi alınınca kesinleşir.</w:t>
      </w:r>
    </w:p>
    <w:p>
      <w:pPr>
        <w:pStyle w:val="Heading2"/>
        <w:spacing w:before="240" w:after="120"/>
      </w:pPr>
      <w:r>
        <w:t xml:space="preserve">Kaynakça</w:t>
      </w:r>
    </w:p>
    <w:p>
      <w:pPr>
        <w:pStyle w:val="ListParagraph"/>
        <w:numPr>
          <w:ilvl w:val="0"/>
          <w:numId w:val="2"/>
        </w:numPr>
        <w:spacing w:after="80"/>
      </w:pPr>
      <w:r>
        <w:t xml:space="preserve">Bartneck, C., Kulić, D., Croft, E., Zoghbi, S. (2009). Measurement instruments for the anthropomorphism, animacy, likeability, perceived intelligence, and perceived safety of robots. International Journal of Social Robotics, 1(1), 71-81. https://doi.org/10.1007/s12369-008-0001-3</w:t>
      </w:r>
    </w:p>
    <w:p>
      <w:pPr>
        <w:pStyle w:val="ListParagraph"/>
        <w:numPr>
          <w:ilvl w:val="0"/>
          <w:numId w:val="2"/>
        </w:numPr>
        <w:spacing w:after="80"/>
      </w:pPr>
      <w:r>
        <w:t xml:space="preserve">Blair, A., Foster, M. E. (2023). Real-world evaluation of a university guidance and information robot. Social Robotics (ICSR 2023), Lecture Notes in Computer Science, 14454, 193-203. https://doi.org/10.1007/978-981-99-8718-4_17</w:t>
      </w:r>
    </w:p>
    <w:p>
      <w:pPr>
        <w:pStyle w:val="ListParagraph"/>
        <w:numPr>
          <w:ilvl w:val="0"/>
          <w:numId w:val="2"/>
        </w:numPr>
        <w:spacing w:after="80"/>
      </w:pPr>
      <w:r>
        <w:t xml:space="preserve">Cao, Y. (2025). Performance evaluation of Whisper-series speech transcription models on Raspberry Pi. Proceedings of the Tenth ACM/IEEE Symposium on Edge Computing, 1-7. https://doi.org/10.1145/3769102.3774244</w:t>
      </w:r>
    </w:p>
    <w:p>
      <w:pPr>
        <w:pStyle w:val="ListParagraph"/>
        <w:numPr>
          <w:ilvl w:val="0"/>
          <w:numId w:val="2"/>
        </w:numPr>
        <w:spacing w:after="80"/>
      </w:pPr>
      <w:r>
        <w:t xml:space="preserve">Cherakara, N., Varghese, F., Shabana, S., Nelson, N., Karukayil, A., Kulothungan, R., Farhan, M. A., Nesset, B., Moujahid, M., Dinkar, T., Rieser, V., Lemon, O. (2023). FurChat: An embodied conversational agent using LLMs, combining open and closed-domain dialogue with facial expressions. Proceedings of the 24th Meeting of the Special Interest Group on Discourse and Dialogue (SIGDIAL), 588-592. https://doi.org/10.18653/v1/2023.sigdial-1.55</w:t>
      </w:r>
    </w:p>
    <w:p>
      <w:pPr>
        <w:pStyle w:val="ListParagraph"/>
        <w:numPr>
          <w:ilvl w:val="0"/>
          <w:numId w:val="2"/>
        </w:numPr>
        <w:spacing w:after="80"/>
      </w:pPr>
      <w:r>
        <w:t xml:space="preserve">Grondin, F., Létourneau, D., Godin, C., Lauzon, J.-S., Vincent, J., Michaud, S., Faucher, S., Michaud, F. (2022). ODAS: Open embeddeD Audition System. Frontiers in Robotics and AI, 9, 854444. https://doi.org/10.3389/frobt.2022.854444</w:t>
      </w:r>
    </w:p>
    <w:p>
      <w:pPr>
        <w:pStyle w:val="ListParagraph"/>
        <w:numPr>
          <w:ilvl w:val="0"/>
          <w:numId w:val="2"/>
        </w:numPr>
        <w:spacing w:after="80"/>
      </w:pPr>
      <w:r>
        <w:t xml:space="preserve">İnce, G., Nakadai, K., Rodemann, T., Hasegawa, Y., Tsujino, H., Imura, J. (2009). Ego noise suppression of a robot using template subtraction. 2009 IEEE/RSJ International Conference on Intelligent Robots and Systems, 199-204. https://doi.org/10.1109/IROS.2009.5354651</w:t>
      </w:r>
    </w:p>
    <w:p>
      <w:pPr>
        <w:pStyle w:val="ListParagraph"/>
        <w:numPr>
          <w:ilvl w:val="0"/>
          <w:numId w:val="2"/>
        </w:numPr>
        <w:spacing w:after="80"/>
      </w:pPr>
      <w:r>
        <w:t xml:space="preserve">ISO. (2014). ISO 13482:2014 Robots and robotic devices — Safety requirements for personal care robots. International Organization for Standardization. [2. baskı ISO/FDIS 13482 aşamasında (nihai taslak 2025-2026); başvuru sırasında yayımlanmışsa yıl güncellenir]</w:t>
      </w:r>
    </w:p>
    <w:p>
      <w:pPr>
        <w:pStyle w:val="ListParagraph"/>
        <w:numPr>
          <w:ilvl w:val="0"/>
          <w:numId w:val="2"/>
        </w:numPr>
        <w:spacing w:after="80"/>
      </w:pPr>
      <w:r>
        <w:t xml:space="preserve">ISO. (2023). ISO 3691-4:2023 Industrial trucks — Safety requirements and verification — Part 4: Driverless industrial trucks and their systems. International Organization for Standardization.</w:t>
      </w:r>
    </w:p>
    <w:p>
      <w:pPr>
        <w:pStyle w:val="ListParagraph"/>
        <w:numPr>
          <w:ilvl w:val="0"/>
          <w:numId w:val="2"/>
        </w:numPr>
        <w:spacing w:after="80"/>
      </w:pPr>
      <w:r>
        <w:t xml:space="preserve">Kanda, T., Shiomi, M., Miyashita, Z., Ishiguro, H., Hagita, N. (2010). A communication robot in a shopping mall. IEEE Transactions on Robotics, 26(5), 897-913. https://doi.org/10.1109/TRO.2010.2062550</w:t>
      </w:r>
    </w:p>
    <w:p>
      <w:pPr>
        <w:pStyle w:val="ListParagraph"/>
        <w:numPr>
          <w:ilvl w:val="0"/>
          <w:numId w:val="2"/>
        </w:numPr>
        <w:spacing w:after="80"/>
      </w:pPr>
      <w:r>
        <w:t xml:space="preserve">Kim, C. Y., Lee, C. P., Mutlu, B. (2024). Understanding large-language model (LLM)-powered human-robot interaction. Proceedings of the 2024 ACM/IEEE International Conference on Human-Robot Interaction, 371-380. https://doi.org/10.1145/3610977.3634966</w:t>
      </w:r>
    </w:p>
    <w:p>
      <w:pPr>
        <w:pStyle w:val="ListParagraph"/>
        <w:numPr>
          <w:ilvl w:val="0"/>
          <w:numId w:val="2"/>
        </w:numPr>
        <w:spacing w:after="80"/>
      </w:pPr>
      <w:r>
        <w:t xml:space="preserve">Li, Y., Hindriks, K., Kunneman, F. (2024). Single-channel robot ego-speech filtering during human-robot interaction. Proceedings of the 2024 International Symposium on Technological Advances in Human-Robot Interaction (TAHRI 2024), 20-28. https://doi.org/10.1145/3648536.3648539</w:t>
      </w:r>
    </w:p>
    <w:p>
      <w:pPr>
        <w:pStyle w:val="ListParagraph"/>
        <w:numPr>
          <w:ilvl w:val="0"/>
          <w:numId w:val="2"/>
        </w:numPr>
        <w:spacing w:after="80"/>
      </w:pPr>
      <w:r>
        <w:t xml:space="preserve">Mauliana, M., Ashok, A., Czernochowski, D., Berns, K. (2025). Exploring LLM-powered multi-session human-robot interactions with university students. Frontiers in Robotics and AI, 12, 1585589. https://doi.org/10.3389/frobt.2025.1585589</w:t>
      </w:r>
    </w:p>
    <w:p>
      <w:pPr>
        <w:pStyle w:val="ListParagraph"/>
        <w:numPr>
          <w:ilvl w:val="0"/>
          <w:numId w:val="2"/>
        </w:numPr>
        <w:spacing w:after="80"/>
      </w:pPr>
      <w:r>
        <w:t xml:space="preserve">Orel, D., Varol, H. A. (2023). Noise-robust automatic speech recognition for industrial and urban environments. IECON 2023 – 49th Annual Conference of the IEEE Industrial Electronics Society, 1-6. https://doi.org/10.1109/IECON51785.2023.10312708</w:t>
      </w:r>
    </w:p>
    <w:p>
      <w:pPr>
        <w:pStyle w:val="ListParagraph"/>
        <w:numPr>
          <w:ilvl w:val="0"/>
          <w:numId w:val="2"/>
        </w:numPr>
        <w:spacing w:after="80"/>
      </w:pPr>
      <w:r>
        <w:t xml:space="preserve">Pande, A., Mishra, D. (2024). Assessment of Pepper robot's speech recognition system through the lens of machine learning. Biomimetics, 9(7), 391. https://doi.org/10.3390/biomimetics9070391</w:t>
      </w:r>
    </w:p>
    <w:p>
      <w:pPr>
        <w:pStyle w:val="ListParagraph"/>
        <w:numPr>
          <w:ilvl w:val="0"/>
          <w:numId w:val="2"/>
        </w:numPr>
        <w:spacing w:after="80"/>
      </w:pPr>
      <w:r>
        <w:t xml:space="preserve">Papadopoulos, E. G., Rey, D. A. (1996). A new measure of tipover stability margin for mobile manipulators. Proceedings of IEEE International Conference on Robotics and Automation, 4, 3111-3116. https://doi.org/10.1109/ROBOT.1996.509185</w:t>
      </w:r>
    </w:p>
    <w:p>
      <w:pPr>
        <w:pStyle w:val="ListParagraph"/>
        <w:numPr>
          <w:ilvl w:val="0"/>
          <w:numId w:val="2"/>
        </w:numPr>
        <w:spacing w:after="80"/>
      </w:pPr>
      <w:r>
        <w:t xml:space="preserve">Polat, H., Turan, A. K., Koçak, C., Ulaş, H. B. (2024). Implementation of a Whisper architecture-based Turkish automatic speech recognition (ASR) system and evaluation of the effect of fine-tuning with a low-rank adaptation (LoRA) adapter on its performance. Electronics, 13(21), 4227. https://doi.org/10.3390/electronics13214227</w:t>
      </w:r>
    </w:p>
    <w:p>
      <w:pPr>
        <w:pStyle w:val="ListParagraph"/>
        <w:numPr>
          <w:ilvl w:val="0"/>
          <w:numId w:val="2"/>
        </w:numPr>
        <w:spacing w:after="80"/>
      </w:pPr>
      <w:r>
        <w:t xml:space="preserve">Salvini, P., Paez-Granados, D., Billard, A. (2021). On the safety of mobile robots serving in public spaces: Identifying gaps in EN ISO 13482:2014 and calling for a new standard. ACM Transactions on Human-Robot Interaction, 10(3), 1-27. https://doi.org/10.1145/3442678</w:t>
      </w:r>
    </w:p>
    <w:p>
      <w:pPr>
        <w:pStyle w:val="ListParagraph"/>
        <w:numPr>
          <w:ilvl w:val="0"/>
          <w:numId w:val="2"/>
        </w:numPr>
        <w:spacing w:after="80"/>
      </w:pPr>
      <w:r>
        <w:t xml:space="preserve">Seyitoğlu, F., Ivanov, S., Atsız, O., Çifçi, İ. (2021). Robots as restaurant employees – A double-barrelled detective story. Technology in Society, 67, 101779. https://doi.org/10.1016/j.techsoc.2021.101779</w:t>
      </w:r>
    </w:p>
    <w:p>
      <w:pPr>
        <w:pStyle w:val="ListParagraph"/>
        <w:numPr>
          <w:ilvl w:val="0"/>
          <w:numId w:val="2"/>
        </w:numPr>
        <w:spacing w:after="80"/>
      </w:pPr>
      <w:r>
        <w:t xml:space="preserve">Specian, A., Mead, R., Kim, S., Matarić, M., Yim, M. (2022). Quori: A community-informed design of a socially interactive humanoid robot. IEEE Transactions on Robotics, 38(3), 1755-1772. https://doi.org/10.1109/TRO.2021.3111718</w:t>
      </w:r>
    </w:p>
    <w:p>
      <w:pPr>
        <w:pStyle w:val="ListParagraph"/>
        <w:numPr>
          <w:ilvl w:val="0"/>
          <w:numId w:val="2"/>
        </w:numPr>
        <w:spacing w:after="80"/>
      </w:pPr>
      <w:r>
        <w:t xml:space="preserve">Tonkin, M., Vitale, J., Herse, S., Williams, M.-A., Judge, W., Wang, X. (2018). Design methodology for the UX of HRI: A field study of a commercial social robot at an airport. Proceedings of the 2018 ACM/IEEE International Conference on Human-Robot Interaction, 407-415. https://doi.org/10.1145/3171221.3171270</w:t>
      </w:r>
    </w:p>
    <w:p>
      <w:pPr>
        <w:pStyle w:val="ListParagraph"/>
        <w:numPr>
          <w:ilvl w:val="0"/>
          <w:numId w:val="2"/>
        </w:numPr>
        <w:spacing w:after="80"/>
      </w:pPr>
      <w:r>
        <w:t xml:space="preserve">Zhao, T., Kumar, V., Levine, S., Finn, C. (2023). Learning fine-grained bimanual manipulation with low-cost hardware. Robotics: Science and Systems XIX. https://doi.org/10.15607/RSS.2023.XIX.016</w:t>
      </w:r>
    </w:p>
    <w:p>
      <w:pPr>
        <w:spacing w:after="120"/>
      </w:pPr>
      <w:r>
        <w:rPr>
          <w:i/>
          <w:iCs/>
          <w:color w:val="555555"/>
          <w:sz w:val="18"/>
          <w:szCs w:val="18"/>
        </w:rPr>
        <w:t xml:space="preserve">Yedek kaynaklar (doğrulanmış DOI, metinde kullanılmadı): Nakadai vd. 2010 HARK 10.1163/016918610X493561; Marge vd. 2022 10.1016/j.csl.2021.101255; Zhang vd. 2023 10.1016/j.birob.2023.100131; Villani vd. 2018 10.1016/j.mechatronics.2018.02.009; Suguitan ve Hoffman 2019 10.1145/3310356; Kruse vd. 2013 10.1016/j.robot.2013.05.007; Cadene vd. 2026 LeRobot 10.48550/arXiv.2602.22818. Whisper (Radford vd. 2023) yayıncı DOI'si yok, kaynakçaya alınmadı.</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rPr>
      <w:b/>
      <w:bCs/>
      <w:color w:val="1F3864"/>
      <w:sz w:val="26"/>
      <w:szCs w:val="26"/>
    </w:rPr>
  </w:style>
  <w:style w:type="paragraph" w:styleId="Title">
    <w:name w:val="Title"/>
    <w:basedOn w:val="Normal"/>
    <w:next w:val="Normal"/>
    <w:rPr>
      <w:b/>
      <w:bCs/>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 2209-B taslak</dc:title>
  <dc:creator>Efe</dc:creator>
  <cp:lastModifiedBy>Un-named</cp:lastModifiedBy>
  <cp:revision>1</cp:revision>
  <dcterms:created xsi:type="dcterms:W3CDTF">2026-10-20T12:57:39.702Z</dcterms:created>
  <dcterms:modified xsi:type="dcterms:W3CDTF">2026-10-20T12:57:39.703Z</dcterms:modified>
</cp:coreProperties>
</file>

<file path=docProps/custom.xml><?xml version="1.0" encoding="utf-8"?>
<Properties xmlns="http://schemas.openxmlformats.org/officeDocument/2006/custom-properties" xmlns:vt="http://schemas.openxmlformats.org/officeDocument/2006/docPropsVTypes"/>
</file>