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3D86C" w14:textId="4029F22D" w:rsidR="002E02ED" w:rsidRDefault="00635FF2" w:rsidP="007475D9">
      <w:pPr>
        <w:spacing w:line="240" w:lineRule="auto"/>
      </w:pPr>
      <w:r>
        <w:t>Technical Analysis</w:t>
      </w:r>
    </w:p>
    <w:p w14:paraId="06602057" w14:textId="77777777" w:rsidR="00B172CC" w:rsidRDefault="00B172CC" w:rsidP="007475D9">
      <w:pPr>
        <w:pStyle w:val="ListParagraph"/>
        <w:numPr>
          <w:ilvl w:val="0"/>
          <w:numId w:val="14"/>
        </w:numPr>
        <w:spacing w:line="240" w:lineRule="auto"/>
      </w:pPr>
      <w:r>
        <w:t>Understand &amp; comment on the past performances of each stock in your portfolio.</w:t>
      </w:r>
    </w:p>
    <w:p w14:paraId="68ABC35F" w14:textId="2B397D01" w:rsidR="001E6F7C" w:rsidRDefault="002D0D16" w:rsidP="007475D9">
      <w:pPr>
        <w:spacing w:line="240" w:lineRule="auto"/>
        <w:rPr>
          <w:b/>
          <w:bCs/>
        </w:rPr>
      </w:pPr>
      <w:r>
        <w:rPr>
          <w:b/>
          <w:bCs/>
        </w:rPr>
        <w:t xml:space="preserve">Portfolio </w:t>
      </w:r>
      <w:r w:rsidR="00C7269C">
        <w:rPr>
          <w:b/>
          <w:bCs/>
        </w:rPr>
        <w:t>Daily Returns</w:t>
      </w:r>
    </w:p>
    <w:p w14:paraId="29144898" w14:textId="1EF6AA89" w:rsidR="00C7269C" w:rsidRDefault="00FB1E5E" w:rsidP="007475D9">
      <w:pPr>
        <w:spacing w:line="240" w:lineRule="auto"/>
        <w:jc w:val="center"/>
        <w:rPr>
          <w:b/>
          <w:bCs/>
        </w:rPr>
      </w:pPr>
      <w:r>
        <w:rPr>
          <w:b/>
          <w:bCs/>
          <w:noProof/>
        </w:rPr>
        <w:drawing>
          <wp:inline distT="0" distB="0" distL="0" distR="0" wp14:anchorId="5575BF58" wp14:editId="205C30B4">
            <wp:extent cx="5430741" cy="2766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9319" cy="2770611"/>
                    </a:xfrm>
                    <a:prstGeom prst="rect">
                      <a:avLst/>
                    </a:prstGeom>
                    <a:noFill/>
                    <a:ln>
                      <a:noFill/>
                    </a:ln>
                  </pic:spPr>
                </pic:pic>
              </a:graphicData>
            </a:graphic>
          </wp:inline>
        </w:drawing>
      </w:r>
    </w:p>
    <w:p w14:paraId="20730841" w14:textId="12150307" w:rsidR="001E6F7C" w:rsidRDefault="001E6F7C" w:rsidP="007475D9">
      <w:pPr>
        <w:spacing w:line="240" w:lineRule="auto"/>
        <w:rPr>
          <w:b/>
          <w:bCs/>
        </w:rPr>
      </w:pPr>
      <w:r>
        <w:rPr>
          <w:b/>
          <w:bCs/>
        </w:rPr>
        <w:t>Overall Trends</w:t>
      </w:r>
    </w:p>
    <w:p w14:paraId="4B21E568" w14:textId="70B55D27" w:rsidR="006F3A6E" w:rsidRPr="006F3A6E" w:rsidRDefault="006F3A6E" w:rsidP="007475D9">
      <w:pPr>
        <w:spacing w:line="240" w:lineRule="auto"/>
      </w:pPr>
      <w:r>
        <w:t>To see how our stocks have performed relative to the overall market</w:t>
      </w:r>
      <w:r w:rsidR="007A751B">
        <w:t xml:space="preserve"> and to perhaps </w:t>
      </w:r>
      <w:r w:rsidR="00CB4917">
        <w:t xml:space="preserve">help understand </w:t>
      </w:r>
      <w:r w:rsidR="007A751B">
        <w:t>trends</w:t>
      </w:r>
      <w:r>
        <w:t xml:space="preserve">, we plotted the ETF ‘IVV’, which follows the S&amp;P 500. </w:t>
      </w:r>
    </w:p>
    <w:p w14:paraId="31C37541" w14:textId="41FD53AB" w:rsidR="006F3A6E" w:rsidRDefault="006F3A6E" w:rsidP="007475D9">
      <w:pPr>
        <w:spacing w:line="240" w:lineRule="auto"/>
        <w:jc w:val="center"/>
      </w:pPr>
      <w:r>
        <w:rPr>
          <w:b/>
          <w:bCs/>
          <w:noProof/>
        </w:rPr>
        <w:drawing>
          <wp:inline distT="0" distB="0" distL="0" distR="0" wp14:anchorId="67423881" wp14:editId="70BD3BFD">
            <wp:extent cx="5255812" cy="2779051"/>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224" cy="2788786"/>
                    </a:xfrm>
                    <a:prstGeom prst="rect">
                      <a:avLst/>
                    </a:prstGeom>
                    <a:noFill/>
                    <a:ln>
                      <a:noFill/>
                    </a:ln>
                  </pic:spPr>
                </pic:pic>
              </a:graphicData>
            </a:graphic>
          </wp:inline>
        </w:drawing>
      </w:r>
    </w:p>
    <w:p w14:paraId="3A135A4C" w14:textId="19E45C0B" w:rsidR="00333C4E" w:rsidRDefault="001E6F7C" w:rsidP="007475D9">
      <w:pPr>
        <w:spacing w:line="240" w:lineRule="auto"/>
        <w:jc w:val="center"/>
      </w:pPr>
      <w:r>
        <w:rPr>
          <w:noProof/>
        </w:rPr>
        <w:lastRenderedPageBreak/>
        <w:drawing>
          <wp:inline distT="0" distB="0" distL="0" distR="0" wp14:anchorId="15221938" wp14:editId="3C2C512A">
            <wp:extent cx="5072932" cy="26894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0712" cy="2709431"/>
                    </a:xfrm>
                    <a:prstGeom prst="rect">
                      <a:avLst/>
                    </a:prstGeom>
                    <a:noFill/>
                    <a:ln>
                      <a:noFill/>
                    </a:ln>
                  </pic:spPr>
                </pic:pic>
              </a:graphicData>
            </a:graphic>
          </wp:inline>
        </w:drawing>
      </w:r>
    </w:p>
    <w:p w14:paraId="62B04E6F" w14:textId="06BE2F2A" w:rsidR="00F24902" w:rsidRDefault="00F24902" w:rsidP="007475D9">
      <w:pPr>
        <w:spacing w:after="240" w:line="240" w:lineRule="auto"/>
        <w:rPr>
          <w:rFonts w:eastAsia="Times New Roman" w:cstheme="minorHAnsi"/>
          <w:b/>
          <w:bCs/>
          <w:color w:val="000000" w:themeColor="text1"/>
          <w:sz w:val="21"/>
          <w:szCs w:val="21"/>
          <w:lang w:eastAsia="en-CA"/>
        </w:rPr>
      </w:pPr>
      <w:r w:rsidRPr="00F24902">
        <w:rPr>
          <w:rFonts w:eastAsia="Times New Roman" w:cstheme="minorHAnsi"/>
          <w:b/>
          <w:bCs/>
          <w:color w:val="000000" w:themeColor="text1"/>
          <w:sz w:val="21"/>
          <w:szCs w:val="21"/>
          <w:lang w:eastAsia="en-CA"/>
        </w:rPr>
        <w:t>Group Performance</w:t>
      </w:r>
      <w:r>
        <w:rPr>
          <w:rFonts w:eastAsia="Times New Roman" w:cstheme="minorHAnsi"/>
          <w:b/>
          <w:bCs/>
          <w:color w:val="000000" w:themeColor="text1"/>
          <w:sz w:val="21"/>
          <w:szCs w:val="21"/>
          <w:lang w:eastAsia="en-CA"/>
        </w:rPr>
        <w:t xml:space="preserve"> – Relative to S&amp;P 500</w:t>
      </w:r>
    </w:p>
    <w:p w14:paraId="49241960" w14:textId="3AE68B8A" w:rsidR="00633601" w:rsidRPr="00F24902" w:rsidRDefault="00633601" w:rsidP="007475D9">
      <w:pPr>
        <w:spacing w:after="240" w:line="240" w:lineRule="auto"/>
        <w:jc w:val="center"/>
        <w:rPr>
          <w:rFonts w:eastAsia="Times New Roman" w:cstheme="minorHAnsi"/>
          <w:b/>
          <w:bCs/>
          <w:color w:val="000000" w:themeColor="text1"/>
          <w:sz w:val="21"/>
          <w:szCs w:val="21"/>
          <w:lang w:eastAsia="en-CA"/>
        </w:rPr>
      </w:pPr>
      <w:r>
        <w:rPr>
          <w:rFonts w:eastAsia="Times New Roman" w:cstheme="minorHAnsi"/>
          <w:b/>
          <w:bCs/>
          <w:noProof/>
          <w:color w:val="000000" w:themeColor="text1"/>
          <w:sz w:val="21"/>
          <w:szCs w:val="21"/>
          <w:lang w:eastAsia="en-CA"/>
        </w:rPr>
        <w:drawing>
          <wp:inline distT="0" distB="0" distL="0" distR="0" wp14:anchorId="337F3CD2" wp14:editId="2AF4489E">
            <wp:extent cx="4842344" cy="24180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1723" cy="2432736"/>
                    </a:xfrm>
                    <a:prstGeom prst="rect">
                      <a:avLst/>
                    </a:prstGeom>
                    <a:noFill/>
                    <a:ln>
                      <a:noFill/>
                    </a:ln>
                  </pic:spPr>
                </pic:pic>
              </a:graphicData>
            </a:graphic>
          </wp:inline>
        </w:drawing>
      </w:r>
    </w:p>
    <w:p w14:paraId="0E30220E" w14:textId="0F8B6DA8" w:rsidR="00165933" w:rsidRDefault="00D95936" w:rsidP="007475D9">
      <w:pPr>
        <w:pStyle w:val="ListParagraph"/>
        <w:numPr>
          <w:ilvl w:val="0"/>
          <w:numId w:val="18"/>
        </w:numPr>
        <w:spacing w:line="240" w:lineRule="auto"/>
      </w:pPr>
      <w:r>
        <w:t>EL</w:t>
      </w:r>
      <w:r w:rsidR="00165933">
        <w:t xml:space="preserve"> and </w:t>
      </w:r>
      <w:r>
        <w:t>EA experience a similar drop in stock price around the same time in Feb 2018. This month was one of Wall Street's wildest months since 2008</w:t>
      </w:r>
      <w:r w:rsidR="005C581F">
        <w:t xml:space="preserve"> (though of course, prior to </w:t>
      </w:r>
      <w:proofErr w:type="spellStart"/>
      <w:r w:rsidR="005C581F">
        <w:t>CovidCrash</w:t>
      </w:r>
      <w:proofErr w:type="spellEnd"/>
      <w:r w:rsidR="005C581F">
        <w:t>)</w:t>
      </w:r>
      <w:r>
        <w:t xml:space="preserve">. </w:t>
      </w:r>
      <w:r w:rsidR="005C581F">
        <w:t>Amidst the Eurozone Deb</w:t>
      </w:r>
      <w:r w:rsidR="00170E96">
        <w:t>t</w:t>
      </w:r>
      <w:r w:rsidR="005C581F">
        <w:t xml:space="preserve"> Crisis in February of 2018, </w:t>
      </w:r>
      <w:r>
        <w:t xml:space="preserve">the Dow plummeted 12%, in just two weeks. Likely, this was due to the spiking bond rates that were pricing in the threat of inflation. Investors suddenly became worried that the Federal Reserve would raise interest rates because the recent massive tax cuts could overheat the already-flush economy. Also, the post-election surge had left stocks relatively expensive — and vulnerable to a sharp pullback. </w:t>
      </w:r>
    </w:p>
    <w:p w14:paraId="360E700E" w14:textId="16983443" w:rsidR="00165933" w:rsidRPr="00512A80" w:rsidRDefault="00D95936" w:rsidP="007475D9">
      <w:pPr>
        <w:pStyle w:val="ListParagraph"/>
        <w:numPr>
          <w:ilvl w:val="0"/>
          <w:numId w:val="18"/>
        </w:numPr>
        <w:spacing w:after="0" w:line="240" w:lineRule="auto"/>
      </w:pPr>
      <w:r w:rsidRPr="00512A80">
        <w:t xml:space="preserve">EL and </w:t>
      </w:r>
      <w:r w:rsidR="00165933" w:rsidRPr="00512A80">
        <w:t xml:space="preserve">EA </w:t>
      </w:r>
      <w:r w:rsidRPr="00512A80">
        <w:t>all experience a similar drop in stock price around the same time in May 2018</w:t>
      </w:r>
      <w:r w:rsidR="004715F0" w:rsidRPr="00512A80">
        <w:t>, alongside the Dow falling 1.58%</w:t>
      </w:r>
      <w:r w:rsidR="000022A0" w:rsidRPr="00512A80">
        <w:t xml:space="preserve"> amid </w:t>
      </w:r>
      <w:r w:rsidRPr="00512A80">
        <w:t xml:space="preserve">political turmoil in Italy that sent the </w:t>
      </w:r>
      <w:r w:rsidR="000022A0" w:rsidRPr="00512A80">
        <w:t>E</w:t>
      </w:r>
      <w:r w:rsidRPr="00512A80">
        <w:t xml:space="preserve">uro tumbling and ongoing difficult trade talks with China. </w:t>
      </w:r>
    </w:p>
    <w:p w14:paraId="65017BD1" w14:textId="7DC56C54" w:rsidR="00165933" w:rsidRPr="00512A80" w:rsidRDefault="00D95936" w:rsidP="007475D9">
      <w:pPr>
        <w:pStyle w:val="ListParagraph"/>
        <w:numPr>
          <w:ilvl w:val="0"/>
          <w:numId w:val="18"/>
        </w:numPr>
        <w:spacing w:after="0" w:line="240" w:lineRule="auto"/>
      </w:pPr>
      <w:r w:rsidRPr="00512A80">
        <w:t>EL</w:t>
      </w:r>
      <w:r w:rsidR="00165933" w:rsidRPr="00512A80">
        <w:t xml:space="preserve"> and </w:t>
      </w:r>
      <w:r w:rsidRPr="00512A80">
        <w:t>EA</w:t>
      </w:r>
      <w:r w:rsidR="00165933" w:rsidRPr="00512A80">
        <w:t xml:space="preserve"> e</w:t>
      </w:r>
      <w:r w:rsidRPr="00512A80">
        <w:t xml:space="preserve">xperience a similar drop in stock price around the same time in December 2018. The Dow and S&amp;P 500 </w:t>
      </w:r>
      <w:r w:rsidR="000B252E" w:rsidRPr="00512A80">
        <w:t>r</w:t>
      </w:r>
      <w:r w:rsidRPr="00512A80">
        <w:t xml:space="preserve">ecorded their worst December performance since 1931 and their biggest monthly loss since February 2009. During the month, investors dumped stocks amid concerns of </w:t>
      </w:r>
      <w:r w:rsidRPr="00512A80">
        <w:lastRenderedPageBreak/>
        <w:t>an economic slowdown and fears that the federal reserve might be making a monetary policy mistake.</w:t>
      </w:r>
    </w:p>
    <w:p w14:paraId="5541C57B" w14:textId="77777777" w:rsidR="00512A80" w:rsidRPr="00512A80" w:rsidRDefault="00512A80" w:rsidP="007475D9">
      <w:pPr>
        <w:numPr>
          <w:ilvl w:val="0"/>
          <w:numId w:val="18"/>
        </w:numPr>
        <w:spacing w:after="0" w:line="240" w:lineRule="auto"/>
        <w:rPr>
          <w:rFonts w:eastAsia="Times New Roman" w:cstheme="minorHAnsi"/>
          <w:color w:val="000000" w:themeColor="text1"/>
          <w:lang w:eastAsia="en-CA"/>
        </w:rPr>
      </w:pPr>
      <w:r w:rsidRPr="00512A80">
        <w:rPr>
          <w:rFonts w:eastAsia="Times New Roman" w:cstheme="minorHAnsi"/>
          <w:color w:val="000000" w:themeColor="text1"/>
          <w:lang w:eastAsia="en-CA"/>
        </w:rPr>
        <w:t xml:space="preserve">The S&amp;P 500 has a big dip from September through to January 2019. The latter quarter of 2018 was tumultuous for the stock market, the first time ever the S&amp;P posted a decline after rising the first three quarters; in fact, relative to the previous 3 years, all of 2018 was quite volatile for the whole stock market, characterized by record highs and sharp reversals. </w:t>
      </w:r>
    </w:p>
    <w:p w14:paraId="19D9D80A" w14:textId="1564672E" w:rsidR="00512A80" w:rsidRDefault="00512A80" w:rsidP="007475D9">
      <w:pPr>
        <w:numPr>
          <w:ilvl w:val="0"/>
          <w:numId w:val="18"/>
        </w:numPr>
        <w:spacing w:after="0" w:line="240" w:lineRule="auto"/>
        <w:rPr>
          <w:rFonts w:eastAsia="Times New Roman" w:cstheme="minorHAnsi"/>
          <w:color w:val="000000" w:themeColor="text1"/>
          <w:lang w:eastAsia="en-CA"/>
        </w:rPr>
      </w:pPr>
      <w:r w:rsidRPr="00512A80">
        <w:rPr>
          <w:rFonts w:eastAsia="Times New Roman" w:cstheme="minorHAnsi"/>
          <w:color w:val="000000" w:themeColor="text1"/>
          <w:lang w:eastAsia="en-CA"/>
        </w:rPr>
        <w:t xml:space="preserve">Our portfolio of stocks took a </w:t>
      </w:r>
      <w:r w:rsidRPr="001E6F7C">
        <w:rPr>
          <w:rFonts w:eastAsia="Times New Roman" w:cstheme="minorHAnsi"/>
          <w:color w:val="000000" w:themeColor="text1"/>
          <w:lang w:eastAsia="en-CA"/>
        </w:rPr>
        <w:t xml:space="preserve">big </w:t>
      </w:r>
      <w:r w:rsidRPr="00512A80">
        <w:rPr>
          <w:rFonts w:eastAsia="Times New Roman" w:cstheme="minorHAnsi"/>
          <w:color w:val="000000" w:themeColor="text1"/>
          <w:lang w:eastAsia="en-CA"/>
        </w:rPr>
        <w:t>dip</w:t>
      </w:r>
      <w:r w:rsidRPr="001E6F7C">
        <w:rPr>
          <w:rFonts w:eastAsia="Times New Roman" w:cstheme="minorHAnsi"/>
          <w:color w:val="000000" w:themeColor="text1"/>
          <w:lang w:eastAsia="en-CA"/>
        </w:rPr>
        <w:t xml:space="preserve"> after </w:t>
      </w:r>
      <w:r w:rsidRPr="00512A80">
        <w:rPr>
          <w:rFonts w:eastAsia="Times New Roman" w:cstheme="minorHAnsi"/>
          <w:color w:val="000000" w:themeColor="text1"/>
          <w:lang w:eastAsia="en-CA"/>
        </w:rPr>
        <w:t xml:space="preserve">oil crashed concurrently with </w:t>
      </w:r>
      <w:r w:rsidRPr="001E6F7C">
        <w:rPr>
          <w:rFonts w:eastAsia="Times New Roman" w:cstheme="minorHAnsi"/>
          <w:color w:val="000000" w:themeColor="text1"/>
          <w:lang w:eastAsia="en-CA"/>
        </w:rPr>
        <w:t xml:space="preserve">Coronavirus </w:t>
      </w:r>
      <w:r w:rsidRPr="00512A80">
        <w:rPr>
          <w:rFonts w:eastAsia="Times New Roman" w:cstheme="minorHAnsi"/>
          <w:color w:val="000000" w:themeColor="text1"/>
          <w:lang w:eastAsia="en-CA"/>
        </w:rPr>
        <w:t>hitting</w:t>
      </w:r>
      <w:r w:rsidRPr="001E6F7C">
        <w:rPr>
          <w:rFonts w:eastAsia="Times New Roman" w:cstheme="minorHAnsi"/>
          <w:color w:val="000000" w:themeColor="text1"/>
          <w:lang w:eastAsia="en-CA"/>
        </w:rPr>
        <w:t>, around March 2020</w:t>
      </w:r>
      <w:r w:rsidRPr="00512A80">
        <w:rPr>
          <w:rFonts w:eastAsia="Times New Roman" w:cstheme="minorHAnsi"/>
          <w:color w:val="000000" w:themeColor="text1"/>
          <w:lang w:eastAsia="en-CA"/>
        </w:rPr>
        <w:t xml:space="preserve">. EL seems to have taken the biggest dip. After bottoming out, they all tentatively seem to be starting to bounce back as of early April 2020. </w:t>
      </w:r>
    </w:p>
    <w:p w14:paraId="47D71193" w14:textId="77777777" w:rsidR="00FF1DB3" w:rsidRPr="00512A80" w:rsidRDefault="00FF1DB3" w:rsidP="007475D9">
      <w:pPr>
        <w:spacing w:after="0" w:line="240" w:lineRule="auto"/>
        <w:ind w:left="720"/>
        <w:rPr>
          <w:rFonts w:eastAsia="Times New Roman" w:cstheme="minorHAnsi"/>
          <w:color w:val="000000" w:themeColor="text1"/>
          <w:lang w:eastAsia="en-CA"/>
        </w:rPr>
      </w:pPr>
    </w:p>
    <w:p w14:paraId="1849AD76" w14:textId="351229D2" w:rsidR="00B172CC" w:rsidRDefault="00496E44" w:rsidP="007475D9">
      <w:pPr>
        <w:spacing w:line="240" w:lineRule="auto"/>
      </w:pPr>
      <w:r>
        <w:rPr>
          <w:b/>
          <w:bCs/>
        </w:rPr>
        <w:t>ENPH past performance</w:t>
      </w:r>
    </w:p>
    <w:p w14:paraId="508123EA" w14:textId="354EA8A7" w:rsidR="00496E44" w:rsidRDefault="00496E44" w:rsidP="007475D9">
      <w:pPr>
        <w:pStyle w:val="NormalWeb"/>
        <w:spacing w:before="0" w:beforeAutospacing="0" w:after="0" w:afterAutospacing="0"/>
        <w:rPr>
          <w:rFonts w:ascii="Calibri" w:hAnsi="Calibri" w:cs="Calibri"/>
          <w:sz w:val="22"/>
          <w:szCs w:val="22"/>
        </w:rPr>
      </w:pPr>
      <w:r>
        <w:rPr>
          <w:rFonts w:ascii="Calibri" w:hAnsi="Calibri" w:cs="Calibri"/>
          <w:sz w:val="22"/>
          <w:szCs w:val="22"/>
        </w:rPr>
        <w:t>ENPH: Enphase Energy Inc., Solar Microinverter Company</w:t>
      </w:r>
      <w:r w:rsidR="006663ED">
        <w:rPr>
          <w:rFonts w:ascii="Calibri" w:hAnsi="Calibri" w:cs="Calibri"/>
          <w:sz w:val="22"/>
          <w:szCs w:val="22"/>
        </w:rPr>
        <w:t xml:space="preserve">, the world’s leading supplier of solar microinverters. </w:t>
      </w:r>
    </w:p>
    <w:p w14:paraId="7D938B97" w14:textId="205F1C3D" w:rsidR="002D0D16" w:rsidRDefault="002D0D16" w:rsidP="007475D9">
      <w:pPr>
        <w:pStyle w:val="NormalWeb"/>
        <w:spacing w:before="0" w:beforeAutospacing="0" w:after="0" w:afterAutospacing="0"/>
        <w:rPr>
          <w:rFonts w:ascii="Calibri" w:hAnsi="Calibri" w:cs="Calibri"/>
          <w:sz w:val="22"/>
          <w:szCs w:val="22"/>
        </w:rPr>
      </w:pPr>
    </w:p>
    <w:p w14:paraId="7BCB17B7" w14:textId="04A6EC07" w:rsidR="002D0D16" w:rsidRDefault="0037334C" w:rsidP="007475D9">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2FEB1967" wp14:editId="1EFA554B">
            <wp:extent cx="5995035" cy="301371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5035" cy="3013710"/>
                    </a:xfrm>
                    <a:prstGeom prst="rect">
                      <a:avLst/>
                    </a:prstGeom>
                    <a:noFill/>
                    <a:ln>
                      <a:noFill/>
                    </a:ln>
                  </pic:spPr>
                </pic:pic>
              </a:graphicData>
            </a:graphic>
          </wp:inline>
        </w:drawing>
      </w:r>
    </w:p>
    <w:p w14:paraId="054B96C3" w14:textId="77777777" w:rsidR="00496E44" w:rsidRDefault="00496E44" w:rsidP="007475D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C816ED" w14:textId="59A7D444" w:rsidR="00D70A08" w:rsidRPr="00D70A08" w:rsidRDefault="00D70A08" w:rsidP="007475D9">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 xml:space="preserve">Late 2016, ENPH introduced its new energy storage products to the market. Their systems are </w:t>
      </w:r>
      <w:r w:rsidR="004715F0">
        <w:rPr>
          <w:rFonts w:ascii="Calibri" w:hAnsi="Calibri" w:cs="Calibri"/>
          <w:sz w:val="22"/>
          <w:szCs w:val="22"/>
        </w:rPr>
        <w:t>flexible and</w:t>
      </w:r>
      <w:r>
        <w:rPr>
          <w:rFonts w:ascii="Calibri" w:hAnsi="Calibri" w:cs="Calibri"/>
          <w:sz w:val="22"/>
          <w:szCs w:val="22"/>
        </w:rPr>
        <w:t xml:space="preserve"> </w:t>
      </w:r>
      <w:r w:rsidR="00B0387D">
        <w:rPr>
          <w:rFonts w:ascii="Calibri" w:hAnsi="Calibri" w:cs="Calibri"/>
          <w:sz w:val="22"/>
          <w:szCs w:val="22"/>
        </w:rPr>
        <w:t>can</w:t>
      </w:r>
      <w:r>
        <w:rPr>
          <w:rFonts w:ascii="Calibri" w:hAnsi="Calibri" w:cs="Calibri"/>
          <w:sz w:val="22"/>
          <w:szCs w:val="22"/>
        </w:rPr>
        <w:t xml:space="preserve"> pair with non-Enphase energy storage systems. </w:t>
      </w:r>
    </w:p>
    <w:p w14:paraId="3FE366A5" w14:textId="7816244A" w:rsidR="00496E44" w:rsidRDefault="00496E44" w:rsidP="007475D9">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Overall growth is a result of the increased demand for their innovation of solar microinverters and higher AC module shipments. AC modules are a unique blend of microinverter and photovoltaics that are time- and cost-efficient. Enphase invented the microinverters, which converts DC power captured in a panel from sunlight to AC power. Since the solar industry is expected to grow, there’s huge growth potential ahead for Enphase Energy—the key technology provider for panel makers.</w:t>
      </w:r>
    </w:p>
    <w:p w14:paraId="2D9D69E3" w14:textId="77777777" w:rsidR="00496E44" w:rsidRDefault="00496E44" w:rsidP="007475D9">
      <w:pPr>
        <w:pStyle w:val="NormalWeb"/>
        <w:numPr>
          <w:ilvl w:val="0"/>
          <w:numId w:val="16"/>
        </w:numPr>
        <w:spacing w:before="0" w:beforeAutospacing="0" w:after="0" w:afterAutospacing="0"/>
        <w:rPr>
          <w:rFonts w:ascii="Calibri" w:hAnsi="Calibri" w:cs="Calibri"/>
          <w:sz w:val="22"/>
          <w:szCs w:val="22"/>
        </w:rPr>
      </w:pPr>
      <w:r w:rsidRPr="00496E44">
        <w:rPr>
          <w:rFonts w:ascii="Calibri" w:hAnsi="Calibri" w:cs="Calibri"/>
          <w:sz w:val="22"/>
          <w:szCs w:val="22"/>
        </w:rPr>
        <w:t>ENPH turned profitable in Q4 of 2018. Their new product lineup and latest-generation IQ 7 microinverters revolutionize the industry. They overcame an industry-wide component shortage of high-voltage transistors (due to increase in demand for electric vehicle charging equipment, which uses the same component) by signing new suppliers. The component undersupply had eaten into their revenues previously</w:t>
      </w:r>
      <w:r>
        <w:rPr>
          <w:rFonts w:ascii="Calibri" w:hAnsi="Calibri" w:cs="Calibri"/>
          <w:sz w:val="22"/>
          <w:szCs w:val="22"/>
        </w:rPr>
        <w:t>.</w:t>
      </w:r>
    </w:p>
    <w:p w14:paraId="329B6206" w14:textId="0993CE5C" w:rsidR="00496E44" w:rsidRPr="006663ED" w:rsidRDefault="006663ED" w:rsidP="007475D9">
      <w:pPr>
        <w:pStyle w:val="NormalWeb"/>
        <w:numPr>
          <w:ilvl w:val="0"/>
          <w:numId w:val="16"/>
        </w:numPr>
        <w:spacing w:before="0" w:beforeAutospacing="0" w:after="0" w:afterAutospacing="0"/>
        <w:rPr>
          <w:rFonts w:ascii="Calibri" w:hAnsi="Calibri" w:cs="Calibri"/>
          <w:sz w:val="22"/>
          <w:szCs w:val="22"/>
        </w:rPr>
      </w:pPr>
      <w:r w:rsidRPr="006663ED">
        <w:rPr>
          <w:rFonts w:ascii="Calibri" w:hAnsi="Calibri" w:cs="Calibri"/>
          <w:sz w:val="22"/>
          <w:szCs w:val="22"/>
        </w:rPr>
        <w:lastRenderedPageBreak/>
        <w:t>For the first half of 2019, ENPH had massive operating performance, posting massive revenues and profits</w:t>
      </w:r>
      <w:r>
        <w:rPr>
          <w:rFonts w:ascii="Calibri" w:hAnsi="Calibri" w:cs="Calibri"/>
          <w:sz w:val="22"/>
          <w:szCs w:val="22"/>
        </w:rPr>
        <w:t xml:space="preserve">, with a sharp surge </w:t>
      </w:r>
      <w:r w:rsidRPr="006663ED">
        <w:rPr>
          <w:rFonts w:ascii="Calibri" w:hAnsi="Calibri" w:cs="Calibri"/>
          <w:sz w:val="22"/>
          <w:szCs w:val="22"/>
        </w:rPr>
        <w:t xml:space="preserve">July-Aug 2019 (Q2 2019). </w:t>
      </w:r>
      <w:r w:rsidR="00496E44" w:rsidRPr="006663ED">
        <w:rPr>
          <w:rFonts w:ascii="Calibri" w:hAnsi="Calibri" w:cs="Calibri"/>
          <w:sz w:val="22"/>
          <w:szCs w:val="22"/>
        </w:rPr>
        <w:t>They no longer face competition from Chinese Microinverter company Huawei; this was their 3rd straight profitable quarter. Their projections of net income in 2019 10x that of 2018.  Q2 2019 operating results blew past expectations from analysts and even executives. The stock price climbed by more in a single day than it had been worth at the beginning of the year.</w:t>
      </w:r>
    </w:p>
    <w:p w14:paraId="3C7C8AA8" w14:textId="79372A56" w:rsidR="00496E44" w:rsidRDefault="00496E44" w:rsidP="007475D9">
      <w:pPr>
        <w:pStyle w:val="NormalWeb"/>
        <w:numPr>
          <w:ilvl w:val="0"/>
          <w:numId w:val="16"/>
        </w:numPr>
        <w:spacing w:before="0" w:beforeAutospacing="0" w:after="0" w:afterAutospacing="0"/>
        <w:rPr>
          <w:rFonts w:ascii="Calibri" w:hAnsi="Calibri" w:cs="Calibri"/>
          <w:sz w:val="22"/>
          <w:szCs w:val="22"/>
        </w:rPr>
      </w:pPr>
      <w:r w:rsidRPr="00496E44">
        <w:rPr>
          <w:rFonts w:ascii="Calibri" w:hAnsi="Calibri" w:cs="Calibri"/>
          <w:sz w:val="22"/>
          <w:szCs w:val="22"/>
        </w:rPr>
        <w:t xml:space="preserve">Sharp drop Sept 2019, then again October. </w:t>
      </w:r>
      <w:r>
        <w:rPr>
          <w:rFonts w:ascii="Calibri" w:hAnsi="Calibri" w:cs="Calibri"/>
          <w:sz w:val="22"/>
          <w:szCs w:val="22"/>
        </w:rPr>
        <w:t>They ha</w:t>
      </w:r>
      <w:r w:rsidRPr="00496E44">
        <w:rPr>
          <w:rFonts w:ascii="Calibri" w:hAnsi="Calibri" w:cs="Calibri"/>
          <w:sz w:val="22"/>
          <w:szCs w:val="22"/>
        </w:rPr>
        <w:t>d posted a 600% year-to-date gain before this plunge, was due for a correction</w:t>
      </w:r>
      <w:r>
        <w:rPr>
          <w:rFonts w:ascii="Calibri" w:hAnsi="Calibri" w:cs="Calibri"/>
          <w:sz w:val="22"/>
          <w:szCs w:val="22"/>
        </w:rPr>
        <w:t xml:space="preserve">. </w:t>
      </w:r>
    </w:p>
    <w:p w14:paraId="6600BFB5" w14:textId="45C7819C" w:rsidR="00782A32" w:rsidRDefault="00782A32" w:rsidP="007475D9">
      <w:pPr>
        <w:pStyle w:val="NormalWeb"/>
        <w:numPr>
          <w:ilvl w:val="0"/>
          <w:numId w:val="16"/>
        </w:numPr>
        <w:spacing w:before="0" w:beforeAutospacing="0" w:after="0" w:afterAutospacing="0"/>
      </w:pPr>
      <w:r w:rsidRPr="00782A32">
        <w:rPr>
          <w:rFonts w:ascii="Calibri" w:hAnsi="Calibri" w:cs="Calibri"/>
          <w:sz w:val="22"/>
          <w:szCs w:val="22"/>
        </w:rPr>
        <w:t xml:space="preserve">In May 2019, ENPH announces they will release in mid 2020 their next-gen microinverter, IQ8, a ‘grid-agnostic’ ensemble system. This tech will be the </w:t>
      </w:r>
      <w:r>
        <w:rPr>
          <w:rFonts w:ascii="Calibri" w:hAnsi="Calibri" w:cs="Calibri"/>
          <w:sz w:val="22"/>
          <w:szCs w:val="22"/>
        </w:rPr>
        <w:t>building block for their company’s larger product ecosystem</w:t>
      </w:r>
      <w:r>
        <w:t>.</w:t>
      </w:r>
    </w:p>
    <w:p w14:paraId="2EEAB300" w14:textId="7B9A356E" w:rsidR="004715F0" w:rsidRDefault="004715F0" w:rsidP="007475D9">
      <w:pPr>
        <w:pStyle w:val="NormalWeb"/>
        <w:numPr>
          <w:ilvl w:val="0"/>
          <w:numId w:val="16"/>
        </w:numPr>
        <w:spacing w:before="0" w:beforeAutospacing="0" w:after="0" w:afterAutospacing="0"/>
      </w:pPr>
      <w:r>
        <w:t xml:space="preserve">ENPH stock price plunged last quarter of 2019 since other alternative sources of energy like natural gases went down, leaving homeowners with cheaper alternative sources of energy.  </w:t>
      </w:r>
    </w:p>
    <w:p w14:paraId="27EAE2B7" w14:textId="08ABB969" w:rsidR="00496E44" w:rsidRDefault="00496E44" w:rsidP="007475D9">
      <w:pPr>
        <w:pStyle w:val="NormalWeb"/>
        <w:numPr>
          <w:ilvl w:val="0"/>
          <w:numId w:val="16"/>
        </w:numPr>
        <w:spacing w:before="0" w:beforeAutospacing="0" w:after="0" w:afterAutospacing="0"/>
        <w:rPr>
          <w:rFonts w:ascii="Calibri" w:hAnsi="Calibri" w:cs="Calibri"/>
          <w:sz w:val="22"/>
          <w:szCs w:val="22"/>
        </w:rPr>
      </w:pPr>
      <w:r w:rsidRPr="00496E44">
        <w:rPr>
          <w:rFonts w:ascii="Calibri" w:hAnsi="Calibri" w:cs="Calibri"/>
          <w:sz w:val="22"/>
          <w:szCs w:val="22"/>
        </w:rPr>
        <w:t>Steady increase Dec 2019, leading into a huge surge through Apr 20</w:t>
      </w:r>
      <w:r w:rsidR="004F20AA">
        <w:rPr>
          <w:rFonts w:ascii="Calibri" w:hAnsi="Calibri" w:cs="Calibri"/>
          <w:sz w:val="22"/>
          <w:szCs w:val="22"/>
        </w:rPr>
        <w:t>19</w:t>
      </w:r>
      <w:r w:rsidRPr="00496E44">
        <w:rPr>
          <w:rFonts w:ascii="Calibri" w:hAnsi="Calibri" w:cs="Calibri"/>
          <w:sz w:val="22"/>
          <w:szCs w:val="22"/>
        </w:rPr>
        <w:t xml:space="preserve">.  ENPH signs a strategic supply agreement with Sunrun Inc., the nation’s leading home solar, battery storage and energy services company, to bundle its IQ7 microinverter with Sunrun's residential solar solutions. </w:t>
      </w:r>
      <w:r>
        <w:rPr>
          <w:rFonts w:ascii="Calibri" w:hAnsi="Calibri" w:cs="Calibri"/>
          <w:sz w:val="22"/>
          <w:szCs w:val="22"/>
        </w:rPr>
        <w:t>E</w:t>
      </w:r>
      <w:r w:rsidRPr="00496E44">
        <w:rPr>
          <w:rFonts w:ascii="Calibri" w:hAnsi="Calibri" w:cs="Calibri"/>
          <w:sz w:val="22"/>
          <w:szCs w:val="22"/>
        </w:rPr>
        <w:t xml:space="preserve">NPH microinverters account for 98% of all microinverters shipped. </w:t>
      </w:r>
    </w:p>
    <w:p w14:paraId="3EF4B64E" w14:textId="5BC12AB0" w:rsidR="00FD53E1" w:rsidRDefault="00FD53E1" w:rsidP="007475D9">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 xml:space="preserve">Over the past 3 years, EPH has experienced growth in revenue, profit, and operational cash flow, setting them apart from many renewable companies. </w:t>
      </w:r>
    </w:p>
    <w:p w14:paraId="788EA013" w14:textId="068787CD" w:rsidR="00CC7BAF" w:rsidRDefault="00CC7BAF" w:rsidP="007475D9">
      <w:pPr>
        <w:pStyle w:val="NormalWeb"/>
        <w:numPr>
          <w:ilvl w:val="0"/>
          <w:numId w:val="16"/>
        </w:numPr>
        <w:spacing w:before="0" w:beforeAutospacing="0" w:after="0" w:afterAutospacing="0"/>
        <w:rPr>
          <w:rFonts w:ascii="Calibri" w:hAnsi="Calibri" w:cs="Calibri"/>
          <w:sz w:val="22"/>
          <w:szCs w:val="22"/>
        </w:rPr>
      </w:pPr>
      <w:r w:rsidRPr="000F6719">
        <w:rPr>
          <w:rFonts w:ascii="Calibri" w:hAnsi="Calibri" w:cs="Calibri"/>
          <w:sz w:val="22"/>
          <w:szCs w:val="22"/>
        </w:rPr>
        <w:t>After posting a 55% climb through Feb 2020, shares sank 34% in March</w:t>
      </w:r>
      <w:r w:rsidR="000F6719" w:rsidRPr="000F6719">
        <w:rPr>
          <w:rFonts w:ascii="Calibri" w:hAnsi="Calibri" w:cs="Calibri"/>
          <w:sz w:val="22"/>
          <w:szCs w:val="22"/>
        </w:rPr>
        <w:t>, during which time the S&amp;P 500 dropped 12.5% amidst the Coronavirus spread. Crucially, two locations particularly vulnerable to the virus’ spread are China and California</w:t>
      </w:r>
      <w:r w:rsidRPr="000F6719">
        <w:rPr>
          <w:rFonts w:ascii="Calibri" w:hAnsi="Calibri" w:cs="Calibri"/>
          <w:sz w:val="22"/>
          <w:szCs w:val="22"/>
        </w:rPr>
        <w:t xml:space="preserve">. </w:t>
      </w:r>
      <w:r w:rsidR="00FC046C" w:rsidRPr="000F6719">
        <w:rPr>
          <w:rFonts w:ascii="Calibri" w:hAnsi="Calibri" w:cs="Calibri"/>
          <w:sz w:val="22"/>
          <w:szCs w:val="22"/>
        </w:rPr>
        <w:t xml:space="preserve">Enphase Energy’s microinverter </w:t>
      </w:r>
      <w:r w:rsidR="000F6719" w:rsidRPr="000F6719">
        <w:rPr>
          <w:rFonts w:ascii="Calibri" w:hAnsi="Calibri" w:cs="Calibri"/>
          <w:sz w:val="22"/>
          <w:szCs w:val="22"/>
        </w:rPr>
        <w:t xml:space="preserve">factor </w:t>
      </w:r>
      <w:r w:rsidR="00FC046C" w:rsidRPr="000F6719">
        <w:rPr>
          <w:rFonts w:ascii="Calibri" w:hAnsi="Calibri" w:cs="Calibri"/>
          <w:sz w:val="22"/>
          <w:szCs w:val="22"/>
        </w:rPr>
        <w:t>is located in China</w:t>
      </w:r>
      <w:r w:rsidR="000F6719" w:rsidRPr="000F6719">
        <w:rPr>
          <w:rFonts w:ascii="Calibri" w:hAnsi="Calibri" w:cs="Calibri"/>
          <w:sz w:val="22"/>
          <w:szCs w:val="22"/>
        </w:rPr>
        <w:t xml:space="preserve">; their HQ is located in </w:t>
      </w:r>
      <w:proofErr w:type="gramStart"/>
      <w:r w:rsidR="000F6719" w:rsidRPr="000F6719">
        <w:rPr>
          <w:rFonts w:ascii="Calibri" w:hAnsi="Calibri" w:cs="Calibri"/>
          <w:sz w:val="22"/>
          <w:szCs w:val="22"/>
        </w:rPr>
        <w:t>California</w:t>
      </w:r>
      <w:r w:rsidR="00FC046C" w:rsidRPr="000F6719">
        <w:rPr>
          <w:rFonts w:ascii="Calibri" w:hAnsi="Calibri" w:cs="Calibri"/>
          <w:sz w:val="22"/>
          <w:szCs w:val="22"/>
        </w:rPr>
        <w:t>,</w:t>
      </w:r>
      <w:proofErr w:type="gramEnd"/>
      <w:r w:rsidR="00FC046C" w:rsidRPr="000F6719">
        <w:rPr>
          <w:rFonts w:ascii="Calibri" w:hAnsi="Calibri" w:cs="Calibri"/>
          <w:sz w:val="22"/>
          <w:szCs w:val="22"/>
        </w:rPr>
        <w:t xml:space="preserve"> a significant </w:t>
      </w:r>
      <w:r w:rsidR="000F6719" w:rsidRPr="000F6719">
        <w:rPr>
          <w:rFonts w:ascii="Calibri" w:hAnsi="Calibri" w:cs="Calibri"/>
          <w:sz w:val="22"/>
          <w:szCs w:val="22"/>
        </w:rPr>
        <w:t>pro</w:t>
      </w:r>
      <w:r w:rsidR="00FC046C" w:rsidRPr="000F6719">
        <w:rPr>
          <w:rFonts w:ascii="Calibri" w:hAnsi="Calibri" w:cs="Calibri"/>
          <w:sz w:val="22"/>
          <w:szCs w:val="22"/>
        </w:rPr>
        <w:t xml:space="preserve">portion of </w:t>
      </w:r>
      <w:r w:rsidR="000F6719" w:rsidRPr="000F6719">
        <w:rPr>
          <w:rFonts w:ascii="Calibri" w:hAnsi="Calibri" w:cs="Calibri"/>
          <w:sz w:val="22"/>
          <w:szCs w:val="22"/>
        </w:rPr>
        <w:t>revenues are driven by the California’s residential solar market</w:t>
      </w:r>
      <w:r w:rsidR="00FC046C" w:rsidRPr="000F6719">
        <w:rPr>
          <w:rFonts w:ascii="Calibri" w:hAnsi="Calibri" w:cs="Calibri"/>
          <w:sz w:val="22"/>
          <w:szCs w:val="22"/>
        </w:rPr>
        <w:t xml:space="preserve">. </w:t>
      </w:r>
    </w:p>
    <w:p w14:paraId="187177DA" w14:textId="489161A6" w:rsidR="00CB4917" w:rsidRDefault="00CB4917" w:rsidP="007475D9">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April 20</w:t>
      </w:r>
      <w:r w:rsidR="00782A32">
        <w:rPr>
          <w:rFonts w:ascii="Calibri" w:hAnsi="Calibri" w:cs="Calibri"/>
          <w:sz w:val="22"/>
          <w:szCs w:val="22"/>
        </w:rPr>
        <w:t>20, as the stock is starting to recover</w:t>
      </w:r>
      <w:r>
        <w:rPr>
          <w:rFonts w:ascii="Calibri" w:hAnsi="Calibri" w:cs="Calibri"/>
          <w:sz w:val="22"/>
          <w:szCs w:val="22"/>
        </w:rPr>
        <w:t>, ENPH announces they will strategically partner with Rexel expand their distribution network in Australia</w:t>
      </w:r>
      <w:r w:rsidR="00782A32">
        <w:rPr>
          <w:rFonts w:ascii="Calibri" w:hAnsi="Calibri" w:cs="Calibri"/>
          <w:sz w:val="22"/>
          <w:szCs w:val="22"/>
        </w:rPr>
        <w:t xml:space="preserve">. </w:t>
      </w:r>
    </w:p>
    <w:p w14:paraId="5421D52B" w14:textId="77777777" w:rsidR="004715F0" w:rsidRDefault="004715F0" w:rsidP="007475D9">
      <w:pPr>
        <w:pStyle w:val="NormalWeb"/>
        <w:spacing w:before="0" w:beforeAutospacing="0" w:after="0" w:afterAutospacing="0"/>
        <w:ind w:left="360"/>
        <w:rPr>
          <w:rFonts w:ascii="Calibri" w:hAnsi="Calibri" w:cs="Calibri"/>
          <w:sz w:val="22"/>
          <w:szCs w:val="22"/>
        </w:rPr>
      </w:pPr>
    </w:p>
    <w:p w14:paraId="1E00195D" w14:textId="65FB4D91" w:rsidR="00496E44" w:rsidRDefault="00496E44" w:rsidP="007475D9">
      <w:pPr>
        <w:spacing w:line="240" w:lineRule="auto"/>
        <w:rPr>
          <w:b/>
          <w:bCs/>
        </w:rPr>
      </w:pPr>
      <w:r>
        <w:rPr>
          <w:b/>
          <w:bCs/>
        </w:rPr>
        <w:t>EA past performance</w:t>
      </w:r>
    </w:p>
    <w:p w14:paraId="74DBA4D1" w14:textId="4D944C32" w:rsidR="00640D0E" w:rsidRPr="00640D0E" w:rsidRDefault="00640D0E" w:rsidP="007475D9">
      <w:pPr>
        <w:spacing w:line="240" w:lineRule="auto"/>
        <w:jc w:val="center"/>
      </w:pPr>
      <w:r>
        <w:rPr>
          <w:noProof/>
        </w:rPr>
        <w:drawing>
          <wp:inline distT="0" distB="0" distL="0" distR="0" wp14:anchorId="2BAF011D" wp14:editId="11613728">
            <wp:extent cx="5588984" cy="27909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4090" cy="2798451"/>
                    </a:xfrm>
                    <a:prstGeom prst="rect">
                      <a:avLst/>
                    </a:prstGeom>
                    <a:noFill/>
                    <a:ln>
                      <a:noFill/>
                    </a:ln>
                  </pic:spPr>
                </pic:pic>
              </a:graphicData>
            </a:graphic>
          </wp:inline>
        </w:drawing>
      </w:r>
    </w:p>
    <w:p w14:paraId="2ECD542A" w14:textId="6F7CB30C" w:rsidR="002D14C4" w:rsidRDefault="00F351CB" w:rsidP="007475D9">
      <w:pPr>
        <w:numPr>
          <w:ilvl w:val="0"/>
          <w:numId w:val="17"/>
        </w:numPr>
        <w:spacing w:after="0" w:line="240" w:lineRule="auto"/>
        <w:rPr>
          <w:rFonts w:eastAsia="Times New Roman" w:cstheme="minorHAnsi"/>
          <w:color w:val="000000" w:themeColor="text1"/>
          <w:sz w:val="21"/>
          <w:szCs w:val="21"/>
          <w:lang w:eastAsia="en-CA"/>
        </w:rPr>
      </w:pPr>
      <w:r>
        <w:rPr>
          <w:rFonts w:eastAsia="Times New Roman" w:cstheme="minorHAnsi"/>
          <w:color w:val="000000" w:themeColor="text1"/>
          <w:sz w:val="21"/>
          <w:szCs w:val="21"/>
          <w:lang w:eastAsia="en-CA"/>
        </w:rPr>
        <w:t>F</w:t>
      </w:r>
      <w:r w:rsidR="002D14C4">
        <w:rPr>
          <w:rFonts w:eastAsia="Times New Roman" w:cstheme="minorHAnsi"/>
          <w:color w:val="000000" w:themeColor="text1"/>
          <w:sz w:val="21"/>
          <w:szCs w:val="21"/>
          <w:lang w:eastAsia="en-CA"/>
        </w:rPr>
        <w:t>rom end</w:t>
      </w:r>
      <w:r>
        <w:rPr>
          <w:rFonts w:eastAsia="Times New Roman" w:cstheme="minorHAnsi"/>
          <w:color w:val="000000" w:themeColor="text1"/>
          <w:sz w:val="21"/>
          <w:szCs w:val="21"/>
          <w:lang w:eastAsia="en-CA"/>
        </w:rPr>
        <w:t xml:space="preserve"> of</w:t>
      </w:r>
      <w:r w:rsidR="002D14C4">
        <w:rPr>
          <w:rFonts w:eastAsia="Times New Roman" w:cstheme="minorHAnsi"/>
          <w:color w:val="000000" w:themeColor="text1"/>
          <w:sz w:val="21"/>
          <w:szCs w:val="21"/>
          <w:lang w:eastAsia="en-CA"/>
        </w:rPr>
        <w:t xml:space="preserve"> 2013 to July 2018, </w:t>
      </w:r>
      <w:r>
        <w:rPr>
          <w:rFonts w:eastAsia="Times New Roman" w:cstheme="minorHAnsi"/>
          <w:color w:val="000000" w:themeColor="text1"/>
          <w:sz w:val="21"/>
          <w:szCs w:val="21"/>
          <w:lang w:eastAsia="en-CA"/>
        </w:rPr>
        <w:t xml:space="preserve">EA had great performance, seeing its </w:t>
      </w:r>
      <w:r w:rsidR="002D14C4">
        <w:rPr>
          <w:rFonts w:eastAsia="Times New Roman" w:cstheme="minorHAnsi"/>
          <w:color w:val="000000" w:themeColor="text1"/>
          <w:sz w:val="21"/>
          <w:szCs w:val="21"/>
          <w:lang w:eastAsia="en-CA"/>
        </w:rPr>
        <w:t xml:space="preserve">with stock price climbing 461%. </w:t>
      </w:r>
    </w:p>
    <w:p w14:paraId="7DBDF1E3" w14:textId="64FBE6AC" w:rsidR="002D14C4" w:rsidRDefault="002D14C4" w:rsidP="007475D9">
      <w:pPr>
        <w:numPr>
          <w:ilvl w:val="0"/>
          <w:numId w:val="17"/>
        </w:numPr>
        <w:spacing w:after="0" w:line="240" w:lineRule="auto"/>
        <w:rPr>
          <w:rFonts w:eastAsia="Times New Roman" w:cstheme="minorHAnsi"/>
          <w:color w:val="000000" w:themeColor="text1"/>
          <w:sz w:val="21"/>
          <w:szCs w:val="21"/>
          <w:lang w:eastAsia="en-CA"/>
        </w:rPr>
      </w:pPr>
      <w:r>
        <w:rPr>
          <w:rFonts w:eastAsia="Times New Roman" w:cstheme="minorHAnsi"/>
          <w:color w:val="000000" w:themeColor="text1"/>
          <w:sz w:val="21"/>
          <w:szCs w:val="21"/>
          <w:lang w:eastAsia="en-CA"/>
        </w:rPr>
        <w:lastRenderedPageBreak/>
        <w:t xml:space="preserve">The first half of 2018 saw tremendous momentum for EA, with digital revenue surging 17% over the previous year, driven with strong customer engagement with their flagship sports products, </w:t>
      </w:r>
      <w:r>
        <w:rPr>
          <w:rFonts w:eastAsia="Times New Roman" w:cstheme="minorHAnsi"/>
          <w:i/>
          <w:iCs/>
          <w:color w:val="000000" w:themeColor="text1"/>
          <w:sz w:val="21"/>
          <w:szCs w:val="21"/>
          <w:lang w:eastAsia="en-CA"/>
        </w:rPr>
        <w:t>NFL 18</w:t>
      </w:r>
      <w:r>
        <w:rPr>
          <w:rFonts w:eastAsia="Times New Roman" w:cstheme="minorHAnsi"/>
          <w:color w:val="000000" w:themeColor="text1"/>
          <w:sz w:val="21"/>
          <w:szCs w:val="21"/>
          <w:lang w:eastAsia="en-CA"/>
        </w:rPr>
        <w:t xml:space="preserve"> and </w:t>
      </w:r>
      <w:r>
        <w:rPr>
          <w:rFonts w:eastAsia="Times New Roman" w:cstheme="minorHAnsi"/>
          <w:i/>
          <w:iCs/>
          <w:color w:val="000000" w:themeColor="text1"/>
          <w:sz w:val="21"/>
          <w:szCs w:val="21"/>
          <w:lang w:eastAsia="en-CA"/>
        </w:rPr>
        <w:t>Madden NFL 18</w:t>
      </w:r>
      <w:r>
        <w:rPr>
          <w:rFonts w:eastAsia="Times New Roman" w:cstheme="minorHAnsi"/>
          <w:color w:val="000000" w:themeColor="text1"/>
          <w:sz w:val="21"/>
          <w:szCs w:val="21"/>
          <w:lang w:eastAsia="en-CA"/>
        </w:rPr>
        <w:t xml:space="preserve">. </w:t>
      </w:r>
    </w:p>
    <w:p w14:paraId="0707352B" w14:textId="0CAF5A97" w:rsidR="003607E3" w:rsidRDefault="00F24902" w:rsidP="007475D9">
      <w:pPr>
        <w:numPr>
          <w:ilvl w:val="0"/>
          <w:numId w:val="17"/>
        </w:numPr>
        <w:spacing w:after="0" w:line="240" w:lineRule="auto"/>
        <w:rPr>
          <w:rFonts w:eastAsia="Times New Roman" w:cstheme="minorHAnsi"/>
          <w:color w:val="000000" w:themeColor="text1"/>
          <w:sz w:val="21"/>
          <w:szCs w:val="21"/>
          <w:lang w:eastAsia="en-CA"/>
        </w:rPr>
      </w:pPr>
      <w:r w:rsidRPr="00935BCD">
        <w:rPr>
          <w:rFonts w:eastAsia="Times New Roman" w:cstheme="minorHAnsi"/>
          <w:color w:val="000000" w:themeColor="text1"/>
          <w:sz w:val="21"/>
          <w:szCs w:val="21"/>
          <w:lang w:eastAsia="en-CA"/>
        </w:rPr>
        <w:t>EA had a particularly volatile 3</w:t>
      </w:r>
      <w:r w:rsidRPr="00935BCD">
        <w:rPr>
          <w:rFonts w:eastAsia="Times New Roman" w:cstheme="minorHAnsi"/>
          <w:color w:val="000000" w:themeColor="text1"/>
          <w:sz w:val="21"/>
          <w:szCs w:val="21"/>
          <w:vertAlign w:val="superscript"/>
          <w:lang w:eastAsia="en-CA"/>
        </w:rPr>
        <w:t>rd</w:t>
      </w:r>
      <w:r w:rsidRPr="00935BCD">
        <w:rPr>
          <w:rFonts w:eastAsia="Times New Roman" w:cstheme="minorHAnsi"/>
          <w:color w:val="000000" w:themeColor="text1"/>
          <w:sz w:val="21"/>
          <w:szCs w:val="21"/>
          <w:lang w:eastAsia="en-CA"/>
        </w:rPr>
        <w:t xml:space="preserve"> quarter of 2018, with a </w:t>
      </w:r>
      <w:r w:rsidR="002D14C4" w:rsidRPr="00935BCD">
        <w:rPr>
          <w:rFonts w:eastAsia="Times New Roman" w:cstheme="minorHAnsi"/>
          <w:color w:val="000000" w:themeColor="text1"/>
          <w:sz w:val="21"/>
          <w:szCs w:val="21"/>
          <w:lang w:eastAsia="en-CA"/>
        </w:rPr>
        <w:t xml:space="preserve">sudden, </w:t>
      </w:r>
      <w:r w:rsidRPr="00935BCD">
        <w:rPr>
          <w:rFonts w:eastAsia="Times New Roman" w:cstheme="minorHAnsi"/>
          <w:color w:val="000000" w:themeColor="text1"/>
          <w:sz w:val="21"/>
          <w:szCs w:val="21"/>
          <w:lang w:eastAsia="en-CA"/>
        </w:rPr>
        <w:t>steep</w:t>
      </w:r>
      <w:r w:rsidR="002D14C4" w:rsidRPr="00935BCD">
        <w:rPr>
          <w:rFonts w:eastAsia="Times New Roman" w:cstheme="minorHAnsi"/>
          <w:color w:val="000000" w:themeColor="text1"/>
          <w:sz w:val="21"/>
          <w:szCs w:val="21"/>
          <w:lang w:eastAsia="en-CA"/>
        </w:rPr>
        <w:t xml:space="preserve"> and sustained</w:t>
      </w:r>
      <w:r w:rsidRPr="00935BCD">
        <w:rPr>
          <w:rFonts w:eastAsia="Times New Roman" w:cstheme="minorHAnsi"/>
          <w:color w:val="000000" w:themeColor="text1"/>
          <w:sz w:val="21"/>
          <w:szCs w:val="21"/>
          <w:lang w:eastAsia="en-CA"/>
        </w:rPr>
        <w:t xml:space="preserve"> decline</w:t>
      </w:r>
      <w:r w:rsidR="000E4B7D" w:rsidRPr="00935BCD">
        <w:rPr>
          <w:rFonts w:eastAsia="Times New Roman" w:cstheme="minorHAnsi"/>
          <w:color w:val="000000" w:themeColor="text1"/>
          <w:sz w:val="21"/>
          <w:szCs w:val="21"/>
          <w:lang w:eastAsia="en-CA"/>
        </w:rPr>
        <w:t xml:space="preserve">. First, </w:t>
      </w:r>
      <w:r w:rsidR="002D14C4" w:rsidRPr="00935BCD">
        <w:rPr>
          <w:rFonts w:eastAsia="Times New Roman" w:cstheme="minorHAnsi"/>
          <w:color w:val="000000" w:themeColor="text1"/>
          <w:sz w:val="21"/>
          <w:szCs w:val="21"/>
          <w:lang w:eastAsia="en-CA"/>
        </w:rPr>
        <w:t xml:space="preserve">in August, </w:t>
      </w:r>
      <w:r w:rsidR="000E4B7D" w:rsidRPr="00935BCD">
        <w:rPr>
          <w:rFonts w:eastAsia="Times New Roman" w:cstheme="minorHAnsi"/>
          <w:color w:val="000000" w:themeColor="text1"/>
          <w:sz w:val="21"/>
          <w:szCs w:val="21"/>
          <w:lang w:eastAsia="en-CA"/>
        </w:rPr>
        <w:t>it announced the delay of</w:t>
      </w:r>
      <w:r w:rsidR="000E4B7D">
        <w:t xml:space="preserve"> its game </w:t>
      </w:r>
      <w:r w:rsidR="000E4B7D" w:rsidRPr="00935BCD">
        <w:rPr>
          <w:i/>
          <w:iCs/>
        </w:rPr>
        <w:t>Battlefield V</w:t>
      </w:r>
      <w:r w:rsidR="00845C1F">
        <w:t xml:space="preserve"> until Nov 2018</w:t>
      </w:r>
      <w:r w:rsidR="002D14C4">
        <w:t xml:space="preserve">, meaning they would have to push some revenue from calendar 2018 into 2019. </w:t>
      </w:r>
      <w:r w:rsidR="003607E3" w:rsidRPr="00433220">
        <w:t>This</w:t>
      </w:r>
      <w:r w:rsidR="003607E3">
        <w:t xml:space="preserve"> announcement also affected its stock performance later and amidst a competitive market (</w:t>
      </w:r>
      <w:proofErr w:type="spellStart"/>
      <w:r w:rsidR="003607E3">
        <w:t>ie</w:t>
      </w:r>
      <w:proofErr w:type="spellEnd"/>
      <w:r w:rsidR="003607E3">
        <w:t xml:space="preserve"> </w:t>
      </w:r>
      <w:r w:rsidR="003607E3" w:rsidRPr="00935BCD">
        <w:rPr>
          <w:i/>
          <w:iCs/>
        </w:rPr>
        <w:t>Fortnight</w:t>
      </w:r>
      <w:r w:rsidR="003607E3">
        <w:t>), lead to an underperforming quarter.</w:t>
      </w:r>
      <w:r w:rsidR="00935BCD">
        <w:t xml:space="preserve"> </w:t>
      </w:r>
      <w:r w:rsidR="003607E3" w:rsidRPr="00935BCD">
        <w:rPr>
          <w:rFonts w:eastAsia="Times New Roman" w:cstheme="minorHAnsi"/>
          <w:color w:val="000000" w:themeColor="text1"/>
          <w:sz w:val="21"/>
          <w:szCs w:val="21"/>
          <w:lang w:eastAsia="en-CA"/>
        </w:rPr>
        <w:t xml:space="preserve">Relative to S&amp;P 500 index, which lost 6.35% in value over 2018, EA finished 2018 </w:t>
      </w:r>
      <w:r w:rsidR="003607E3" w:rsidRPr="00935BCD">
        <w:rPr>
          <w:rFonts w:eastAsia="Times New Roman" w:cstheme="minorHAnsi"/>
          <w:i/>
          <w:iCs/>
          <w:color w:val="000000" w:themeColor="text1"/>
          <w:sz w:val="21"/>
          <w:szCs w:val="21"/>
          <w:lang w:eastAsia="en-CA"/>
        </w:rPr>
        <w:t>down</w:t>
      </w:r>
      <w:r w:rsidR="003607E3" w:rsidRPr="00935BCD">
        <w:rPr>
          <w:rFonts w:eastAsia="Times New Roman" w:cstheme="minorHAnsi"/>
          <w:color w:val="000000" w:themeColor="text1"/>
          <w:sz w:val="21"/>
          <w:szCs w:val="21"/>
          <w:lang w:eastAsia="en-CA"/>
        </w:rPr>
        <w:t xml:space="preserve"> almost 25%, after hitting an all-time high of $151.26 in summer 2018. </w:t>
      </w:r>
    </w:p>
    <w:p w14:paraId="3E32FDF1" w14:textId="481275F5" w:rsidR="00935BCD" w:rsidRDefault="00935BCD" w:rsidP="007475D9">
      <w:pPr>
        <w:pStyle w:val="ListParagraph"/>
        <w:numPr>
          <w:ilvl w:val="0"/>
          <w:numId w:val="17"/>
        </w:numPr>
        <w:spacing w:after="0" w:line="240" w:lineRule="auto"/>
      </w:pPr>
      <w:r>
        <w:t xml:space="preserve">EA experienced a plunge, falling 13.3% in a single day, and shaved more than $3.7 billion off EA’s market capitalization. </w:t>
      </w:r>
      <w:r>
        <w:rPr>
          <w:i/>
          <w:iCs/>
        </w:rPr>
        <w:t>Battlefield V</w:t>
      </w:r>
      <w:r>
        <w:t xml:space="preserve"> ended up flopping, selling more than a million fewer copies than expected in the first quarter of 2018</w:t>
      </w:r>
      <w:r w:rsidR="000B252E">
        <w:t>, so they missed their holiday sales target</w:t>
      </w:r>
      <w:r>
        <w:t xml:space="preserve">. EA CEO Andrew Wilson said that the company faced ‘significant challenges’ in their third quarter, and that that would continue through the fourth quarter. </w:t>
      </w:r>
      <w:r w:rsidR="000B252E">
        <w:t>EA failed to gain momentum and failed to meet sales for the quarter ending, this drop in a competitive quarter led to underperformance and the stock price went down.</w:t>
      </w:r>
    </w:p>
    <w:p w14:paraId="3169330A" w14:textId="77777777" w:rsidR="00935BCD" w:rsidRDefault="002D14C4" w:rsidP="007475D9">
      <w:pPr>
        <w:numPr>
          <w:ilvl w:val="0"/>
          <w:numId w:val="17"/>
        </w:numPr>
        <w:spacing w:after="0" w:line="240" w:lineRule="auto"/>
        <w:rPr>
          <w:rFonts w:eastAsia="Times New Roman" w:cstheme="minorHAnsi"/>
          <w:color w:val="000000" w:themeColor="text1"/>
          <w:sz w:val="21"/>
          <w:szCs w:val="21"/>
          <w:lang w:eastAsia="en-CA"/>
        </w:rPr>
      </w:pPr>
      <w:r>
        <w:rPr>
          <w:rFonts w:eastAsia="Times New Roman" w:cstheme="minorHAnsi"/>
          <w:color w:val="000000" w:themeColor="text1"/>
          <w:sz w:val="21"/>
          <w:szCs w:val="21"/>
          <w:lang w:eastAsia="en-CA"/>
        </w:rPr>
        <w:t xml:space="preserve">September 2019’s </w:t>
      </w:r>
      <w:r>
        <w:rPr>
          <w:rFonts w:eastAsia="Times New Roman" w:cstheme="minorHAnsi"/>
          <w:i/>
          <w:iCs/>
          <w:color w:val="000000" w:themeColor="text1"/>
          <w:sz w:val="21"/>
          <w:szCs w:val="21"/>
          <w:lang w:eastAsia="en-CA"/>
        </w:rPr>
        <w:t>FIFA 2019</w:t>
      </w:r>
      <w:r>
        <w:rPr>
          <w:rFonts w:eastAsia="Times New Roman" w:cstheme="minorHAnsi"/>
          <w:color w:val="000000" w:themeColor="text1"/>
          <w:sz w:val="21"/>
          <w:szCs w:val="21"/>
          <w:lang w:eastAsia="en-CA"/>
        </w:rPr>
        <w:t xml:space="preserve"> release was not a hit with consumers so did not generate the digital revenue they had expected. </w:t>
      </w:r>
    </w:p>
    <w:p w14:paraId="14E8ECFC" w14:textId="4CBE70D9" w:rsidR="002D14C4" w:rsidRPr="002D14C4" w:rsidRDefault="00935BCD" w:rsidP="007475D9">
      <w:pPr>
        <w:numPr>
          <w:ilvl w:val="0"/>
          <w:numId w:val="17"/>
        </w:numPr>
        <w:spacing w:after="0" w:line="240" w:lineRule="auto"/>
        <w:rPr>
          <w:rFonts w:eastAsia="Times New Roman" w:cstheme="minorHAnsi"/>
          <w:color w:val="000000" w:themeColor="text1"/>
          <w:sz w:val="21"/>
          <w:szCs w:val="21"/>
          <w:lang w:eastAsia="en-CA"/>
        </w:rPr>
      </w:pPr>
      <w:r>
        <w:rPr>
          <w:rFonts w:eastAsia="Times New Roman" w:cstheme="minorHAnsi"/>
          <w:color w:val="000000" w:themeColor="text1"/>
          <w:sz w:val="21"/>
          <w:szCs w:val="21"/>
          <w:lang w:eastAsia="en-CA"/>
        </w:rPr>
        <w:t xml:space="preserve">Oct 2019 EA stock dropped 4% after announcing it would cancel its basketball game for the year. </w:t>
      </w:r>
    </w:p>
    <w:p w14:paraId="30A8930B" w14:textId="30FBBF32" w:rsidR="00845C1F" w:rsidRDefault="00845C1F" w:rsidP="007475D9">
      <w:pPr>
        <w:pStyle w:val="ListParagraph"/>
        <w:numPr>
          <w:ilvl w:val="0"/>
          <w:numId w:val="17"/>
        </w:numPr>
        <w:spacing w:after="0" w:line="240" w:lineRule="auto"/>
      </w:pPr>
      <w:r>
        <w:t>In 2019, EA reported 3</w:t>
      </w:r>
      <w:r w:rsidRPr="00845C1F">
        <w:rPr>
          <w:vertAlign w:val="superscript"/>
        </w:rPr>
        <w:t>rd</w:t>
      </w:r>
      <w:r>
        <w:t xml:space="preserve"> quarter net income of $262 million, relative to its 2018</w:t>
      </w:r>
      <w:r w:rsidR="002D14C4">
        <w:t xml:space="preserve"> 3</w:t>
      </w:r>
      <w:r w:rsidR="002D14C4" w:rsidRPr="002D14C4">
        <w:rPr>
          <w:vertAlign w:val="superscript"/>
        </w:rPr>
        <w:t>rd</w:t>
      </w:r>
      <w:r w:rsidR="002D14C4">
        <w:t xml:space="preserve"> quarter</w:t>
      </w:r>
      <w:r>
        <w:t xml:space="preserve"> </w:t>
      </w:r>
      <w:r>
        <w:rPr>
          <w:i/>
          <w:iCs/>
        </w:rPr>
        <w:t>loss</w:t>
      </w:r>
      <w:r>
        <w:t xml:space="preserve"> of $186 million. </w:t>
      </w:r>
    </w:p>
    <w:p w14:paraId="44E29C35" w14:textId="77777777" w:rsidR="004715F0" w:rsidRDefault="004715F0" w:rsidP="007475D9">
      <w:pPr>
        <w:spacing w:after="0" w:line="240" w:lineRule="auto"/>
      </w:pPr>
    </w:p>
    <w:p w14:paraId="2CB82467" w14:textId="6AE8CEF0" w:rsidR="002D0D16" w:rsidRDefault="002D0D16" w:rsidP="007475D9">
      <w:pPr>
        <w:spacing w:line="240" w:lineRule="auto"/>
        <w:rPr>
          <w:b/>
          <w:bCs/>
        </w:rPr>
      </w:pPr>
      <w:r>
        <w:rPr>
          <w:b/>
          <w:bCs/>
        </w:rPr>
        <w:t>EL past performance</w:t>
      </w:r>
    </w:p>
    <w:p w14:paraId="0057C274" w14:textId="5F192CF6" w:rsidR="00E56417" w:rsidRPr="00E56417" w:rsidRDefault="00E56417" w:rsidP="007475D9">
      <w:pPr>
        <w:spacing w:line="240" w:lineRule="auto"/>
      </w:pPr>
      <w:r>
        <w:t>Sold in over 120 countries and territories</w:t>
      </w:r>
      <w:r w:rsidR="00FC046C">
        <w:t xml:space="preserve">, EL </w:t>
      </w:r>
      <w:r>
        <w:t>consists of a vast number of well-recognized brands.</w:t>
      </w:r>
    </w:p>
    <w:p w14:paraId="7061BA78" w14:textId="447C4DB2" w:rsidR="002D0D16" w:rsidRDefault="00640D0E" w:rsidP="007475D9">
      <w:pPr>
        <w:spacing w:line="240" w:lineRule="auto"/>
        <w:jc w:val="center"/>
      </w:pPr>
      <w:r>
        <w:rPr>
          <w:noProof/>
        </w:rPr>
        <w:drawing>
          <wp:inline distT="0" distB="0" distL="0" distR="0" wp14:anchorId="6A25C0E2" wp14:editId="47C885BF">
            <wp:extent cx="5977862" cy="2985096"/>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9148" cy="2995725"/>
                    </a:xfrm>
                    <a:prstGeom prst="rect">
                      <a:avLst/>
                    </a:prstGeom>
                    <a:noFill/>
                    <a:ln>
                      <a:noFill/>
                    </a:ln>
                  </pic:spPr>
                </pic:pic>
              </a:graphicData>
            </a:graphic>
          </wp:inline>
        </w:drawing>
      </w:r>
    </w:p>
    <w:p w14:paraId="5BE1B6D7" w14:textId="72ADE858" w:rsidR="00176F6C" w:rsidRDefault="00176F6C" w:rsidP="007475D9">
      <w:pPr>
        <w:pStyle w:val="ListParagraph"/>
        <w:numPr>
          <w:ilvl w:val="0"/>
          <w:numId w:val="20"/>
        </w:numPr>
        <w:spacing w:line="240" w:lineRule="auto"/>
      </w:pPr>
      <w:r>
        <w:t xml:space="preserve">After its 2014 acquisition of Le </w:t>
      </w:r>
      <w:proofErr w:type="spellStart"/>
      <w:r>
        <w:t>Labo</w:t>
      </w:r>
      <w:proofErr w:type="spellEnd"/>
      <w:r>
        <w:t xml:space="preserve"> and January 2015 acquisition of GLAMGLOW, EL continued its spree of acquiring small brands with global appeal in 2016, by integrating By Kilian, a high-end fragrance suite. </w:t>
      </w:r>
    </w:p>
    <w:p w14:paraId="14B7703B" w14:textId="64270312" w:rsidR="00176F6C" w:rsidRDefault="00176F6C" w:rsidP="007475D9">
      <w:pPr>
        <w:pStyle w:val="ListParagraph"/>
        <w:numPr>
          <w:ilvl w:val="0"/>
          <w:numId w:val="20"/>
        </w:numPr>
        <w:spacing w:line="240" w:lineRule="auto"/>
      </w:pPr>
      <w:r>
        <w:t>EL generally posted a poor performance in 2016.</w:t>
      </w:r>
    </w:p>
    <w:p w14:paraId="152C345E" w14:textId="121B8F98" w:rsidR="00176F6C" w:rsidRDefault="00176F6C" w:rsidP="007475D9">
      <w:pPr>
        <w:pStyle w:val="ListParagraph"/>
        <w:numPr>
          <w:ilvl w:val="0"/>
          <w:numId w:val="20"/>
        </w:numPr>
        <w:spacing w:line="240" w:lineRule="auto"/>
      </w:pPr>
      <w:r>
        <w:lastRenderedPageBreak/>
        <w:t xml:space="preserve">EL expanded operating margins and beat analyst expectations for every quarter in 2017. </w:t>
      </w:r>
      <w:r w:rsidR="00521173">
        <w:t xml:space="preserve">In </w:t>
      </w:r>
      <w:proofErr w:type="gramStart"/>
      <w:r w:rsidR="00521173">
        <w:t xml:space="preserve">part, </w:t>
      </w:r>
      <w:r>
        <w:t xml:space="preserve"> EL</w:t>
      </w:r>
      <w:proofErr w:type="gramEnd"/>
      <w:r>
        <w:t xml:space="preserve"> receive</w:t>
      </w:r>
      <w:r w:rsidR="00521173">
        <w:t>d</w:t>
      </w:r>
      <w:r>
        <w:t xml:space="preserve"> good press by achieving a fundraising milestone in its Breast Cancer Campaign to fund research, education, and medical services. </w:t>
      </w:r>
      <w:r w:rsidR="00521173">
        <w:t>The last quarter had two catalysts for growth: appealing to millennials by hiring social-media-savvy celebrities like Kendall Jenner to promote their products and focussing on fast-growing markets (</w:t>
      </w:r>
      <w:proofErr w:type="spellStart"/>
      <w:r w:rsidR="00521173">
        <w:t>ie</w:t>
      </w:r>
      <w:proofErr w:type="spellEnd"/>
      <w:r w:rsidR="00521173">
        <w:t xml:space="preserve">. China) – two groups whose purchasing power is only set to grow. </w:t>
      </w:r>
    </w:p>
    <w:p w14:paraId="0648AF9B" w14:textId="2A7E1E63" w:rsidR="00DA1CCB" w:rsidRDefault="00DA1CCB" w:rsidP="007475D9">
      <w:pPr>
        <w:pStyle w:val="ListParagraph"/>
        <w:numPr>
          <w:ilvl w:val="0"/>
          <w:numId w:val="20"/>
        </w:numPr>
        <w:spacing w:line="240" w:lineRule="auto"/>
      </w:pPr>
      <w:r>
        <w:t>The quarter ending December 2018 reported 17% increase in sales, due in part to the acquisition of 2 new brands Too Faced and Becca acquired in late 2016. This is part of their strategy to be savvy with acquisitions</w:t>
      </w:r>
      <w:r w:rsidR="00550AC9">
        <w:t xml:space="preserve">. Too Faced is a prestige cosmetics producer popular with millennials, and at $1.45B, this was the largest acquisition in EL’s already enormous portfolio. </w:t>
      </w:r>
    </w:p>
    <w:p w14:paraId="6FBD844C" w14:textId="64FCEB07" w:rsidR="00AB501E" w:rsidRDefault="00AB501E" w:rsidP="007475D9">
      <w:pPr>
        <w:pStyle w:val="ListParagraph"/>
        <w:numPr>
          <w:ilvl w:val="0"/>
          <w:numId w:val="20"/>
        </w:numPr>
        <w:spacing w:line="240" w:lineRule="auto"/>
      </w:pPr>
      <w:r>
        <w:t xml:space="preserve">2019 saw incredible growth for EL, with some initial volatility and a dip around August-Sept 2019, followed by another </w:t>
      </w:r>
      <w:proofErr w:type="gramStart"/>
      <w:r>
        <w:t>rise up</w:t>
      </w:r>
      <w:proofErr w:type="gramEnd"/>
      <w:r>
        <w:t xml:space="preserve"> until the </w:t>
      </w:r>
      <w:proofErr w:type="spellStart"/>
      <w:r>
        <w:t>CoronaCrash</w:t>
      </w:r>
      <w:proofErr w:type="spellEnd"/>
      <w:r>
        <w:t xml:space="preserve">. The acquisition of Do the Right Thing and </w:t>
      </w:r>
      <w:proofErr w:type="spellStart"/>
      <w:r>
        <w:t>Jart</w:t>
      </w:r>
      <w:proofErr w:type="spellEnd"/>
      <w:r>
        <w:t xml:space="preserve">+ have buoyed their position within the industry. </w:t>
      </w:r>
    </w:p>
    <w:p w14:paraId="66BF86CA" w14:textId="42B0108A" w:rsidR="00521173" w:rsidRDefault="00AB501E" w:rsidP="007475D9">
      <w:pPr>
        <w:pStyle w:val="ListParagraph"/>
        <w:numPr>
          <w:ilvl w:val="0"/>
          <w:numId w:val="20"/>
        </w:numPr>
        <w:spacing w:line="240" w:lineRule="auto"/>
      </w:pPr>
      <w:r>
        <w:t xml:space="preserve">EL performed well in 2019 despite tariffs imposed on China. </w:t>
      </w:r>
    </w:p>
    <w:p w14:paraId="7777618F" w14:textId="63DEC650" w:rsidR="00521173" w:rsidRDefault="00521173" w:rsidP="007475D9">
      <w:pPr>
        <w:pStyle w:val="ListParagraph"/>
        <w:numPr>
          <w:ilvl w:val="0"/>
          <w:numId w:val="20"/>
        </w:numPr>
        <w:spacing w:line="240" w:lineRule="auto"/>
      </w:pPr>
      <w:r>
        <w:t xml:space="preserve">Strong 2019 Q4 – up 55% since January -- are due in part to growth in Asia, the popularity of cosmetics in the heightened world of social media such as Instagram, and an ever-growing demand for skincare products. </w:t>
      </w:r>
    </w:p>
    <w:p w14:paraId="746AC8F2" w14:textId="1C92A4DF" w:rsidR="00FC046C" w:rsidRDefault="00FC046C" w:rsidP="007475D9">
      <w:pPr>
        <w:pStyle w:val="ListParagraph"/>
        <w:numPr>
          <w:ilvl w:val="0"/>
          <w:numId w:val="20"/>
        </w:numPr>
        <w:spacing w:line="240" w:lineRule="auto"/>
      </w:pPr>
      <w:r>
        <w:t>##</w:t>
      </w:r>
      <w:proofErr w:type="spellStart"/>
      <w:r>
        <w:t>Covid</w:t>
      </w:r>
      <w:proofErr w:type="spellEnd"/>
    </w:p>
    <w:p w14:paraId="6F3CFCF4" w14:textId="77777777" w:rsidR="00521173" w:rsidRDefault="00521173" w:rsidP="007475D9">
      <w:pPr>
        <w:pStyle w:val="ListParagraph"/>
        <w:spacing w:line="240" w:lineRule="auto"/>
      </w:pPr>
    </w:p>
    <w:p w14:paraId="6A69068F" w14:textId="23025E56" w:rsidR="00CA2949" w:rsidRDefault="00CA2949" w:rsidP="007475D9">
      <w:pPr>
        <w:pStyle w:val="ListParagraph"/>
        <w:numPr>
          <w:ilvl w:val="0"/>
          <w:numId w:val="14"/>
        </w:numPr>
        <w:spacing w:line="240" w:lineRule="auto"/>
      </w:pPr>
      <w:r>
        <w:t>Understand &amp; comment on the covariance and correlation between each stock in your portfolio.</w:t>
      </w:r>
    </w:p>
    <w:p w14:paraId="69341B53" w14:textId="6EF11969" w:rsidR="00CA196F" w:rsidRPr="00CA196F" w:rsidRDefault="00CA196F" w:rsidP="007475D9">
      <w:pPr>
        <w:spacing w:line="240" w:lineRule="auto"/>
        <w:rPr>
          <w:b/>
          <w:bCs/>
        </w:rPr>
      </w:pPr>
      <w:r>
        <w:rPr>
          <w:b/>
          <w:bCs/>
        </w:rPr>
        <w:t>Covariance</w:t>
      </w:r>
    </w:p>
    <w:p w14:paraId="658B8286" w14:textId="2295C691" w:rsidR="00CA196F" w:rsidRDefault="00CA196F" w:rsidP="007475D9">
      <w:pPr>
        <w:spacing w:line="240" w:lineRule="auto"/>
      </w:pPr>
      <w:r>
        <w:t xml:space="preserve">Used in Modern Portfolio Theory to determine which assets to include in our portfolio, covariance measures the directional relationship between two asset prices. </w:t>
      </w:r>
      <w:r w:rsidR="00CA2949">
        <w:t xml:space="preserve">The covariance matrix is used to calculate the standard deviation of a portfolio of stocks, which we will use to quantify the risk associated with our </w:t>
      </w:r>
      <w:r w:rsidR="00E1068F">
        <w:t>portfolio and</w:t>
      </w:r>
      <w:r>
        <w:t xml:space="preserve"> will then help us construct the Efficient Frontier</w:t>
      </w:r>
      <w:r w:rsidR="00CA2949">
        <w:t>.</w:t>
      </w:r>
      <w:r>
        <w:t xml:space="preserve"> A positive covariance means that assets generally move in the same direction, whereas negative covariance indicates stocks generally move in opposite directions. </w:t>
      </w:r>
    </w:p>
    <w:p w14:paraId="6107D2AF" w14:textId="79C2189B" w:rsidR="00CA196F" w:rsidRDefault="00CA196F" w:rsidP="007475D9">
      <w:pPr>
        <w:spacing w:line="240" w:lineRule="auto"/>
      </w:pPr>
      <w:r>
        <w:t>In our portfolio mixture, our assets all have a</w:t>
      </w:r>
      <w:r w:rsidR="00055F23">
        <w:t xml:space="preserve"> negligible</w:t>
      </w:r>
      <w:r>
        <w:t xml:space="preserve"> positive covariance. </w:t>
      </w:r>
    </w:p>
    <w:p w14:paraId="196CA833" w14:textId="45853821" w:rsidR="00CA2949" w:rsidRDefault="00055F23" w:rsidP="007475D9">
      <w:pPr>
        <w:spacing w:line="240" w:lineRule="auto"/>
      </w:pPr>
      <w:r>
        <w:t>T</w:t>
      </w:r>
      <w:r w:rsidR="00CA2949">
        <w:t>here is very little covariance between the stocks in our portfolio.</w:t>
      </w:r>
    </w:p>
    <w:p w14:paraId="41859426" w14:textId="6DEECEFC" w:rsidR="008F7407" w:rsidRDefault="00055F23" w:rsidP="007475D9">
      <w:pPr>
        <w:spacing w:line="240" w:lineRule="auto"/>
        <w:jc w:val="center"/>
      </w:pPr>
      <w:r>
        <w:rPr>
          <w:noProof/>
        </w:rPr>
        <w:drawing>
          <wp:inline distT="0" distB="0" distL="0" distR="0" wp14:anchorId="2628BDF8" wp14:editId="234E7C49">
            <wp:extent cx="3347500" cy="225620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4536" cy="2267685"/>
                    </a:xfrm>
                    <a:prstGeom prst="rect">
                      <a:avLst/>
                    </a:prstGeom>
                    <a:noFill/>
                    <a:ln>
                      <a:noFill/>
                    </a:ln>
                  </pic:spPr>
                </pic:pic>
              </a:graphicData>
            </a:graphic>
          </wp:inline>
        </w:drawing>
      </w:r>
    </w:p>
    <w:p w14:paraId="1DFD3104" w14:textId="1907AC44" w:rsidR="00E5523C" w:rsidRDefault="00055F23" w:rsidP="007475D9">
      <w:pPr>
        <w:pStyle w:val="ListParagraph"/>
        <w:numPr>
          <w:ilvl w:val="0"/>
          <w:numId w:val="15"/>
        </w:numPr>
        <w:spacing w:line="240" w:lineRule="auto"/>
      </w:pPr>
      <w:r>
        <w:t>EL and EA have the lowest covariance; EL and ENPH have the highest covariance.</w:t>
      </w:r>
    </w:p>
    <w:p w14:paraId="6D374E85" w14:textId="77777777" w:rsidR="00E70056" w:rsidRDefault="00E70056" w:rsidP="007475D9">
      <w:pPr>
        <w:spacing w:line="240" w:lineRule="auto"/>
      </w:pPr>
      <w:r>
        <w:lastRenderedPageBreak/>
        <w:t xml:space="preserve">Our goal is to select assets that have a lower standard deviation for the combined portfolio that is less than the standard deviation of the individual assets, thereby reducing volatility of the portfolio. MPT aims to create an optimal, diversified mix of higher-volatility assets (such as ENPH) with lower-volatility assets (such as EL). In doing so, we aim to reduce risk and still allow for a positive return. </w:t>
      </w:r>
    </w:p>
    <w:p w14:paraId="791781CE" w14:textId="7FBFDB56" w:rsidR="00CA196F" w:rsidRPr="00CA196F" w:rsidRDefault="008F7407" w:rsidP="007475D9">
      <w:pPr>
        <w:spacing w:line="240" w:lineRule="auto"/>
        <w:rPr>
          <w:b/>
          <w:bCs/>
        </w:rPr>
      </w:pPr>
      <w:r>
        <w:rPr>
          <w:b/>
          <w:bCs/>
        </w:rPr>
        <w:t>C</w:t>
      </w:r>
      <w:r w:rsidR="00CA196F">
        <w:rPr>
          <w:b/>
          <w:bCs/>
        </w:rPr>
        <w:t>orrelation</w:t>
      </w:r>
    </w:p>
    <w:p w14:paraId="56F6BEDD" w14:textId="1689E41F" w:rsidR="00CA2949" w:rsidRDefault="00CA196F" w:rsidP="007475D9">
      <w:pPr>
        <w:spacing w:line="240" w:lineRule="auto"/>
      </w:pPr>
      <w:r w:rsidRPr="00CA196F">
        <w:rPr>
          <w:rFonts w:cstheme="minorHAnsi"/>
          <w:spacing w:val="-1"/>
          <w:shd w:val="clear" w:color="auto" w:fill="FFFFFF"/>
        </w:rPr>
        <w:t> While correlation coefficients lie between -1 and +1, covariance can take any value between -∞ and +∞</w:t>
      </w:r>
      <w:r>
        <w:rPr>
          <w:rFonts w:cstheme="minorHAnsi"/>
          <w:spacing w:val="-1"/>
          <w:shd w:val="clear" w:color="auto" w:fill="FFFFFF"/>
        </w:rPr>
        <w:t xml:space="preserve">. </w:t>
      </w:r>
      <w:r w:rsidR="00CA2949">
        <w:t>Covariance measures the direction of the linear relationship between variables, whereas correlation indicates both the strength and direction of the linear relationship between two variables.</w:t>
      </w:r>
    </w:p>
    <w:p w14:paraId="43012D56" w14:textId="726CE62F" w:rsidR="00C95734" w:rsidRDefault="00C95734" w:rsidP="007475D9">
      <w:pPr>
        <w:spacing w:line="240" w:lineRule="auto"/>
      </w:pPr>
      <w:r>
        <w:t xml:space="preserve">All the stocks in our portfolio have a degree of positive correlation. </w:t>
      </w:r>
    </w:p>
    <w:p w14:paraId="795BCE79" w14:textId="1EAFEFEB" w:rsidR="00122DC5" w:rsidRDefault="00122DC5" w:rsidP="007475D9">
      <w:pPr>
        <w:pStyle w:val="ListParagraph"/>
        <w:numPr>
          <w:ilvl w:val="0"/>
          <w:numId w:val="12"/>
        </w:numPr>
        <w:spacing w:line="240" w:lineRule="auto"/>
      </w:pPr>
      <w:r>
        <w:t xml:space="preserve">EL and ENPH are strongly correlated, at 0.82. That is interesting given that they are entirely different industries, gaming and renewable energy. </w:t>
      </w:r>
    </w:p>
    <w:p w14:paraId="181D0BC9" w14:textId="35CD395A" w:rsidR="00122DC5" w:rsidRDefault="00122DC5" w:rsidP="007475D9">
      <w:pPr>
        <w:pStyle w:val="ListParagraph"/>
        <w:numPr>
          <w:ilvl w:val="0"/>
          <w:numId w:val="12"/>
        </w:numPr>
        <w:spacing w:line="240" w:lineRule="auto"/>
      </w:pPr>
      <w:r>
        <w:t xml:space="preserve">EL and EA are </w:t>
      </w:r>
      <w:r w:rsidR="00C95734">
        <w:t>moderately correlated, at 0.39</w:t>
      </w:r>
      <w:r>
        <w:t xml:space="preserve">. </w:t>
      </w:r>
    </w:p>
    <w:p w14:paraId="5A51C08A" w14:textId="401C3E2C" w:rsidR="00122DC5" w:rsidRDefault="00122DC5" w:rsidP="007475D9">
      <w:pPr>
        <w:pStyle w:val="ListParagraph"/>
        <w:numPr>
          <w:ilvl w:val="0"/>
          <w:numId w:val="12"/>
        </w:numPr>
        <w:spacing w:line="240" w:lineRule="auto"/>
      </w:pPr>
      <w:r>
        <w:t xml:space="preserve">ENPH and EA are </w:t>
      </w:r>
      <w:r w:rsidR="00C95734">
        <w:t>very weakly correlated, at 0.096</w:t>
      </w:r>
      <w:r>
        <w:t>.</w:t>
      </w:r>
    </w:p>
    <w:p w14:paraId="2A4C6D27" w14:textId="32AE68B0" w:rsidR="00635FF2" w:rsidRDefault="00C95734" w:rsidP="007475D9">
      <w:pPr>
        <w:spacing w:line="240" w:lineRule="auto"/>
        <w:jc w:val="center"/>
      </w:pPr>
      <w:r>
        <w:rPr>
          <w:noProof/>
        </w:rPr>
        <w:drawing>
          <wp:inline distT="0" distB="0" distL="0" distR="0" wp14:anchorId="49172E81" wp14:editId="7BCAE198">
            <wp:extent cx="3505413"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3027" cy="2324043"/>
                    </a:xfrm>
                    <a:prstGeom prst="rect">
                      <a:avLst/>
                    </a:prstGeom>
                    <a:noFill/>
                    <a:ln>
                      <a:noFill/>
                    </a:ln>
                  </pic:spPr>
                </pic:pic>
              </a:graphicData>
            </a:graphic>
          </wp:inline>
        </w:drawing>
      </w:r>
    </w:p>
    <w:p w14:paraId="2A5B3DDD" w14:textId="72E9CA37" w:rsidR="003B7230" w:rsidRDefault="003B7230" w:rsidP="007475D9">
      <w:pPr>
        <w:pStyle w:val="ListParagraph"/>
        <w:numPr>
          <w:ilvl w:val="0"/>
          <w:numId w:val="14"/>
        </w:numPr>
        <w:spacing w:line="240" w:lineRule="auto"/>
      </w:pPr>
      <w:r>
        <w:t>Perform price prediction using Monte Carlo analysis for each stock and comment on their outlook.</w:t>
      </w:r>
    </w:p>
    <w:p w14:paraId="20DA2490" w14:textId="0DFFA4D5" w:rsidR="008F7407" w:rsidRDefault="008F7407" w:rsidP="007475D9">
      <w:pPr>
        <w:pStyle w:val="ListParagraph"/>
        <w:spacing w:line="240" w:lineRule="auto"/>
      </w:pPr>
    </w:p>
    <w:p w14:paraId="236334CE" w14:textId="3C56CA7D" w:rsidR="003B7230" w:rsidRDefault="003B7230" w:rsidP="007475D9">
      <w:pPr>
        <w:pStyle w:val="ListParagraph"/>
        <w:spacing w:line="240" w:lineRule="auto"/>
        <w:rPr>
          <w:b/>
          <w:bCs/>
        </w:rPr>
      </w:pPr>
      <w:r>
        <w:rPr>
          <w:b/>
          <w:bCs/>
        </w:rPr>
        <w:t>Monte Carlo Simulation: Enphase Energy (ENPH)</w:t>
      </w:r>
    </w:p>
    <w:p w14:paraId="68A2E42E" w14:textId="4C1894DF" w:rsidR="003B7230" w:rsidRDefault="003B7230" w:rsidP="007475D9">
      <w:pPr>
        <w:pStyle w:val="ListParagraph"/>
        <w:spacing w:line="240" w:lineRule="auto"/>
        <w:rPr>
          <w:b/>
          <w:bCs/>
        </w:rPr>
      </w:pPr>
    </w:p>
    <w:p w14:paraId="26CF5923" w14:textId="3B48F068" w:rsidR="003B7230" w:rsidRDefault="00466AA1" w:rsidP="007475D9">
      <w:pPr>
        <w:pStyle w:val="ListParagraph"/>
        <w:spacing w:line="240" w:lineRule="auto"/>
        <w:jc w:val="center"/>
        <w:rPr>
          <w:noProof/>
        </w:rPr>
      </w:pPr>
      <w:r>
        <w:rPr>
          <w:noProof/>
        </w:rPr>
        <w:lastRenderedPageBreak/>
        <w:drawing>
          <wp:inline distT="0" distB="0" distL="0" distR="0" wp14:anchorId="5857A1EC" wp14:editId="05060F32">
            <wp:extent cx="3294858" cy="23278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879" cy="2362433"/>
                    </a:xfrm>
                    <a:prstGeom prst="rect">
                      <a:avLst/>
                    </a:prstGeom>
                    <a:noFill/>
                    <a:ln>
                      <a:noFill/>
                    </a:ln>
                  </pic:spPr>
                </pic:pic>
              </a:graphicData>
            </a:graphic>
          </wp:inline>
        </w:drawing>
      </w:r>
    </w:p>
    <w:p w14:paraId="3EE2A059" w14:textId="5481AAA2" w:rsidR="00D30839" w:rsidRPr="003B7230" w:rsidRDefault="00466AA1" w:rsidP="007475D9">
      <w:pPr>
        <w:pStyle w:val="ListParagraph"/>
        <w:spacing w:line="240" w:lineRule="auto"/>
        <w:jc w:val="center"/>
      </w:pPr>
      <w:r>
        <w:rPr>
          <w:noProof/>
        </w:rPr>
        <w:drawing>
          <wp:inline distT="0" distB="0" distL="0" distR="0" wp14:anchorId="3AAD4684" wp14:editId="1F1C6EC9">
            <wp:extent cx="3434963" cy="2471467"/>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2407" cy="2476823"/>
                    </a:xfrm>
                    <a:prstGeom prst="rect">
                      <a:avLst/>
                    </a:prstGeom>
                    <a:noFill/>
                    <a:ln>
                      <a:noFill/>
                    </a:ln>
                  </pic:spPr>
                </pic:pic>
              </a:graphicData>
            </a:graphic>
          </wp:inline>
        </w:drawing>
      </w:r>
    </w:p>
    <w:p w14:paraId="454B77F2"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Mean ending value of the simulated 1-year ENPH stock price: $95.14</w:t>
      </w:r>
    </w:p>
    <w:p w14:paraId="7B4556CD"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ENPH 95% confidence range: $89.06 - $101.21</w:t>
      </w:r>
    </w:p>
    <w:p w14:paraId="2E1FF926"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Standard deviation: $97.84</w:t>
      </w:r>
    </w:p>
    <w:p w14:paraId="1BA5F841" w14:textId="77777777" w:rsidR="00466AA1" w:rsidRDefault="00466AA1" w:rsidP="007475D9">
      <w:pPr>
        <w:pStyle w:val="HTMLPreformatted"/>
        <w:shd w:val="clear" w:color="auto" w:fill="111111"/>
        <w:wordWrap w:val="0"/>
        <w:rPr>
          <w:rFonts w:ascii="var(--jp-code-font-family)" w:hAnsi="var(--jp-code-font-family)"/>
        </w:rPr>
      </w:pPr>
    </w:p>
    <w:p w14:paraId="49319A19"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The maximum yearly simulated ENPH return is $1167.12</w:t>
      </w:r>
    </w:p>
    <w:p w14:paraId="0EF18BAC"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The minimum yearly ENPH return is $4.69</w:t>
      </w:r>
    </w:p>
    <w:p w14:paraId="6388101C" w14:textId="77777777" w:rsidR="00466AA1" w:rsidRDefault="00466AA1" w:rsidP="007475D9">
      <w:pPr>
        <w:pStyle w:val="HTMLPreformatted"/>
        <w:shd w:val="clear" w:color="auto" w:fill="111111"/>
        <w:wordWrap w:val="0"/>
        <w:rPr>
          <w:rFonts w:ascii="var(--jp-code-font-family)" w:hAnsi="var(--jp-code-font-family)"/>
        </w:rPr>
      </w:pPr>
    </w:p>
    <w:p w14:paraId="75DEFF13"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5th percentile: $16.03</w:t>
      </w:r>
    </w:p>
    <w:p w14:paraId="06EC743E"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Median: $65.98</w:t>
      </w:r>
    </w:p>
    <w:p w14:paraId="38341736" w14:textId="77777777" w:rsidR="00466AA1" w:rsidRDefault="00466AA1" w:rsidP="007475D9">
      <w:pPr>
        <w:pStyle w:val="HTMLPreformatted"/>
        <w:shd w:val="clear" w:color="auto" w:fill="111111"/>
        <w:wordWrap w:val="0"/>
        <w:rPr>
          <w:rFonts w:ascii="var(--jp-code-font-family)" w:hAnsi="var(--jp-code-font-family)"/>
        </w:rPr>
      </w:pPr>
      <w:r>
        <w:rPr>
          <w:rFonts w:ascii="var(--jp-code-font-family)" w:hAnsi="var(--jp-code-font-family)"/>
        </w:rPr>
        <w:t>95th percentile: $264.11</w:t>
      </w:r>
    </w:p>
    <w:p w14:paraId="7092F27D" w14:textId="77777777" w:rsidR="00A8018E" w:rsidRDefault="00A8018E" w:rsidP="007475D9">
      <w:pPr>
        <w:spacing w:after="0" w:line="240" w:lineRule="auto"/>
        <w:rPr>
          <w:b/>
          <w:bCs/>
        </w:rPr>
      </w:pPr>
    </w:p>
    <w:p w14:paraId="75BF6C3C" w14:textId="1160C3B2" w:rsidR="007E6C37" w:rsidRDefault="007E6C37" w:rsidP="007475D9">
      <w:pPr>
        <w:spacing w:after="0" w:line="240" w:lineRule="auto"/>
      </w:pPr>
      <w:r>
        <w:t>ENPH has a high volatility and a high standard deviation</w:t>
      </w:r>
      <w:r w:rsidR="00AD7C2C">
        <w:t xml:space="preserve"> ($</w:t>
      </w:r>
      <w:r w:rsidR="00E364B4">
        <w:t>97.84</w:t>
      </w:r>
      <w:r w:rsidR="00AD7C2C">
        <w:t>) relative to the mean ($</w:t>
      </w:r>
      <w:r w:rsidR="00E364B4">
        <w:t>95.14</w:t>
      </w:r>
      <w:r w:rsidR="00AD7C2C">
        <w:t>)</w:t>
      </w:r>
      <w:r>
        <w:t xml:space="preserve">; the simulated maximum return is extremely high relative to the minimum, </w:t>
      </w:r>
      <w:r w:rsidR="00AD7C2C">
        <w:t>$1,</w:t>
      </w:r>
      <w:r w:rsidR="00E364B4">
        <w:t>167.12</w:t>
      </w:r>
      <w:r w:rsidR="00AD7C2C">
        <w:t xml:space="preserve"> vs. $</w:t>
      </w:r>
      <w:r w:rsidR="00E364B4">
        <w:t>4</w:t>
      </w:r>
      <w:r w:rsidR="00AD7C2C">
        <w:t>.</w:t>
      </w:r>
      <w:r w:rsidR="00E364B4">
        <w:t>69</w:t>
      </w:r>
      <w:r w:rsidR="00AD7C2C">
        <w:t xml:space="preserve">. </w:t>
      </w:r>
      <w:r w:rsidR="0041231C">
        <w:t>Surprisingly, the median is quite a bit lower than the median, at $</w:t>
      </w:r>
      <w:r w:rsidR="00E364B4">
        <w:t>65.98</w:t>
      </w:r>
      <w:r w:rsidR="0041231C">
        <w:t xml:space="preserve">. </w:t>
      </w:r>
    </w:p>
    <w:p w14:paraId="5452EBA7" w14:textId="77777777" w:rsidR="00D317C0" w:rsidRPr="007E6C37" w:rsidRDefault="00D317C0" w:rsidP="007475D9">
      <w:pPr>
        <w:spacing w:after="0" w:line="240" w:lineRule="auto"/>
      </w:pPr>
    </w:p>
    <w:p w14:paraId="620108E3" w14:textId="3FE250C2" w:rsidR="003B7230" w:rsidRDefault="001E0C00" w:rsidP="007475D9">
      <w:pPr>
        <w:pStyle w:val="ListParagraph"/>
        <w:spacing w:line="240" w:lineRule="auto"/>
        <w:rPr>
          <w:b/>
          <w:bCs/>
        </w:rPr>
      </w:pPr>
      <w:r>
        <w:rPr>
          <w:b/>
          <w:bCs/>
        </w:rPr>
        <w:t>Monte Carlo: Electronic Arts (EA)</w:t>
      </w:r>
    </w:p>
    <w:p w14:paraId="5A7362E5" w14:textId="17A5E04F" w:rsidR="001E0C00" w:rsidRDefault="001E0C00" w:rsidP="007475D9">
      <w:pPr>
        <w:pStyle w:val="ListParagraph"/>
        <w:spacing w:line="240" w:lineRule="auto"/>
        <w:rPr>
          <w:b/>
          <w:bCs/>
        </w:rPr>
      </w:pPr>
    </w:p>
    <w:p w14:paraId="519AE681" w14:textId="0B15FC56" w:rsidR="001E0C00" w:rsidRDefault="001E0C00" w:rsidP="007475D9">
      <w:pPr>
        <w:pStyle w:val="ListParagraph"/>
        <w:spacing w:line="240" w:lineRule="auto"/>
        <w:jc w:val="center"/>
        <w:rPr>
          <w:noProof/>
        </w:rPr>
      </w:pPr>
      <w:r>
        <w:rPr>
          <w:noProof/>
        </w:rPr>
        <w:lastRenderedPageBreak/>
        <w:drawing>
          <wp:inline distT="0" distB="0" distL="0" distR="0" wp14:anchorId="635C5F5A" wp14:editId="5630A51C">
            <wp:extent cx="3252083" cy="233030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8941" cy="2335215"/>
                    </a:xfrm>
                    <a:prstGeom prst="rect">
                      <a:avLst/>
                    </a:prstGeom>
                    <a:noFill/>
                    <a:ln>
                      <a:noFill/>
                    </a:ln>
                  </pic:spPr>
                </pic:pic>
              </a:graphicData>
            </a:graphic>
          </wp:inline>
        </w:drawing>
      </w:r>
    </w:p>
    <w:p w14:paraId="657E2231" w14:textId="32F29F6C" w:rsidR="00F31EB4" w:rsidRDefault="00F31EB4" w:rsidP="007475D9">
      <w:pPr>
        <w:pStyle w:val="ListParagraph"/>
        <w:spacing w:line="240" w:lineRule="auto"/>
        <w:jc w:val="center"/>
        <w:rPr>
          <w:noProof/>
        </w:rPr>
      </w:pPr>
    </w:p>
    <w:p w14:paraId="20DAC21C" w14:textId="550A811F" w:rsidR="00F31EB4" w:rsidRDefault="00F31EB4" w:rsidP="007475D9">
      <w:pPr>
        <w:pStyle w:val="ListParagraph"/>
        <w:spacing w:line="240" w:lineRule="auto"/>
        <w:jc w:val="center"/>
        <w:rPr>
          <w:noProof/>
        </w:rPr>
      </w:pPr>
      <w:r>
        <w:rPr>
          <w:noProof/>
        </w:rPr>
        <w:drawing>
          <wp:inline distT="0" distB="0" distL="0" distR="0" wp14:anchorId="5B7E6067" wp14:editId="17A93E52">
            <wp:extent cx="3493002" cy="258400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8763" cy="2588270"/>
                    </a:xfrm>
                    <a:prstGeom prst="rect">
                      <a:avLst/>
                    </a:prstGeom>
                    <a:noFill/>
                    <a:ln>
                      <a:noFill/>
                    </a:ln>
                  </pic:spPr>
                </pic:pic>
              </a:graphicData>
            </a:graphic>
          </wp:inline>
        </w:drawing>
      </w:r>
    </w:p>
    <w:p w14:paraId="1B50BA6E"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Mean ending value of the simulated 1-year EA stock price: $119.42</w:t>
      </w:r>
    </w:p>
    <w:p w14:paraId="030CD5E5"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EA 95% confidence range: $116.86 - $121.99</w:t>
      </w:r>
    </w:p>
    <w:p w14:paraId="1E76740E"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Standard deviation: $41.35</w:t>
      </w:r>
    </w:p>
    <w:p w14:paraId="414F09F7" w14:textId="77777777" w:rsidR="00556A9B" w:rsidRDefault="00556A9B" w:rsidP="007475D9">
      <w:pPr>
        <w:pStyle w:val="HTMLPreformatted"/>
        <w:shd w:val="clear" w:color="auto" w:fill="111111"/>
        <w:wordWrap w:val="0"/>
        <w:rPr>
          <w:rFonts w:ascii="var(--jp-code-font-family)" w:hAnsi="var(--jp-code-font-family)"/>
        </w:rPr>
      </w:pPr>
    </w:p>
    <w:p w14:paraId="103E2126"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The maximum yearly simulated EA return is $398.09</w:t>
      </w:r>
    </w:p>
    <w:p w14:paraId="3A8A6F2B"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The minimum yearly EA return is $31.00</w:t>
      </w:r>
    </w:p>
    <w:p w14:paraId="6BD79F95" w14:textId="77777777" w:rsidR="00556A9B" w:rsidRDefault="00556A9B" w:rsidP="007475D9">
      <w:pPr>
        <w:pStyle w:val="HTMLPreformatted"/>
        <w:shd w:val="clear" w:color="auto" w:fill="111111"/>
        <w:wordWrap w:val="0"/>
        <w:rPr>
          <w:rFonts w:ascii="var(--jp-code-font-family)" w:hAnsi="var(--jp-code-font-family)"/>
        </w:rPr>
      </w:pPr>
    </w:p>
    <w:p w14:paraId="4A120499"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5th percentile: $65.25</w:t>
      </w:r>
    </w:p>
    <w:p w14:paraId="304749F5"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Median: $113.36</w:t>
      </w:r>
    </w:p>
    <w:p w14:paraId="39ED16D1" w14:textId="77777777" w:rsidR="00556A9B" w:rsidRDefault="00556A9B" w:rsidP="007475D9">
      <w:pPr>
        <w:pStyle w:val="HTMLPreformatted"/>
        <w:shd w:val="clear" w:color="auto" w:fill="111111"/>
        <w:wordWrap w:val="0"/>
        <w:rPr>
          <w:rFonts w:ascii="var(--jp-code-font-family)" w:hAnsi="var(--jp-code-font-family)"/>
        </w:rPr>
      </w:pPr>
      <w:r>
        <w:rPr>
          <w:rFonts w:ascii="var(--jp-code-font-family)" w:hAnsi="var(--jp-code-font-family)"/>
        </w:rPr>
        <w:t>95th percentile: $194.04</w:t>
      </w:r>
    </w:p>
    <w:p w14:paraId="43C8B049" w14:textId="11C79795" w:rsidR="00F31EB4" w:rsidRDefault="00F31EB4" w:rsidP="007475D9">
      <w:pPr>
        <w:spacing w:line="240" w:lineRule="auto"/>
        <w:rPr>
          <w:noProof/>
        </w:rPr>
      </w:pPr>
    </w:p>
    <w:p w14:paraId="310EE4EE" w14:textId="5B306436" w:rsidR="0041231C" w:rsidRPr="007475D9" w:rsidRDefault="0041231C" w:rsidP="007475D9">
      <w:pPr>
        <w:spacing w:line="240" w:lineRule="auto"/>
        <w:rPr>
          <w:rFonts w:cstheme="minorHAnsi"/>
          <w:noProof/>
        </w:rPr>
      </w:pPr>
      <w:r>
        <w:rPr>
          <w:noProof/>
        </w:rPr>
        <w:t>EA has a mean 1-year return of $11</w:t>
      </w:r>
      <w:r w:rsidR="00556A9B">
        <w:rPr>
          <w:noProof/>
        </w:rPr>
        <w:t>9</w:t>
      </w:r>
      <w:r>
        <w:rPr>
          <w:noProof/>
        </w:rPr>
        <w:t>.</w:t>
      </w:r>
      <w:r w:rsidR="00556A9B">
        <w:rPr>
          <w:noProof/>
        </w:rPr>
        <w:t>42</w:t>
      </w:r>
      <w:r>
        <w:rPr>
          <w:noProof/>
        </w:rPr>
        <w:t>, with a standard deviation of $</w:t>
      </w:r>
      <w:r w:rsidR="00CD6417">
        <w:rPr>
          <w:noProof/>
        </w:rPr>
        <w:t>41.35</w:t>
      </w:r>
      <w:r>
        <w:rPr>
          <w:noProof/>
        </w:rPr>
        <w:t xml:space="preserve">. Relative to ENPH, the </w:t>
      </w:r>
      <w:r w:rsidRPr="007475D9">
        <w:rPr>
          <w:rFonts w:cstheme="minorHAnsi"/>
          <w:noProof/>
        </w:rPr>
        <w:t>mean return is higher and the standard deviation is much lower. The maximum simulated return is also quite a bit lower, at $3</w:t>
      </w:r>
      <w:r w:rsidR="00CD6417" w:rsidRPr="007475D9">
        <w:rPr>
          <w:rFonts w:cstheme="minorHAnsi"/>
          <w:noProof/>
        </w:rPr>
        <w:t>98.09</w:t>
      </w:r>
      <w:r w:rsidRPr="007475D9">
        <w:rPr>
          <w:rFonts w:cstheme="minorHAnsi"/>
          <w:noProof/>
        </w:rPr>
        <w:t xml:space="preserve">, but the minimum yearly return is </w:t>
      </w:r>
      <w:r w:rsidR="00CD6417" w:rsidRPr="007475D9">
        <w:rPr>
          <w:rFonts w:cstheme="minorHAnsi"/>
          <w:noProof/>
        </w:rPr>
        <w:t xml:space="preserve">somewhat </w:t>
      </w:r>
      <w:r w:rsidRPr="007475D9">
        <w:rPr>
          <w:rFonts w:cstheme="minorHAnsi"/>
          <w:noProof/>
        </w:rPr>
        <w:t xml:space="preserve">less egregiously low. </w:t>
      </w:r>
      <w:r w:rsidR="006618DA" w:rsidRPr="007475D9">
        <w:rPr>
          <w:rFonts w:cstheme="minorHAnsi"/>
          <w:noProof/>
        </w:rPr>
        <w:t>The median return</w:t>
      </w:r>
      <w:r w:rsidR="007E5D6A" w:rsidRPr="007475D9">
        <w:rPr>
          <w:rFonts w:cstheme="minorHAnsi"/>
          <w:noProof/>
        </w:rPr>
        <w:t>, $11</w:t>
      </w:r>
      <w:r w:rsidR="00CD6417" w:rsidRPr="007475D9">
        <w:rPr>
          <w:rFonts w:cstheme="minorHAnsi"/>
          <w:noProof/>
        </w:rPr>
        <w:t>3</w:t>
      </w:r>
      <w:r w:rsidR="007E5D6A" w:rsidRPr="007475D9">
        <w:rPr>
          <w:rFonts w:cstheme="minorHAnsi"/>
          <w:noProof/>
        </w:rPr>
        <w:t>.</w:t>
      </w:r>
      <w:r w:rsidR="00CD6417" w:rsidRPr="007475D9">
        <w:rPr>
          <w:rFonts w:cstheme="minorHAnsi"/>
          <w:noProof/>
        </w:rPr>
        <w:t>36</w:t>
      </w:r>
      <w:r w:rsidR="007E5D6A" w:rsidRPr="007475D9">
        <w:rPr>
          <w:rFonts w:cstheme="minorHAnsi"/>
          <w:noProof/>
        </w:rPr>
        <w:t xml:space="preserve">, </w:t>
      </w:r>
      <w:r w:rsidR="006618DA" w:rsidRPr="007475D9">
        <w:rPr>
          <w:rFonts w:cstheme="minorHAnsi"/>
          <w:noProof/>
        </w:rPr>
        <w:t xml:space="preserve">is very close to the mean return. </w:t>
      </w:r>
    </w:p>
    <w:p w14:paraId="2E67CCC6" w14:textId="08AB761D" w:rsidR="001E0C00" w:rsidRPr="007475D9" w:rsidRDefault="001E0C00" w:rsidP="007475D9">
      <w:pPr>
        <w:spacing w:line="240" w:lineRule="auto"/>
        <w:rPr>
          <w:rFonts w:cstheme="minorHAnsi"/>
          <w:b/>
          <w:bCs/>
        </w:rPr>
      </w:pPr>
      <w:r w:rsidRPr="007475D9">
        <w:rPr>
          <w:rFonts w:cstheme="minorHAnsi"/>
          <w:b/>
          <w:bCs/>
        </w:rPr>
        <w:t>Monte Carlo: Estee Lauder (EL)</w:t>
      </w:r>
    </w:p>
    <w:p w14:paraId="56D1B280" w14:textId="1296C45F" w:rsidR="001E0C00" w:rsidRPr="007475D9" w:rsidRDefault="009A5871" w:rsidP="007475D9">
      <w:pPr>
        <w:spacing w:line="240" w:lineRule="auto"/>
        <w:jc w:val="center"/>
        <w:rPr>
          <w:rFonts w:cstheme="minorHAnsi"/>
        </w:rPr>
      </w:pPr>
      <w:r w:rsidRPr="007475D9">
        <w:rPr>
          <w:rFonts w:cstheme="minorHAnsi"/>
          <w:noProof/>
        </w:rPr>
        <w:lastRenderedPageBreak/>
        <w:drawing>
          <wp:inline distT="0" distB="0" distL="0" distR="0" wp14:anchorId="5D9B3CBE" wp14:editId="35D9EA46">
            <wp:extent cx="3299792" cy="23644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682" cy="2368708"/>
                    </a:xfrm>
                    <a:prstGeom prst="rect">
                      <a:avLst/>
                    </a:prstGeom>
                    <a:noFill/>
                    <a:ln>
                      <a:noFill/>
                    </a:ln>
                  </pic:spPr>
                </pic:pic>
              </a:graphicData>
            </a:graphic>
          </wp:inline>
        </w:drawing>
      </w:r>
    </w:p>
    <w:p w14:paraId="3CF83107" w14:textId="187D9C15" w:rsidR="00F31EB4" w:rsidRPr="007475D9" w:rsidRDefault="00F31EB4" w:rsidP="007475D9">
      <w:pPr>
        <w:spacing w:line="240" w:lineRule="auto"/>
        <w:jc w:val="center"/>
        <w:rPr>
          <w:rFonts w:cstheme="minorHAnsi"/>
        </w:rPr>
      </w:pPr>
      <w:r w:rsidRPr="007475D9">
        <w:rPr>
          <w:rFonts w:cstheme="minorHAnsi"/>
          <w:noProof/>
        </w:rPr>
        <w:drawing>
          <wp:inline distT="0" distB="0" distL="0" distR="0" wp14:anchorId="25D9907F" wp14:editId="26891AD3">
            <wp:extent cx="3203919" cy="233709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059" cy="2357624"/>
                    </a:xfrm>
                    <a:prstGeom prst="rect">
                      <a:avLst/>
                    </a:prstGeom>
                    <a:noFill/>
                    <a:ln>
                      <a:noFill/>
                    </a:ln>
                  </pic:spPr>
                </pic:pic>
              </a:graphicData>
            </a:graphic>
          </wp:inline>
        </w:drawing>
      </w:r>
    </w:p>
    <w:p w14:paraId="008BCF3C"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Mean ending value of the simulated 1-year EL stock price: $199.30</w:t>
      </w:r>
    </w:p>
    <w:p w14:paraId="0E99CFF8"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EL 95% confidence range: $195.92 - $202.68</w:t>
      </w:r>
    </w:p>
    <w:p w14:paraId="3DCC2627"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Standard deviation: $54.42</w:t>
      </w:r>
    </w:p>
    <w:p w14:paraId="5BE068F7"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p>
    <w:p w14:paraId="4B27B621"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The maximum yearly simulated EL stock return is $444.20</w:t>
      </w:r>
    </w:p>
    <w:p w14:paraId="4D82E721"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The minimum yearly EL return is $76.89</w:t>
      </w:r>
    </w:p>
    <w:p w14:paraId="31E9C058"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p>
    <w:p w14:paraId="6F84C443"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5th percentile: $123.44</w:t>
      </w:r>
    </w:p>
    <w:p w14:paraId="536A2571"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Median: $191.17</w:t>
      </w:r>
    </w:p>
    <w:p w14:paraId="2A2B377E" w14:textId="77777777" w:rsidR="0050788E" w:rsidRPr="007475D9" w:rsidRDefault="0050788E"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95th percentile: $298.01</w:t>
      </w:r>
    </w:p>
    <w:p w14:paraId="6C83128B" w14:textId="77777777" w:rsidR="002F7D69" w:rsidRPr="007475D9" w:rsidRDefault="002F7D69" w:rsidP="007475D9">
      <w:pPr>
        <w:pStyle w:val="HTMLPreformatted"/>
        <w:wordWrap w:val="0"/>
        <w:rPr>
          <w:rFonts w:asciiTheme="minorHAnsi" w:hAnsiTheme="minorHAnsi" w:cstheme="minorHAnsi"/>
          <w:color w:val="000000"/>
          <w:sz w:val="22"/>
          <w:szCs w:val="22"/>
        </w:rPr>
      </w:pPr>
    </w:p>
    <w:p w14:paraId="0CC15141" w14:textId="3E453B35" w:rsidR="006618DA" w:rsidRPr="007475D9" w:rsidRDefault="006618DA" w:rsidP="007475D9">
      <w:pPr>
        <w:spacing w:line="240" w:lineRule="auto"/>
        <w:rPr>
          <w:rFonts w:cstheme="minorHAnsi"/>
        </w:rPr>
      </w:pPr>
      <w:r w:rsidRPr="007475D9">
        <w:rPr>
          <w:rFonts w:cstheme="minorHAnsi"/>
        </w:rPr>
        <w:t>EL’s mean yearly</w:t>
      </w:r>
      <w:r w:rsidR="0050788E" w:rsidRPr="007475D9">
        <w:rPr>
          <w:rFonts w:cstheme="minorHAnsi"/>
        </w:rPr>
        <w:t xml:space="preserve"> simulated</w:t>
      </w:r>
      <w:r w:rsidRPr="007475D9">
        <w:rPr>
          <w:rFonts w:cstheme="minorHAnsi"/>
        </w:rPr>
        <w:t xml:space="preserve"> return is $1</w:t>
      </w:r>
      <w:r w:rsidR="0050788E" w:rsidRPr="007475D9">
        <w:rPr>
          <w:rFonts w:cstheme="minorHAnsi"/>
        </w:rPr>
        <w:t>99</w:t>
      </w:r>
      <w:r w:rsidRPr="007475D9">
        <w:rPr>
          <w:rFonts w:cstheme="minorHAnsi"/>
        </w:rPr>
        <w:t>.</w:t>
      </w:r>
      <w:r w:rsidR="0050788E" w:rsidRPr="007475D9">
        <w:rPr>
          <w:rFonts w:cstheme="minorHAnsi"/>
        </w:rPr>
        <w:t>30</w:t>
      </w:r>
      <w:r w:rsidRPr="007475D9">
        <w:rPr>
          <w:rFonts w:cstheme="minorHAnsi"/>
        </w:rPr>
        <w:t>, with a standard deviation of $5</w:t>
      </w:r>
      <w:r w:rsidR="0050788E" w:rsidRPr="007475D9">
        <w:rPr>
          <w:rFonts w:cstheme="minorHAnsi"/>
        </w:rPr>
        <w:t>4</w:t>
      </w:r>
      <w:r w:rsidRPr="007475D9">
        <w:rPr>
          <w:rFonts w:cstheme="minorHAnsi"/>
        </w:rPr>
        <w:t>.</w:t>
      </w:r>
      <w:r w:rsidR="0050788E" w:rsidRPr="007475D9">
        <w:rPr>
          <w:rFonts w:cstheme="minorHAnsi"/>
        </w:rPr>
        <w:t>42</w:t>
      </w:r>
      <w:r w:rsidRPr="007475D9">
        <w:rPr>
          <w:rFonts w:cstheme="minorHAnsi"/>
        </w:rPr>
        <w:t>. Its simulated return is higher than both ENPH and EA, and the standard deviation is right in the middle of those two. The potential maximum return is $</w:t>
      </w:r>
      <w:r w:rsidR="0050788E" w:rsidRPr="007475D9">
        <w:rPr>
          <w:rFonts w:cstheme="minorHAnsi"/>
        </w:rPr>
        <w:t>444.20</w:t>
      </w:r>
      <w:r w:rsidRPr="007475D9">
        <w:rPr>
          <w:rFonts w:cstheme="minorHAnsi"/>
        </w:rPr>
        <w:t>, higher than EA’s maximum but significantly lower than ENPH’s; its minimum yearly return, at $</w:t>
      </w:r>
      <w:r w:rsidR="0050788E" w:rsidRPr="007475D9">
        <w:rPr>
          <w:rFonts w:cstheme="minorHAnsi"/>
        </w:rPr>
        <w:t>76.89</w:t>
      </w:r>
      <w:r w:rsidRPr="007475D9">
        <w:rPr>
          <w:rFonts w:cstheme="minorHAnsi"/>
        </w:rPr>
        <w:t xml:space="preserve">, is only slightly lower than ENPH’s mean return, at $75.66. The median is very close to the mean. </w:t>
      </w:r>
    </w:p>
    <w:p w14:paraId="751C8CCC" w14:textId="77777777" w:rsidR="006618DA" w:rsidRPr="007475D9" w:rsidRDefault="006618DA" w:rsidP="007475D9">
      <w:pPr>
        <w:pStyle w:val="ListParagraph"/>
        <w:spacing w:line="240" w:lineRule="auto"/>
        <w:rPr>
          <w:rFonts w:cstheme="minorHAnsi"/>
        </w:rPr>
      </w:pPr>
    </w:p>
    <w:p w14:paraId="1635C8B9" w14:textId="7B343F8B" w:rsidR="00B172CC" w:rsidRPr="007475D9" w:rsidRDefault="00B172CC" w:rsidP="007475D9">
      <w:pPr>
        <w:pStyle w:val="ListParagraph"/>
        <w:numPr>
          <w:ilvl w:val="0"/>
          <w:numId w:val="14"/>
        </w:numPr>
        <w:spacing w:line="240" w:lineRule="auto"/>
        <w:rPr>
          <w:rFonts w:cstheme="minorHAnsi"/>
        </w:rPr>
      </w:pPr>
      <w:r w:rsidRPr="007475D9">
        <w:rPr>
          <w:rFonts w:cstheme="minorHAnsi"/>
        </w:rPr>
        <w:t>Perform analysis to optimize portfolio results and present findings.</w:t>
      </w:r>
    </w:p>
    <w:p w14:paraId="1E76A33F" w14:textId="363F7D34" w:rsidR="008514B8" w:rsidRPr="007475D9" w:rsidRDefault="008514B8" w:rsidP="007475D9">
      <w:pPr>
        <w:spacing w:line="240" w:lineRule="auto"/>
        <w:rPr>
          <w:rFonts w:cstheme="minorHAnsi"/>
        </w:rPr>
      </w:pPr>
      <w:r w:rsidRPr="007475D9">
        <w:rPr>
          <w:rFonts w:cstheme="minorHAnsi"/>
        </w:rPr>
        <w:lastRenderedPageBreak/>
        <w:t xml:space="preserve">We used a risk-free-rate of </w:t>
      </w:r>
      <w:r w:rsidR="00725C25" w:rsidRPr="007475D9">
        <w:rPr>
          <w:rFonts w:cstheme="minorHAnsi"/>
        </w:rPr>
        <w:t>1</w:t>
      </w:r>
      <w:r w:rsidRPr="007475D9">
        <w:rPr>
          <w:rFonts w:cstheme="minorHAnsi"/>
        </w:rPr>
        <w:t xml:space="preserve">.52%, based on the US T-Bill </w:t>
      </w:r>
      <w:proofErr w:type="gramStart"/>
      <w:r w:rsidRPr="007475D9">
        <w:rPr>
          <w:rFonts w:cstheme="minorHAnsi"/>
        </w:rPr>
        <w:t>52 week</w:t>
      </w:r>
      <w:proofErr w:type="gramEnd"/>
      <w:r w:rsidRPr="007475D9">
        <w:rPr>
          <w:rFonts w:cstheme="minorHAnsi"/>
        </w:rPr>
        <w:t xml:space="preserve"> rate starting 01/02/</w:t>
      </w:r>
      <w:r w:rsidR="00725C25" w:rsidRPr="007475D9">
        <w:rPr>
          <w:rFonts w:cstheme="minorHAnsi"/>
        </w:rPr>
        <w:t>20</w:t>
      </w:r>
      <w:r w:rsidRPr="007475D9">
        <w:rPr>
          <w:rFonts w:cstheme="minorHAnsi"/>
        </w:rPr>
        <w:t xml:space="preserve">. </w:t>
      </w:r>
    </w:p>
    <w:p w14:paraId="643F62A0" w14:textId="21F9AEB7" w:rsidR="00B172CC" w:rsidRPr="007475D9" w:rsidRDefault="000B5769" w:rsidP="007475D9">
      <w:pPr>
        <w:pStyle w:val="NormalWeb"/>
        <w:spacing w:before="0" w:beforeAutospacing="0" w:after="240" w:afterAutospacing="0"/>
        <w:jc w:val="center"/>
        <w:rPr>
          <w:rFonts w:asciiTheme="minorHAnsi" w:hAnsiTheme="minorHAnsi" w:cstheme="minorHAnsi"/>
          <w:color w:val="000000"/>
          <w:sz w:val="22"/>
          <w:szCs w:val="22"/>
        </w:rPr>
      </w:pPr>
      <w:r w:rsidRPr="007475D9">
        <w:rPr>
          <w:rFonts w:asciiTheme="minorHAnsi" w:hAnsiTheme="minorHAnsi" w:cstheme="minorHAnsi"/>
          <w:noProof/>
          <w:color w:val="000000"/>
          <w:sz w:val="22"/>
          <w:szCs w:val="22"/>
        </w:rPr>
        <w:drawing>
          <wp:inline distT="0" distB="0" distL="0" distR="0" wp14:anchorId="110C57CE" wp14:editId="71EF9AC0">
            <wp:extent cx="3830406" cy="274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5094" cy="2760880"/>
                    </a:xfrm>
                    <a:prstGeom prst="rect">
                      <a:avLst/>
                    </a:prstGeom>
                    <a:noFill/>
                    <a:ln>
                      <a:noFill/>
                    </a:ln>
                  </pic:spPr>
                </pic:pic>
              </a:graphicData>
            </a:graphic>
          </wp:inline>
        </w:drawing>
      </w:r>
    </w:p>
    <w:p w14:paraId="30B26E19" w14:textId="507AB8B1" w:rsidR="00AA7ADC" w:rsidRPr="007475D9" w:rsidRDefault="00515C8B" w:rsidP="007475D9">
      <w:pPr>
        <w:spacing w:line="240" w:lineRule="auto"/>
        <w:rPr>
          <w:rFonts w:eastAsia="Times New Roman" w:cstheme="minorHAnsi"/>
          <w:lang w:eastAsia="en-CA"/>
        </w:rPr>
      </w:pPr>
      <w:r w:rsidRPr="007475D9">
        <w:rPr>
          <w:rFonts w:eastAsia="Times New Roman" w:cstheme="minorHAnsi"/>
          <w:lang w:eastAsia="en-CA"/>
        </w:rPr>
        <w:t>Maximising the Sharpe Ratio, our portfolio breaks down in the following way:</w:t>
      </w:r>
    </w:p>
    <w:p w14:paraId="68F53BD4"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w:t>
      </w:r>
    </w:p>
    <w:p w14:paraId="2305235C"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Maximum Sharpe Ratio Portfolio Allocation</w:t>
      </w:r>
    </w:p>
    <w:p w14:paraId="172A571E"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4E5CD371"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Annualised Return: 0.43</w:t>
      </w:r>
    </w:p>
    <w:p w14:paraId="5A288312"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Annualised Volatility: 0.36</w:t>
      </w:r>
    </w:p>
    <w:p w14:paraId="5F392E64"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2FB59EE7"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659DBEF6" w14:textId="42F4841A"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 xml:space="preserve">              </w:t>
      </w:r>
      <w:r w:rsidRPr="007475D9">
        <w:rPr>
          <w:rFonts w:asciiTheme="minorHAnsi" w:hAnsiTheme="minorHAnsi" w:cstheme="minorHAnsi"/>
          <w:sz w:val="22"/>
          <w:szCs w:val="22"/>
        </w:rPr>
        <w:tab/>
        <w:t xml:space="preserve">      EA     EL   ENPH</w:t>
      </w:r>
    </w:p>
    <w:p w14:paraId="6FB3C24C"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roofErr w:type="gramStart"/>
      <w:r w:rsidRPr="007475D9">
        <w:rPr>
          <w:rFonts w:asciiTheme="minorHAnsi" w:hAnsiTheme="minorHAnsi" w:cstheme="minorHAnsi"/>
          <w:sz w:val="22"/>
          <w:szCs w:val="22"/>
        </w:rPr>
        <w:t>allocation  13.43</w:t>
      </w:r>
      <w:proofErr w:type="gramEnd"/>
      <w:r w:rsidRPr="007475D9">
        <w:rPr>
          <w:rFonts w:asciiTheme="minorHAnsi" w:hAnsiTheme="minorHAnsi" w:cstheme="minorHAnsi"/>
          <w:sz w:val="22"/>
          <w:szCs w:val="22"/>
        </w:rPr>
        <w:t xml:space="preserve">  53.75  32.82</w:t>
      </w:r>
    </w:p>
    <w:p w14:paraId="5E31E321"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w:t>
      </w:r>
    </w:p>
    <w:p w14:paraId="3AE35D34"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Minimum Volatility Portfolio Allocation</w:t>
      </w:r>
    </w:p>
    <w:p w14:paraId="3F7B632A"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7B9822D6"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Annualised Return: 0.19</w:t>
      </w:r>
    </w:p>
    <w:p w14:paraId="167D711E"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Annualised Volatility: 0.23</w:t>
      </w:r>
    </w:p>
    <w:p w14:paraId="65694BA9"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13888257"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76FD0551" w14:textId="6A909A86"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 xml:space="preserve">              </w:t>
      </w:r>
      <w:r w:rsidRPr="007475D9">
        <w:rPr>
          <w:rFonts w:asciiTheme="minorHAnsi" w:hAnsiTheme="minorHAnsi" w:cstheme="minorHAnsi"/>
          <w:sz w:val="22"/>
          <w:szCs w:val="22"/>
        </w:rPr>
        <w:tab/>
        <w:t xml:space="preserve">     EA     EL   ENPH</w:t>
      </w:r>
    </w:p>
    <w:p w14:paraId="63C1D9BA"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roofErr w:type="gramStart"/>
      <w:r w:rsidRPr="007475D9">
        <w:rPr>
          <w:rFonts w:asciiTheme="minorHAnsi" w:hAnsiTheme="minorHAnsi" w:cstheme="minorHAnsi"/>
          <w:sz w:val="22"/>
          <w:szCs w:val="22"/>
        </w:rPr>
        <w:t>allocation  36.17</w:t>
      </w:r>
      <w:proofErr w:type="gramEnd"/>
      <w:r w:rsidRPr="007475D9">
        <w:rPr>
          <w:rFonts w:asciiTheme="minorHAnsi" w:hAnsiTheme="minorHAnsi" w:cstheme="minorHAnsi"/>
          <w:sz w:val="22"/>
          <w:szCs w:val="22"/>
        </w:rPr>
        <w:t xml:space="preserve">  62.88  0.95</w:t>
      </w:r>
    </w:p>
    <w:p w14:paraId="1ECAA497"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w:t>
      </w:r>
    </w:p>
    <w:p w14:paraId="5F18FD89"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Individual Stock Returns and Volatility</w:t>
      </w:r>
    </w:p>
    <w:p w14:paraId="5CC351F3"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p>
    <w:p w14:paraId="4C2BC7AB" w14:textId="10109AE2" w:rsidR="00515C8B" w:rsidRPr="007475D9" w:rsidRDefault="00515C8B" w:rsidP="007475D9">
      <w:pPr>
        <w:pStyle w:val="HTMLPreformatted"/>
        <w:shd w:val="clear" w:color="auto" w:fill="111111"/>
        <w:wordWrap w:val="0"/>
        <w:rPr>
          <w:rFonts w:asciiTheme="minorHAnsi" w:hAnsiTheme="minorHAnsi" w:cstheme="minorHAnsi"/>
          <w:sz w:val="22"/>
          <w:szCs w:val="22"/>
        </w:rPr>
      </w:pPr>
      <w:proofErr w:type="gramStart"/>
      <w:r w:rsidRPr="007475D9">
        <w:rPr>
          <w:rFonts w:asciiTheme="minorHAnsi" w:hAnsiTheme="minorHAnsi" w:cstheme="minorHAnsi"/>
          <w:sz w:val="22"/>
          <w:szCs w:val="22"/>
        </w:rPr>
        <w:t>EA :</w:t>
      </w:r>
      <w:proofErr w:type="gramEnd"/>
      <w:r w:rsidRPr="007475D9">
        <w:rPr>
          <w:rFonts w:asciiTheme="minorHAnsi" w:hAnsiTheme="minorHAnsi" w:cstheme="minorHAnsi"/>
          <w:sz w:val="22"/>
          <w:szCs w:val="22"/>
        </w:rPr>
        <w:t xml:space="preserve"> annua</w:t>
      </w:r>
      <w:r w:rsidR="005A202C" w:rsidRPr="007475D9">
        <w:rPr>
          <w:rFonts w:asciiTheme="minorHAnsi" w:hAnsiTheme="minorHAnsi" w:cstheme="minorHAnsi"/>
          <w:sz w:val="22"/>
          <w:szCs w:val="22"/>
        </w:rPr>
        <w:t>l</w:t>
      </w:r>
      <w:r w:rsidRPr="007475D9">
        <w:rPr>
          <w:rFonts w:asciiTheme="minorHAnsi" w:hAnsiTheme="minorHAnsi" w:cstheme="minorHAnsi"/>
          <w:sz w:val="22"/>
          <w:szCs w:val="22"/>
        </w:rPr>
        <w:t>ised return 0.16 , annualised volatility: 0.33</w:t>
      </w:r>
    </w:p>
    <w:p w14:paraId="4697D6A5" w14:textId="68129B1A" w:rsidR="00515C8B" w:rsidRPr="007475D9" w:rsidRDefault="00515C8B" w:rsidP="007475D9">
      <w:pPr>
        <w:pStyle w:val="HTMLPreformatted"/>
        <w:shd w:val="clear" w:color="auto" w:fill="111111"/>
        <w:wordWrap w:val="0"/>
        <w:rPr>
          <w:rFonts w:asciiTheme="minorHAnsi" w:hAnsiTheme="minorHAnsi" w:cstheme="minorHAnsi"/>
          <w:sz w:val="22"/>
          <w:szCs w:val="22"/>
        </w:rPr>
      </w:pPr>
      <w:proofErr w:type="gramStart"/>
      <w:r w:rsidRPr="007475D9">
        <w:rPr>
          <w:rFonts w:asciiTheme="minorHAnsi" w:hAnsiTheme="minorHAnsi" w:cstheme="minorHAnsi"/>
          <w:sz w:val="22"/>
          <w:szCs w:val="22"/>
        </w:rPr>
        <w:t>EL :</w:t>
      </w:r>
      <w:proofErr w:type="gramEnd"/>
      <w:r w:rsidRPr="007475D9">
        <w:rPr>
          <w:rFonts w:asciiTheme="minorHAnsi" w:hAnsiTheme="minorHAnsi" w:cstheme="minorHAnsi"/>
          <w:sz w:val="22"/>
          <w:szCs w:val="22"/>
        </w:rPr>
        <w:t xml:space="preserve"> annua</w:t>
      </w:r>
      <w:r w:rsidR="005A202C" w:rsidRPr="007475D9">
        <w:rPr>
          <w:rFonts w:asciiTheme="minorHAnsi" w:hAnsiTheme="minorHAnsi" w:cstheme="minorHAnsi"/>
          <w:sz w:val="22"/>
          <w:szCs w:val="22"/>
        </w:rPr>
        <w:t>l</w:t>
      </w:r>
      <w:r w:rsidRPr="007475D9">
        <w:rPr>
          <w:rFonts w:asciiTheme="minorHAnsi" w:hAnsiTheme="minorHAnsi" w:cstheme="minorHAnsi"/>
          <w:sz w:val="22"/>
          <w:szCs w:val="22"/>
        </w:rPr>
        <w:t>ised return 0.2 , annualised volatility: 0.27</w:t>
      </w:r>
    </w:p>
    <w:p w14:paraId="4A124485" w14:textId="2CD52DD5" w:rsidR="00515C8B" w:rsidRPr="007475D9" w:rsidRDefault="00515C8B" w:rsidP="007475D9">
      <w:pPr>
        <w:pStyle w:val="HTMLPreformatted"/>
        <w:shd w:val="clear" w:color="auto" w:fill="111111"/>
        <w:wordWrap w:val="0"/>
        <w:rPr>
          <w:rFonts w:asciiTheme="minorHAnsi" w:hAnsiTheme="minorHAnsi" w:cstheme="minorHAnsi"/>
          <w:sz w:val="22"/>
          <w:szCs w:val="22"/>
        </w:rPr>
      </w:pPr>
      <w:proofErr w:type="gramStart"/>
      <w:r w:rsidRPr="007475D9">
        <w:rPr>
          <w:rFonts w:asciiTheme="minorHAnsi" w:hAnsiTheme="minorHAnsi" w:cstheme="minorHAnsi"/>
          <w:sz w:val="22"/>
          <w:szCs w:val="22"/>
        </w:rPr>
        <w:t>ENPH :</w:t>
      </w:r>
      <w:proofErr w:type="gramEnd"/>
      <w:r w:rsidRPr="007475D9">
        <w:rPr>
          <w:rFonts w:asciiTheme="minorHAnsi" w:hAnsiTheme="minorHAnsi" w:cstheme="minorHAnsi"/>
          <w:sz w:val="22"/>
          <w:szCs w:val="22"/>
        </w:rPr>
        <w:t xml:space="preserve"> annua</w:t>
      </w:r>
      <w:r w:rsidR="005A202C" w:rsidRPr="007475D9">
        <w:rPr>
          <w:rFonts w:asciiTheme="minorHAnsi" w:hAnsiTheme="minorHAnsi" w:cstheme="minorHAnsi"/>
          <w:sz w:val="22"/>
          <w:szCs w:val="22"/>
        </w:rPr>
        <w:t>l</w:t>
      </w:r>
      <w:r w:rsidRPr="007475D9">
        <w:rPr>
          <w:rFonts w:asciiTheme="minorHAnsi" w:hAnsiTheme="minorHAnsi" w:cstheme="minorHAnsi"/>
          <w:sz w:val="22"/>
          <w:szCs w:val="22"/>
        </w:rPr>
        <w:t>ised return 0.93 , annualised volatility: 0.88</w:t>
      </w:r>
    </w:p>
    <w:p w14:paraId="39DB6E38" w14:textId="77777777" w:rsidR="00515C8B" w:rsidRPr="007475D9" w:rsidRDefault="00515C8B" w:rsidP="007475D9">
      <w:pPr>
        <w:pStyle w:val="HTMLPreformatted"/>
        <w:shd w:val="clear" w:color="auto" w:fill="111111"/>
        <w:wordWrap w:val="0"/>
        <w:rPr>
          <w:rFonts w:asciiTheme="minorHAnsi" w:hAnsiTheme="minorHAnsi" w:cstheme="minorHAnsi"/>
          <w:sz w:val="22"/>
          <w:szCs w:val="22"/>
        </w:rPr>
      </w:pPr>
      <w:r w:rsidRPr="007475D9">
        <w:rPr>
          <w:rFonts w:asciiTheme="minorHAnsi" w:hAnsiTheme="minorHAnsi" w:cstheme="minorHAnsi"/>
          <w:sz w:val="22"/>
          <w:szCs w:val="22"/>
        </w:rPr>
        <w:t>--------------------------------------------------------------------------------</w:t>
      </w:r>
    </w:p>
    <w:p w14:paraId="58429360" w14:textId="77777777" w:rsidR="00515C8B" w:rsidRPr="007475D9" w:rsidRDefault="00515C8B" w:rsidP="007475D9">
      <w:pPr>
        <w:spacing w:line="240" w:lineRule="auto"/>
        <w:rPr>
          <w:rFonts w:eastAsia="Times New Roman" w:cstheme="minorHAnsi"/>
          <w:lang w:eastAsia="en-CA"/>
        </w:rPr>
      </w:pPr>
    </w:p>
    <w:p w14:paraId="216D0CAA" w14:textId="228AB679" w:rsidR="00515C8B" w:rsidRPr="007475D9" w:rsidRDefault="00D470D6" w:rsidP="007475D9">
      <w:pPr>
        <w:spacing w:line="240" w:lineRule="auto"/>
        <w:rPr>
          <w:rFonts w:eastAsia="Times New Roman" w:cstheme="minorHAnsi"/>
          <w:lang w:val="en-US" w:eastAsia="en-CA"/>
        </w:rPr>
      </w:pPr>
      <w:r w:rsidRPr="007475D9">
        <w:rPr>
          <w:rFonts w:eastAsia="Times New Roman" w:cstheme="minorHAnsi"/>
          <w:lang w:eastAsia="en-CA"/>
        </w:rPr>
        <w:t xml:space="preserve">With this analysis, we recommend </w:t>
      </w:r>
      <w:r w:rsidR="00116343" w:rsidRPr="007475D9">
        <w:rPr>
          <w:rFonts w:eastAsia="Times New Roman" w:cstheme="minorHAnsi"/>
          <w:lang w:eastAsia="en-CA"/>
        </w:rPr>
        <w:t>breaking</w:t>
      </w:r>
      <w:r w:rsidRPr="007475D9">
        <w:rPr>
          <w:rFonts w:eastAsia="Times New Roman" w:cstheme="minorHAnsi"/>
          <w:lang w:eastAsia="en-CA"/>
        </w:rPr>
        <w:t xml:space="preserve"> down the </w:t>
      </w:r>
      <w:r w:rsidRPr="007475D9">
        <w:rPr>
          <w:rFonts w:eastAsia="Times New Roman" w:cstheme="minorHAnsi"/>
          <w:lang w:val="en-US" w:eastAsia="en-CA"/>
        </w:rPr>
        <w:t>$1,000,000 investment in the following way:</w:t>
      </w:r>
    </w:p>
    <w:p w14:paraId="5B9C1405" w14:textId="17CC58E2" w:rsidR="00D470D6" w:rsidRPr="007475D9" w:rsidRDefault="00D470D6" w:rsidP="007475D9">
      <w:pPr>
        <w:spacing w:line="240" w:lineRule="auto"/>
        <w:rPr>
          <w:rFonts w:eastAsia="Times New Roman" w:cstheme="minorHAnsi"/>
          <w:lang w:val="en-US" w:eastAsia="en-CA"/>
        </w:rPr>
      </w:pPr>
      <w:r w:rsidRPr="007475D9">
        <w:rPr>
          <w:rFonts w:eastAsia="Times New Roman" w:cstheme="minorHAnsi"/>
          <w:lang w:val="en-US" w:eastAsia="en-CA"/>
        </w:rPr>
        <w:lastRenderedPageBreak/>
        <w:t>EA: 13.43%, EL: 53.75%, 32.82%.</w:t>
      </w:r>
      <w:r w:rsidR="00DB3ED5" w:rsidRPr="007475D9">
        <w:rPr>
          <w:rFonts w:eastAsia="Times New Roman" w:cstheme="minorHAnsi"/>
          <w:lang w:val="en-US" w:eastAsia="en-CA"/>
        </w:rPr>
        <w:t xml:space="preserve"> This split is forecasted to </w:t>
      </w:r>
      <w:r w:rsidR="007475D9" w:rsidRPr="007475D9">
        <w:rPr>
          <w:rFonts w:eastAsia="Times New Roman" w:cstheme="minorHAnsi"/>
          <w:lang w:val="en-US" w:eastAsia="en-CA"/>
        </w:rPr>
        <w:t>generate an</w:t>
      </w:r>
      <w:r w:rsidR="00DB3ED5" w:rsidRPr="007475D9">
        <w:rPr>
          <w:rFonts w:eastAsia="Times New Roman" w:cstheme="minorHAnsi"/>
          <w:lang w:val="en-US" w:eastAsia="en-CA"/>
        </w:rPr>
        <w:t xml:space="preserve"> annualized return of 43%. What this means is that we can expect to earn $430,000 from investing 1 million dollars into our portfolio. It is important to also note that our volatility could potentially eat into that great return. But even at it’s most volatile, it would bring our expected annualized return to 7% which is still more than 4 times the risk free rate of investing into US Treasury Bills and so we can confirm that investing into our portfolio is indeed a worthwhile venture as we are able to, at minimum, generate a much greater rate of return than if you had just invested your </w:t>
      </w:r>
      <w:r w:rsidR="00CC60BD" w:rsidRPr="007475D9">
        <w:rPr>
          <w:rFonts w:eastAsia="Times New Roman" w:cstheme="minorHAnsi"/>
          <w:lang w:val="en-US" w:eastAsia="en-CA"/>
        </w:rPr>
        <w:t>capital into treasury bills.</w:t>
      </w:r>
    </w:p>
    <w:p w14:paraId="4525CB86" w14:textId="77777777" w:rsidR="00316C04" w:rsidRDefault="00316C04" w:rsidP="007475D9">
      <w:pPr>
        <w:pBdr>
          <w:bottom w:val="single" w:sz="6" w:space="1" w:color="auto"/>
        </w:pBdr>
        <w:spacing w:line="240" w:lineRule="auto"/>
        <w:rPr>
          <w:rFonts w:ascii="var(--jp-code-font-family)" w:eastAsia="Times New Roman" w:hAnsi="var(--jp-code-font-family)" w:cs="Courier New"/>
          <w:sz w:val="20"/>
          <w:szCs w:val="20"/>
          <w:lang w:val="en-US" w:eastAsia="en-CA"/>
        </w:rPr>
      </w:pPr>
    </w:p>
    <w:sdt>
      <w:sdtPr>
        <w:rPr>
          <w:rFonts w:asciiTheme="minorHAnsi" w:eastAsiaTheme="minorHAnsi" w:hAnsiTheme="minorHAnsi" w:cstheme="minorBidi"/>
          <w:color w:val="auto"/>
          <w:sz w:val="22"/>
          <w:szCs w:val="22"/>
          <w:lang w:val="en-CA"/>
        </w:rPr>
        <w:id w:val="-1157915666"/>
        <w:docPartObj>
          <w:docPartGallery w:val="Bibliographies"/>
          <w:docPartUnique/>
        </w:docPartObj>
      </w:sdtPr>
      <w:sdtEndPr/>
      <w:sdtContent>
        <w:p w14:paraId="2E6DC14F" w14:textId="49F8811E" w:rsidR="00C018A1" w:rsidRDefault="00C018A1" w:rsidP="007475D9">
          <w:pPr>
            <w:pStyle w:val="Heading1"/>
            <w:spacing w:line="240" w:lineRule="auto"/>
          </w:pPr>
          <w:r>
            <w:t>References</w:t>
          </w:r>
        </w:p>
        <w:sdt>
          <w:sdtPr>
            <w:id w:val="-573587230"/>
            <w:bibliography/>
          </w:sdtPr>
          <w:sdtEndPr/>
          <w:sdtContent>
            <w:p w14:paraId="1E3AB488" w14:textId="77777777" w:rsidR="00C018A1" w:rsidRDefault="00C018A1" w:rsidP="007475D9">
              <w:pPr>
                <w:pStyle w:val="Bibliography"/>
                <w:spacing w:line="240" w:lineRule="auto"/>
                <w:ind w:left="720" w:hanging="720"/>
                <w:rPr>
                  <w:noProof/>
                  <w:sz w:val="24"/>
                  <w:szCs w:val="24"/>
                  <w:lang w:val="en-US"/>
                </w:rPr>
              </w:pPr>
              <w:r>
                <w:fldChar w:fldCharType="begin"/>
              </w:r>
              <w:r>
                <w:instrText xml:space="preserve"> BIBLIOGRAPHY </w:instrText>
              </w:r>
              <w:r>
                <w:fldChar w:fldCharType="separate"/>
              </w:r>
              <w:r>
                <w:rPr>
                  <w:noProof/>
                  <w:lang w:val="en-US"/>
                </w:rPr>
                <w:t>(n.d.). Retrieved from https://www.cnbc.com/2018/12/31/stock-market-wall-street-stocks-eye-us-china-trade-talks.html</w:t>
              </w:r>
            </w:p>
            <w:p w14:paraId="4D2C95A7" w14:textId="77777777" w:rsidR="00C018A1" w:rsidRDefault="00C018A1" w:rsidP="007475D9">
              <w:pPr>
                <w:pStyle w:val="Bibliography"/>
                <w:spacing w:line="240" w:lineRule="auto"/>
                <w:ind w:left="720" w:hanging="720"/>
                <w:rPr>
                  <w:noProof/>
                  <w:lang w:val="en-US"/>
                </w:rPr>
              </w:pPr>
              <w:r>
                <w:rPr>
                  <w:i/>
                  <w:iCs/>
                  <w:noProof/>
                  <w:lang w:val="en-US"/>
                </w:rPr>
                <w:t>Electronic Arts Stock Heads Toward Largest Drop in More Than a Decade After Earnings Miss</w:t>
              </w:r>
              <w:r>
                <w:rPr>
                  <w:noProof/>
                  <w:lang w:val="en-US"/>
                </w:rPr>
                <w:t>. (2019, 02 05). Retrieved from Market Watch: https://www.marketwatch.com/story/electronic-arts-stock-heads-toward-largest-drop-in-more-than-a-decade-after-earnings-miss-2019-02-05</w:t>
              </w:r>
            </w:p>
            <w:p w14:paraId="4276161D" w14:textId="77777777" w:rsidR="00C018A1" w:rsidRDefault="00C018A1" w:rsidP="007475D9">
              <w:pPr>
                <w:pStyle w:val="Bibliography"/>
                <w:spacing w:line="240" w:lineRule="auto"/>
                <w:ind w:left="720" w:hanging="720"/>
                <w:rPr>
                  <w:noProof/>
                  <w:lang w:val="en-US"/>
                </w:rPr>
              </w:pPr>
              <w:r>
                <w:rPr>
                  <w:i/>
                  <w:iCs/>
                  <w:noProof/>
                  <w:lang w:val="en-US"/>
                </w:rPr>
                <w:t>Electronic Arts stock sales earnings video game apex legends activision take two</w:t>
              </w:r>
              <w:r>
                <w:rPr>
                  <w:noProof/>
                  <w:lang w:val="en-US"/>
                </w:rPr>
                <w:t>. (2019). Retrieved from Barrons: https://www.barrons.com/articles/electronic-arts-stock-sales-earnings-videogame-apex-legends-activision-take-two-51572381659</w:t>
              </w:r>
            </w:p>
            <w:p w14:paraId="473B2655" w14:textId="77777777" w:rsidR="00C018A1" w:rsidRDefault="00C018A1" w:rsidP="007475D9">
              <w:pPr>
                <w:pStyle w:val="Bibliography"/>
                <w:spacing w:line="240" w:lineRule="auto"/>
                <w:ind w:left="720" w:hanging="720"/>
                <w:rPr>
                  <w:noProof/>
                  <w:lang w:val="en-US"/>
                </w:rPr>
              </w:pPr>
              <w:r>
                <w:rPr>
                  <w:i/>
                  <w:iCs/>
                  <w:noProof/>
                  <w:lang w:val="en-US"/>
                </w:rPr>
                <w:t>Enphase Energy Storage Installations Reach over 18,000 Homes</w:t>
              </w:r>
              <w:r>
                <w:rPr>
                  <w:noProof/>
                  <w:lang w:val="en-US"/>
                </w:rPr>
                <w:t xml:space="preserve">. (2020, 3 12). Retrieved from Globe NewsWire: https://www.globenewswire.com/news-release/2020/03/12/1999440/0/en/Enphase-Energy-Storage-Installations-Reach-over-18-000-Homes.html </w:t>
              </w:r>
            </w:p>
            <w:p w14:paraId="433A75E0" w14:textId="77777777" w:rsidR="00C018A1" w:rsidRDefault="00C018A1" w:rsidP="007475D9">
              <w:pPr>
                <w:pStyle w:val="Bibliography"/>
                <w:spacing w:line="240" w:lineRule="auto"/>
                <w:ind w:left="720" w:hanging="720"/>
                <w:rPr>
                  <w:noProof/>
                  <w:lang w:val="en-US"/>
                </w:rPr>
              </w:pPr>
              <w:r>
                <w:rPr>
                  <w:i/>
                  <w:iCs/>
                  <w:noProof/>
                  <w:lang w:val="en-US"/>
                </w:rPr>
                <w:t>Enphase installation map</w:t>
              </w:r>
              <w:r>
                <w:rPr>
                  <w:noProof/>
                  <w:lang w:val="en-US"/>
                </w:rPr>
                <w:t>. (n.d.). Retrieved 2 29, 2020, from Enphase: https://enlighten.enphaseenergy.com/public_systems</w:t>
              </w:r>
            </w:p>
            <w:p w14:paraId="34C8FAE7" w14:textId="77777777" w:rsidR="00C018A1" w:rsidRDefault="00C018A1" w:rsidP="007475D9">
              <w:pPr>
                <w:pStyle w:val="Bibliography"/>
                <w:spacing w:line="240" w:lineRule="auto"/>
                <w:ind w:left="720" w:hanging="720"/>
                <w:rPr>
                  <w:noProof/>
                  <w:lang w:val="en-US"/>
                </w:rPr>
              </w:pPr>
              <w:r>
                <w:rPr>
                  <w:i/>
                  <w:iCs/>
                  <w:noProof/>
                  <w:lang w:val="en-US"/>
                </w:rPr>
                <w:t>Estee Lauder Expands Business Brand Acquisitions</w:t>
              </w:r>
              <w:r>
                <w:rPr>
                  <w:noProof/>
                  <w:lang w:val="en-US"/>
                </w:rPr>
                <w:t>. (2020, 03 12). Retrieved from Market Realist: https://marketrealist.com/2015/08/estee-lauder-expands-business-brand-acquisitions/</w:t>
              </w:r>
            </w:p>
            <w:p w14:paraId="1D4E324F" w14:textId="77777777" w:rsidR="00C018A1" w:rsidRDefault="00C018A1" w:rsidP="007475D9">
              <w:pPr>
                <w:pStyle w:val="Bibliography"/>
                <w:spacing w:line="240" w:lineRule="auto"/>
                <w:ind w:left="720" w:hanging="720"/>
                <w:rPr>
                  <w:noProof/>
                  <w:lang w:val="en-US"/>
                </w:rPr>
              </w:pPr>
              <w:r>
                <w:rPr>
                  <w:i/>
                  <w:iCs/>
                  <w:noProof/>
                  <w:lang w:val="en-US"/>
                </w:rPr>
                <w:t>Estee Lauder Millennials</w:t>
              </w:r>
              <w:r>
                <w:rPr>
                  <w:noProof/>
                  <w:lang w:val="en-US"/>
                </w:rPr>
                <w:t>. (2018, 02 02). Retrieved from Fortune: https://fortune.com/2018/02/02/estee-lauder-millennials/</w:t>
              </w:r>
            </w:p>
            <w:p w14:paraId="5BECB1A0" w14:textId="77777777" w:rsidR="00C018A1" w:rsidRDefault="00C018A1" w:rsidP="007475D9">
              <w:pPr>
                <w:pStyle w:val="Bibliography"/>
                <w:spacing w:line="240" w:lineRule="auto"/>
                <w:ind w:left="720" w:hanging="720"/>
                <w:rPr>
                  <w:noProof/>
                  <w:lang w:val="en-US"/>
                </w:rPr>
              </w:pPr>
              <w:r>
                <w:rPr>
                  <w:i/>
                  <w:iCs/>
                  <w:noProof/>
                  <w:lang w:val="en-US"/>
                </w:rPr>
                <w:t>Stock Market Wall Street Eye US China Trade Talks</w:t>
              </w:r>
              <w:r>
                <w:rPr>
                  <w:noProof/>
                  <w:lang w:val="en-US"/>
                </w:rPr>
                <w:t>. (2018, 12 31). Retrieved from CNBC: https://www.cnbc.com/2018/12/31/stock-market-wall-street-stocks-eye-us-china-trade-talks.htm</w:t>
              </w:r>
            </w:p>
            <w:p w14:paraId="2267386B" w14:textId="77777777" w:rsidR="00C018A1" w:rsidRDefault="00C018A1" w:rsidP="007475D9">
              <w:pPr>
                <w:pStyle w:val="Bibliography"/>
                <w:spacing w:line="240" w:lineRule="auto"/>
                <w:ind w:left="720" w:hanging="720"/>
                <w:rPr>
                  <w:noProof/>
                  <w:lang w:val="en-US"/>
                </w:rPr>
              </w:pPr>
              <w:r>
                <w:rPr>
                  <w:i/>
                  <w:iCs/>
                  <w:noProof/>
                  <w:lang w:val="en-US"/>
                </w:rPr>
                <w:t>Where wil Enphase Energy be in 5 years?</w:t>
              </w:r>
              <w:r>
                <w:rPr>
                  <w:noProof/>
                  <w:lang w:val="en-US"/>
                </w:rPr>
                <w:t xml:space="preserve"> (2019, 08 01). Retrieved from Fool: https://www.fool.com/investing/2019/08/01/where-will-enphase-energy-be-in-5-years.aspx</w:t>
              </w:r>
            </w:p>
            <w:p w14:paraId="6CEC2CEC" w14:textId="77777777" w:rsidR="00C018A1" w:rsidRDefault="00C018A1" w:rsidP="007475D9">
              <w:pPr>
                <w:pStyle w:val="Bibliography"/>
                <w:spacing w:line="240" w:lineRule="auto"/>
                <w:ind w:left="720" w:hanging="720"/>
                <w:rPr>
                  <w:noProof/>
                  <w:lang w:val="en-US"/>
                </w:rPr>
              </w:pPr>
              <w:r>
                <w:rPr>
                  <w:i/>
                  <w:iCs/>
                  <w:noProof/>
                  <w:lang w:val="en-US"/>
                </w:rPr>
                <w:t>Why Electronic Arts Stock Plunged 25% in 2018</w:t>
              </w:r>
              <w:r>
                <w:rPr>
                  <w:noProof/>
                  <w:lang w:val="en-US"/>
                </w:rPr>
                <w:t>. (2019, 01 10). Retrieved from Fool: https://www.fool.com/investing/2019/01/10/why-electronic-arts-stock-plunged-25-in-2018.aspx</w:t>
              </w:r>
            </w:p>
            <w:p w14:paraId="3B844196" w14:textId="77777777" w:rsidR="00C018A1" w:rsidRDefault="00C018A1" w:rsidP="007475D9">
              <w:pPr>
                <w:pStyle w:val="Bibliography"/>
                <w:spacing w:line="240" w:lineRule="auto"/>
                <w:ind w:left="720" w:hanging="720"/>
                <w:rPr>
                  <w:noProof/>
                  <w:lang w:val="en-US"/>
                </w:rPr>
              </w:pPr>
              <w:r>
                <w:rPr>
                  <w:i/>
                  <w:iCs/>
                  <w:noProof/>
                  <w:lang w:val="en-US"/>
                </w:rPr>
                <w:t>Why Estee Lauder Shares Surged Today</w:t>
              </w:r>
              <w:r>
                <w:rPr>
                  <w:noProof/>
                  <w:lang w:val="en-US"/>
                </w:rPr>
                <w:t>. (2019, 08 19). Retrieved from Fool: https://www.fool.com/investing/2019/08/19/why-estee-lauder-shares-surged-today.aspx</w:t>
              </w:r>
            </w:p>
            <w:p w14:paraId="439DC3A6" w14:textId="73817F2B" w:rsidR="00C018A1" w:rsidRDefault="00C018A1" w:rsidP="007475D9">
              <w:pPr>
                <w:spacing w:line="240" w:lineRule="auto"/>
              </w:pPr>
              <w:r>
                <w:rPr>
                  <w:b/>
                  <w:bCs/>
                  <w:noProof/>
                </w:rPr>
                <w:fldChar w:fldCharType="end"/>
              </w:r>
            </w:p>
          </w:sdtContent>
        </w:sdt>
      </w:sdtContent>
    </w:sdt>
    <w:sectPr w:rsidR="00C018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56963"/>
    <w:multiLevelType w:val="hybridMultilevel"/>
    <w:tmpl w:val="EC6A3D30"/>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E44A79"/>
    <w:multiLevelType w:val="hybridMultilevel"/>
    <w:tmpl w:val="77766F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3D246B"/>
    <w:multiLevelType w:val="hybridMultilevel"/>
    <w:tmpl w:val="CE925B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052532F"/>
    <w:multiLevelType w:val="hybridMultilevel"/>
    <w:tmpl w:val="E820A61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8F81EDC"/>
    <w:multiLevelType w:val="multilevel"/>
    <w:tmpl w:val="41E4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343A8"/>
    <w:multiLevelType w:val="hybridMultilevel"/>
    <w:tmpl w:val="AD1695FE"/>
    <w:lvl w:ilvl="0" w:tplc="10090001">
      <w:start w:val="1"/>
      <w:numFmt w:val="bullet"/>
      <w:lvlText w:val=""/>
      <w:lvlJc w:val="left"/>
      <w:pPr>
        <w:ind w:left="770" w:hanging="360"/>
      </w:pPr>
      <w:rPr>
        <w:rFonts w:ascii="Symbol" w:hAnsi="Symbol" w:cs="Symbol" w:hint="default"/>
      </w:rPr>
    </w:lvl>
    <w:lvl w:ilvl="1" w:tplc="10090003">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cs="Wingdings" w:hint="default"/>
      </w:rPr>
    </w:lvl>
    <w:lvl w:ilvl="3" w:tplc="10090001" w:tentative="1">
      <w:start w:val="1"/>
      <w:numFmt w:val="bullet"/>
      <w:lvlText w:val=""/>
      <w:lvlJc w:val="left"/>
      <w:pPr>
        <w:ind w:left="2930" w:hanging="360"/>
      </w:pPr>
      <w:rPr>
        <w:rFonts w:ascii="Symbol" w:hAnsi="Symbol" w:cs="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cs="Wingdings" w:hint="default"/>
      </w:rPr>
    </w:lvl>
    <w:lvl w:ilvl="6" w:tplc="10090001" w:tentative="1">
      <w:start w:val="1"/>
      <w:numFmt w:val="bullet"/>
      <w:lvlText w:val=""/>
      <w:lvlJc w:val="left"/>
      <w:pPr>
        <w:ind w:left="5090" w:hanging="360"/>
      </w:pPr>
      <w:rPr>
        <w:rFonts w:ascii="Symbol" w:hAnsi="Symbol" w:cs="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cs="Wingdings" w:hint="default"/>
      </w:rPr>
    </w:lvl>
  </w:abstractNum>
  <w:abstractNum w:abstractNumId="6" w15:restartNumberingAfterBreak="0">
    <w:nsid w:val="37D24266"/>
    <w:multiLevelType w:val="hybridMultilevel"/>
    <w:tmpl w:val="ECB45B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A604286"/>
    <w:multiLevelType w:val="hybridMultilevel"/>
    <w:tmpl w:val="AD9A844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472D11"/>
    <w:multiLevelType w:val="hybridMultilevel"/>
    <w:tmpl w:val="58006F76"/>
    <w:lvl w:ilvl="0" w:tplc="3538298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C300199"/>
    <w:multiLevelType w:val="hybridMultilevel"/>
    <w:tmpl w:val="A67EA2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4144855"/>
    <w:multiLevelType w:val="hybridMultilevel"/>
    <w:tmpl w:val="4B9C14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95A1E49"/>
    <w:multiLevelType w:val="hybridMultilevel"/>
    <w:tmpl w:val="0F384AB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B0C2628"/>
    <w:multiLevelType w:val="hybridMultilevel"/>
    <w:tmpl w:val="F01E5A48"/>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3D07D79"/>
    <w:multiLevelType w:val="hybridMultilevel"/>
    <w:tmpl w:val="A428104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4641A3E"/>
    <w:multiLevelType w:val="hybridMultilevel"/>
    <w:tmpl w:val="F678EF0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4C104DB"/>
    <w:multiLevelType w:val="hybridMultilevel"/>
    <w:tmpl w:val="E89AF610"/>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8DF7F5D"/>
    <w:multiLevelType w:val="hybridMultilevel"/>
    <w:tmpl w:val="FB686E42"/>
    <w:lvl w:ilvl="0" w:tplc="BEFC68E0">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6B3C32BB"/>
    <w:multiLevelType w:val="hybridMultilevel"/>
    <w:tmpl w:val="CCFA436E"/>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8" w15:restartNumberingAfterBreak="0">
    <w:nsid w:val="76197C56"/>
    <w:multiLevelType w:val="hybridMultilevel"/>
    <w:tmpl w:val="95DA68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FD60B43"/>
    <w:multiLevelType w:val="hybridMultilevel"/>
    <w:tmpl w:val="CEC86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6"/>
  </w:num>
  <w:num w:numId="5">
    <w:abstractNumId w:val="9"/>
  </w:num>
  <w:num w:numId="6">
    <w:abstractNumId w:val="1"/>
  </w:num>
  <w:num w:numId="7">
    <w:abstractNumId w:val="19"/>
  </w:num>
  <w:num w:numId="8">
    <w:abstractNumId w:val="18"/>
  </w:num>
  <w:num w:numId="9">
    <w:abstractNumId w:val="2"/>
  </w:num>
  <w:num w:numId="10">
    <w:abstractNumId w:val="12"/>
  </w:num>
  <w:num w:numId="11">
    <w:abstractNumId w:val="5"/>
  </w:num>
  <w:num w:numId="12">
    <w:abstractNumId w:val="13"/>
  </w:num>
  <w:num w:numId="13">
    <w:abstractNumId w:val="10"/>
  </w:num>
  <w:num w:numId="14">
    <w:abstractNumId w:val="6"/>
  </w:num>
  <w:num w:numId="15">
    <w:abstractNumId w:val="11"/>
  </w:num>
  <w:num w:numId="16">
    <w:abstractNumId w:val="15"/>
  </w:num>
  <w:num w:numId="17">
    <w:abstractNumId w:val="4"/>
  </w:num>
  <w:num w:numId="18">
    <w:abstractNumId w:val="14"/>
  </w:num>
  <w:num w:numId="19">
    <w:abstractNumId w:val="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67"/>
    <w:rsid w:val="000022A0"/>
    <w:rsid w:val="000068EE"/>
    <w:rsid w:val="00055F23"/>
    <w:rsid w:val="00092EEC"/>
    <w:rsid w:val="000A4B75"/>
    <w:rsid w:val="000B0F5A"/>
    <w:rsid w:val="000B252E"/>
    <w:rsid w:val="000B5769"/>
    <w:rsid w:val="000B76DB"/>
    <w:rsid w:val="000D3915"/>
    <w:rsid w:val="000E4B7D"/>
    <w:rsid w:val="000E5D65"/>
    <w:rsid w:val="000F5A8C"/>
    <w:rsid w:val="000F6719"/>
    <w:rsid w:val="00116343"/>
    <w:rsid w:val="00122DC5"/>
    <w:rsid w:val="00134568"/>
    <w:rsid w:val="00165933"/>
    <w:rsid w:val="00170E96"/>
    <w:rsid w:val="00176F6C"/>
    <w:rsid w:val="00193D1C"/>
    <w:rsid w:val="001A46F9"/>
    <w:rsid w:val="001E0C00"/>
    <w:rsid w:val="001E4C02"/>
    <w:rsid w:val="001E6F7C"/>
    <w:rsid w:val="001F2029"/>
    <w:rsid w:val="00206C13"/>
    <w:rsid w:val="0023071F"/>
    <w:rsid w:val="002462D1"/>
    <w:rsid w:val="00261532"/>
    <w:rsid w:val="00261BD3"/>
    <w:rsid w:val="00272C22"/>
    <w:rsid w:val="00272E7D"/>
    <w:rsid w:val="00291F26"/>
    <w:rsid w:val="002C0051"/>
    <w:rsid w:val="002D0D16"/>
    <w:rsid w:val="002D14C4"/>
    <w:rsid w:val="002D6B77"/>
    <w:rsid w:val="002E02ED"/>
    <w:rsid w:val="002F7D69"/>
    <w:rsid w:val="0030481E"/>
    <w:rsid w:val="00316C04"/>
    <w:rsid w:val="00325C8E"/>
    <w:rsid w:val="00332CC1"/>
    <w:rsid w:val="00333C4E"/>
    <w:rsid w:val="00350844"/>
    <w:rsid w:val="003607E3"/>
    <w:rsid w:val="0037334C"/>
    <w:rsid w:val="00387DDF"/>
    <w:rsid w:val="003B7230"/>
    <w:rsid w:val="00405229"/>
    <w:rsid w:val="0041231C"/>
    <w:rsid w:val="004266C8"/>
    <w:rsid w:val="00427850"/>
    <w:rsid w:val="00433220"/>
    <w:rsid w:val="00434357"/>
    <w:rsid w:val="00443DBA"/>
    <w:rsid w:val="00444667"/>
    <w:rsid w:val="00460A88"/>
    <w:rsid w:val="00466AA1"/>
    <w:rsid w:val="004715F0"/>
    <w:rsid w:val="00496E44"/>
    <w:rsid w:val="004C5606"/>
    <w:rsid w:val="004E722C"/>
    <w:rsid w:val="004F20AA"/>
    <w:rsid w:val="004F445E"/>
    <w:rsid w:val="0050788E"/>
    <w:rsid w:val="00512A80"/>
    <w:rsid w:val="00515C8B"/>
    <w:rsid w:val="005167D8"/>
    <w:rsid w:val="00521173"/>
    <w:rsid w:val="00526AD8"/>
    <w:rsid w:val="005334BA"/>
    <w:rsid w:val="00550AC9"/>
    <w:rsid w:val="00550FB8"/>
    <w:rsid w:val="0055627F"/>
    <w:rsid w:val="00556A9B"/>
    <w:rsid w:val="005A202C"/>
    <w:rsid w:val="005B40F9"/>
    <w:rsid w:val="005C581F"/>
    <w:rsid w:val="005D629E"/>
    <w:rsid w:val="005F5B2C"/>
    <w:rsid w:val="006011A6"/>
    <w:rsid w:val="00633601"/>
    <w:rsid w:val="00635FF2"/>
    <w:rsid w:val="00640D0E"/>
    <w:rsid w:val="00655550"/>
    <w:rsid w:val="006618DA"/>
    <w:rsid w:val="00666222"/>
    <w:rsid w:val="006663ED"/>
    <w:rsid w:val="006954F0"/>
    <w:rsid w:val="006A0FA2"/>
    <w:rsid w:val="006A1860"/>
    <w:rsid w:val="006B35FF"/>
    <w:rsid w:val="006C077A"/>
    <w:rsid w:val="006C4E5A"/>
    <w:rsid w:val="006C76AA"/>
    <w:rsid w:val="006D7386"/>
    <w:rsid w:val="006F3A6E"/>
    <w:rsid w:val="00725C25"/>
    <w:rsid w:val="00726D68"/>
    <w:rsid w:val="00730CE3"/>
    <w:rsid w:val="007475D9"/>
    <w:rsid w:val="007535F1"/>
    <w:rsid w:val="00782A32"/>
    <w:rsid w:val="007951E5"/>
    <w:rsid w:val="007963CF"/>
    <w:rsid w:val="007A0138"/>
    <w:rsid w:val="007A0F72"/>
    <w:rsid w:val="007A41D3"/>
    <w:rsid w:val="007A751B"/>
    <w:rsid w:val="007D696E"/>
    <w:rsid w:val="007E5D6A"/>
    <w:rsid w:val="007E6C37"/>
    <w:rsid w:val="00804272"/>
    <w:rsid w:val="00811433"/>
    <w:rsid w:val="008307D4"/>
    <w:rsid w:val="00845C1F"/>
    <w:rsid w:val="008514B8"/>
    <w:rsid w:val="008550CA"/>
    <w:rsid w:val="008A26D4"/>
    <w:rsid w:val="008B551D"/>
    <w:rsid w:val="008C16CB"/>
    <w:rsid w:val="008D1906"/>
    <w:rsid w:val="008F6720"/>
    <w:rsid w:val="008F7407"/>
    <w:rsid w:val="00906C73"/>
    <w:rsid w:val="00913493"/>
    <w:rsid w:val="00935BCD"/>
    <w:rsid w:val="00941F0F"/>
    <w:rsid w:val="00942B5D"/>
    <w:rsid w:val="009A5871"/>
    <w:rsid w:val="009D00E6"/>
    <w:rsid w:val="009D4EA8"/>
    <w:rsid w:val="009E211F"/>
    <w:rsid w:val="00A16E98"/>
    <w:rsid w:val="00A23521"/>
    <w:rsid w:val="00A8018E"/>
    <w:rsid w:val="00A86E8E"/>
    <w:rsid w:val="00AA3790"/>
    <w:rsid w:val="00AA62A3"/>
    <w:rsid w:val="00AA64A4"/>
    <w:rsid w:val="00AA7ADC"/>
    <w:rsid w:val="00AB501E"/>
    <w:rsid w:val="00AC671D"/>
    <w:rsid w:val="00AD7C2C"/>
    <w:rsid w:val="00AF4898"/>
    <w:rsid w:val="00B0387D"/>
    <w:rsid w:val="00B1378E"/>
    <w:rsid w:val="00B172CC"/>
    <w:rsid w:val="00B205E5"/>
    <w:rsid w:val="00B35713"/>
    <w:rsid w:val="00B35ED0"/>
    <w:rsid w:val="00B56174"/>
    <w:rsid w:val="00B64CAA"/>
    <w:rsid w:val="00B77A48"/>
    <w:rsid w:val="00B82F7B"/>
    <w:rsid w:val="00BA421F"/>
    <w:rsid w:val="00BA6DB6"/>
    <w:rsid w:val="00BA7429"/>
    <w:rsid w:val="00BB419C"/>
    <w:rsid w:val="00BE2525"/>
    <w:rsid w:val="00C009D6"/>
    <w:rsid w:val="00C018A1"/>
    <w:rsid w:val="00C01F6D"/>
    <w:rsid w:val="00C10BDB"/>
    <w:rsid w:val="00C377FB"/>
    <w:rsid w:val="00C3785D"/>
    <w:rsid w:val="00C40087"/>
    <w:rsid w:val="00C427AB"/>
    <w:rsid w:val="00C7269C"/>
    <w:rsid w:val="00C95734"/>
    <w:rsid w:val="00CA196F"/>
    <w:rsid w:val="00CA2949"/>
    <w:rsid w:val="00CA4591"/>
    <w:rsid w:val="00CB4917"/>
    <w:rsid w:val="00CB50CD"/>
    <w:rsid w:val="00CC4099"/>
    <w:rsid w:val="00CC60BD"/>
    <w:rsid w:val="00CC7BAF"/>
    <w:rsid w:val="00CD6417"/>
    <w:rsid w:val="00CD77AB"/>
    <w:rsid w:val="00CE58D6"/>
    <w:rsid w:val="00D12E79"/>
    <w:rsid w:val="00D168EB"/>
    <w:rsid w:val="00D30839"/>
    <w:rsid w:val="00D317C0"/>
    <w:rsid w:val="00D470D6"/>
    <w:rsid w:val="00D60594"/>
    <w:rsid w:val="00D70A08"/>
    <w:rsid w:val="00D72331"/>
    <w:rsid w:val="00D7767C"/>
    <w:rsid w:val="00D92D26"/>
    <w:rsid w:val="00D95936"/>
    <w:rsid w:val="00D96801"/>
    <w:rsid w:val="00DA1CCB"/>
    <w:rsid w:val="00DB3ED5"/>
    <w:rsid w:val="00DE5505"/>
    <w:rsid w:val="00E1068F"/>
    <w:rsid w:val="00E364B4"/>
    <w:rsid w:val="00E41B48"/>
    <w:rsid w:val="00E445E8"/>
    <w:rsid w:val="00E476C9"/>
    <w:rsid w:val="00E5523C"/>
    <w:rsid w:val="00E56417"/>
    <w:rsid w:val="00E70056"/>
    <w:rsid w:val="00E85814"/>
    <w:rsid w:val="00EA4742"/>
    <w:rsid w:val="00EC5249"/>
    <w:rsid w:val="00EE593D"/>
    <w:rsid w:val="00EE7B83"/>
    <w:rsid w:val="00EF5080"/>
    <w:rsid w:val="00F008E4"/>
    <w:rsid w:val="00F154F8"/>
    <w:rsid w:val="00F24902"/>
    <w:rsid w:val="00F31EB4"/>
    <w:rsid w:val="00F351CB"/>
    <w:rsid w:val="00F3625E"/>
    <w:rsid w:val="00F44515"/>
    <w:rsid w:val="00F51FEA"/>
    <w:rsid w:val="00F71415"/>
    <w:rsid w:val="00F84083"/>
    <w:rsid w:val="00FA7122"/>
    <w:rsid w:val="00FB1E5E"/>
    <w:rsid w:val="00FC046C"/>
    <w:rsid w:val="00FD53E1"/>
    <w:rsid w:val="00FF1DB3"/>
    <w:rsid w:val="00FF53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5B690"/>
  <w15:chartTrackingRefBased/>
  <w15:docId w15:val="{3D0D475F-81A5-4683-874C-CA0A4CB7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C02"/>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D70A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667"/>
    <w:pPr>
      <w:ind w:left="720"/>
      <w:contextualSpacing/>
    </w:pPr>
  </w:style>
  <w:style w:type="character" w:customStyle="1" w:styleId="w8qarf">
    <w:name w:val="w8qarf"/>
    <w:basedOn w:val="DefaultParagraphFont"/>
    <w:rsid w:val="00811433"/>
  </w:style>
  <w:style w:type="character" w:styleId="Hyperlink">
    <w:name w:val="Hyperlink"/>
    <w:basedOn w:val="DefaultParagraphFont"/>
    <w:uiPriority w:val="99"/>
    <w:unhideWhenUsed/>
    <w:rsid w:val="00811433"/>
    <w:rPr>
      <w:color w:val="0000FF"/>
      <w:u w:val="single"/>
    </w:rPr>
  </w:style>
  <w:style w:type="character" w:customStyle="1" w:styleId="lrzxr">
    <w:name w:val="lrzxr"/>
    <w:basedOn w:val="DefaultParagraphFont"/>
    <w:rsid w:val="00811433"/>
  </w:style>
  <w:style w:type="character" w:customStyle="1" w:styleId="trsdu03s">
    <w:name w:val="trsdu(0.3s)"/>
    <w:basedOn w:val="DefaultParagraphFont"/>
    <w:rsid w:val="00811433"/>
  </w:style>
  <w:style w:type="character" w:customStyle="1" w:styleId="fw600">
    <w:name w:val="fw(600)"/>
    <w:basedOn w:val="DefaultParagraphFont"/>
    <w:rsid w:val="007535F1"/>
  </w:style>
  <w:style w:type="paragraph" w:customStyle="1" w:styleId="mt15px">
    <w:name w:val="mt(15px)"/>
    <w:basedOn w:val="Normal"/>
    <w:rsid w:val="007535F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1E4C0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1E4C02"/>
  </w:style>
  <w:style w:type="character" w:styleId="FollowedHyperlink">
    <w:name w:val="FollowedHyperlink"/>
    <w:basedOn w:val="DefaultParagraphFont"/>
    <w:uiPriority w:val="99"/>
    <w:semiHidden/>
    <w:unhideWhenUsed/>
    <w:rsid w:val="00325C8E"/>
    <w:rPr>
      <w:color w:val="954F72" w:themeColor="followedHyperlink"/>
      <w:u w:val="single"/>
    </w:rPr>
  </w:style>
  <w:style w:type="paragraph" w:styleId="NormalWeb">
    <w:name w:val="Normal (Web)"/>
    <w:basedOn w:val="Normal"/>
    <w:uiPriority w:val="99"/>
    <w:unhideWhenUsed/>
    <w:rsid w:val="00CA19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TMLPreformatted">
    <w:name w:val="HTML Preformatted"/>
    <w:basedOn w:val="Normal"/>
    <w:link w:val="HTMLPreformattedChar"/>
    <w:uiPriority w:val="99"/>
    <w:semiHidden/>
    <w:unhideWhenUsed/>
    <w:rsid w:val="003B7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B7230"/>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semiHidden/>
    <w:rsid w:val="00D70A0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70A08"/>
    <w:rPr>
      <w:i/>
      <w:iCs/>
    </w:rPr>
  </w:style>
  <w:style w:type="character" w:styleId="Strong">
    <w:name w:val="Strong"/>
    <w:basedOn w:val="DefaultParagraphFont"/>
    <w:uiPriority w:val="22"/>
    <w:qFormat/>
    <w:rsid w:val="00D70A08"/>
    <w:rPr>
      <w:b/>
      <w:bCs/>
    </w:rPr>
  </w:style>
  <w:style w:type="character" w:customStyle="1" w:styleId="ticker">
    <w:name w:val="ticker"/>
    <w:basedOn w:val="DefaultParagraphFont"/>
    <w:rsid w:val="00CC7BAF"/>
  </w:style>
  <w:style w:type="character" w:styleId="UnresolvedMention">
    <w:name w:val="Unresolved Mention"/>
    <w:basedOn w:val="DefaultParagraphFont"/>
    <w:uiPriority w:val="99"/>
    <w:semiHidden/>
    <w:unhideWhenUsed/>
    <w:rsid w:val="00941F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8">
      <w:bodyDiv w:val="1"/>
      <w:marLeft w:val="0"/>
      <w:marRight w:val="0"/>
      <w:marTop w:val="0"/>
      <w:marBottom w:val="0"/>
      <w:divBdr>
        <w:top w:val="none" w:sz="0" w:space="0" w:color="auto"/>
        <w:left w:val="none" w:sz="0" w:space="0" w:color="auto"/>
        <w:bottom w:val="none" w:sz="0" w:space="0" w:color="auto"/>
        <w:right w:val="none" w:sz="0" w:space="0" w:color="auto"/>
      </w:divBdr>
    </w:div>
    <w:div w:id="14892482">
      <w:bodyDiv w:val="1"/>
      <w:marLeft w:val="0"/>
      <w:marRight w:val="0"/>
      <w:marTop w:val="0"/>
      <w:marBottom w:val="0"/>
      <w:divBdr>
        <w:top w:val="none" w:sz="0" w:space="0" w:color="auto"/>
        <w:left w:val="none" w:sz="0" w:space="0" w:color="auto"/>
        <w:bottom w:val="none" w:sz="0" w:space="0" w:color="auto"/>
        <w:right w:val="none" w:sz="0" w:space="0" w:color="auto"/>
      </w:divBdr>
    </w:div>
    <w:div w:id="42603975">
      <w:bodyDiv w:val="1"/>
      <w:marLeft w:val="0"/>
      <w:marRight w:val="0"/>
      <w:marTop w:val="0"/>
      <w:marBottom w:val="0"/>
      <w:divBdr>
        <w:top w:val="none" w:sz="0" w:space="0" w:color="auto"/>
        <w:left w:val="none" w:sz="0" w:space="0" w:color="auto"/>
        <w:bottom w:val="none" w:sz="0" w:space="0" w:color="auto"/>
        <w:right w:val="none" w:sz="0" w:space="0" w:color="auto"/>
      </w:divBdr>
    </w:div>
    <w:div w:id="57748575">
      <w:bodyDiv w:val="1"/>
      <w:marLeft w:val="0"/>
      <w:marRight w:val="0"/>
      <w:marTop w:val="0"/>
      <w:marBottom w:val="0"/>
      <w:divBdr>
        <w:top w:val="none" w:sz="0" w:space="0" w:color="auto"/>
        <w:left w:val="none" w:sz="0" w:space="0" w:color="auto"/>
        <w:bottom w:val="none" w:sz="0" w:space="0" w:color="auto"/>
        <w:right w:val="none" w:sz="0" w:space="0" w:color="auto"/>
      </w:divBdr>
    </w:div>
    <w:div w:id="77018450">
      <w:bodyDiv w:val="1"/>
      <w:marLeft w:val="0"/>
      <w:marRight w:val="0"/>
      <w:marTop w:val="0"/>
      <w:marBottom w:val="0"/>
      <w:divBdr>
        <w:top w:val="none" w:sz="0" w:space="0" w:color="auto"/>
        <w:left w:val="none" w:sz="0" w:space="0" w:color="auto"/>
        <w:bottom w:val="none" w:sz="0" w:space="0" w:color="auto"/>
        <w:right w:val="none" w:sz="0" w:space="0" w:color="auto"/>
      </w:divBdr>
    </w:div>
    <w:div w:id="140464370">
      <w:bodyDiv w:val="1"/>
      <w:marLeft w:val="0"/>
      <w:marRight w:val="0"/>
      <w:marTop w:val="0"/>
      <w:marBottom w:val="0"/>
      <w:divBdr>
        <w:top w:val="none" w:sz="0" w:space="0" w:color="auto"/>
        <w:left w:val="none" w:sz="0" w:space="0" w:color="auto"/>
        <w:bottom w:val="none" w:sz="0" w:space="0" w:color="auto"/>
        <w:right w:val="none" w:sz="0" w:space="0" w:color="auto"/>
      </w:divBdr>
    </w:div>
    <w:div w:id="145514949">
      <w:bodyDiv w:val="1"/>
      <w:marLeft w:val="0"/>
      <w:marRight w:val="0"/>
      <w:marTop w:val="0"/>
      <w:marBottom w:val="0"/>
      <w:divBdr>
        <w:top w:val="none" w:sz="0" w:space="0" w:color="auto"/>
        <w:left w:val="none" w:sz="0" w:space="0" w:color="auto"/>
        <w:bottom w:val="none" w:sz="0" w:space="0" w:color="auto"/>
        <w:right w:val="none" w:sz="0" w:space="0" w:color="auto"/>
      </w:divBdr>
    </w:div>
    <w:div w:id="262231827">
      <w:bodyDiv w:val="1"/>
      <w:marLeft w:val="0"/>
      <w:marRight w:val="0"/>
      <w:marTop w:val="0"/>
      <w:marBottom w:val="0"/>
      <w:divBdr>
        <w:top w:val="none" w:sz="0" w:space="0" w:color="auto"/>
        <w:left w:val="none" w:sz="0" w:space="0" w:color="auto"/>
        <w:bottom w:val="none" w:sz="0" w:space="0" w:color="auto"/>
        <w:right w:val="none" w:sz="0" w:space="0" w:color="auto"/>
      </w:divBdr>
      <w:divsChild>
        <w:div w:id="1187864733">
          <w:marLeft w:val="0"/>
          <w:marRight w:val="0"/>
          <w:marTop w:val="0"/>
          <w:marBottom w:val="0"/>
          <w:divBdr>
            <w:top w:val="none" w:sz="0" w:space="0" w:color="auto"/>
            <w:left w:val="none" w:sz="0" w:space="0" w:color="auto"/>
            <w:bottom w:val="none" w:sz="0" w:space="0" w:color="auto"/>
            <w:right w:val="none" w:sz="0" w:space="0" w:color="auto"/>
          </w:divBdr>
        </w:div>
      </w:divsChild>
    </w:div>
    <w:div w:id="312830725">
      <w:bodyDiv w:val="1"/>
      <w:marLeft w:val="0"/>
      <w:marRight w:val="0"/>
      <w:marTop w:val="0"/>
      <w:marBottom w:val="0"/>
      <w:divBdr>
        <w:top w:val="none" w:sz="0" w:space="0" w:color="auto"/>
        <w:left w:val="none" w:sz="0" w:space="0" w:color="auto"/>
        <w:bottom w:val="none" w:sz="0" w:space="0" w:color="auto"/>
        <w:right w:val="none" w:sz="0" w:space="0" w:color="auto"/>
      </w:divBdr>
      <w:divsChild>
        <w:div w:id="24328860">
          <w:marLeft w:val="0"/>
          <w:marRight w:val="0"/>
          <w:marTop w:val="0"/>
          <w:marBottom w:val="0"/>
          <w:divBdr>
            <w:top w:val="none" w:sz="0" w:space="0" w:color="auto"/>
            <w:left w:val="none" w:sz="0" w:space="0" w:color="auto"/>
            <w:bottom w:val="none" w:sz="0" w:space="0" w:color="auto"/>
            <w:right w:val="none" w:sz="0" w:space="0" w:color="auto"/>
          </w:divBdr>
          <w:divsChild>
            <w:div w:id="975263028">
              <w:marLeft w:val="0"/>
              <w:marRight w:val="0"/>
              <w:marTop w:val="0"/>
              <w:marBottom w:val="0"/>
              <w:divBdr>
                <w:top w:val="none" w:sz="0" w:space="0" w:color="auto"/>
                <w:left w:val="none" w:sz="0" w:space="0" w:color="auto"/>
                <w:bottom w:val="none" w:sz="0" w:space="0" w:color="auto"/>
                <w:right w:val="none" w:sz="0" w:space="0" w:color="auto"/>
              </w:divBdr>
            </w:div>
            <w:div w:id="1512716492">
              <w:marLeft w:val="0"/>
              <w:marRight w:val="0"/>
              <w:marTop w:val="0"/>
              <w:marBottom w:val="0"/>
              <w:divBdr>
                <w:top w:val="single" w:sz="6" w:space="6" w:color="DADADA"/>
                <w:left w:val="none" w:sz="0" w:space="0" w:color="auto"/>
                <w:bottom w:val="none" w:sz="0" w:space="0" w:color="auto"/>
                <w:right w:val="none" w:sz="0" w:space="0" w:color="auto"/>
              </w:divBdr>
            </w:div>
          </w:divsChild>
        </w:div>
      </w:divsChild>
    </w:div>
    <w:div w:id="331958907">
      <w:bodyDiv w:val="1"/>
      <w:marLeft w:val="0"/>
      <w:marRight w:val="0"/>
      <w:marTop w:val="0"/>
      <w:marBottom w:val="0"/>
      <w:divBdr>
        <w:top w:val="none" w:sz="0" w:space="0" w:color="auto"/>
        <w:left w:val="none" w:sz="0" w:space="0" w:color="auto"/>
        <w:bottom w:val="none" w:sz="0" w:space="0" w:color="auto"/>
        <w:right w:val="none" w:sz="0" w:space="0" w:color="auto"/>
      </w:divBdr>
    </w:div>
    <w:div w:id="375856417">
      <w:bodyDiv w:val="1"/>
      <w:marLeft w:val="0"/>
      <w:marRight w:val="0"/>
      <w:marTop w:val="0"/>
      <w:marBottom w:val="0"/>
      <w:divBdr>
        <w:top w:val="none" w:sz="0" w:space="0" w:color="auto"/>
        <w:left w:val="none" w:sz="0" w:space="0" w:color="auto"/>
        <w:bottom w:val="none" w:sz="0" w:space="0" w:color="auto"/>
        <w:right w:val="none" w:sz="0" w:space="0" w:color="auto"/>
      </w:divBdr>
    </w:div>
    <w:div w:id="427778009">
      <w:bodyDiv w:val="1"/>
      <w:marLeft w:val="0"/>
      <w:marRight w:val="0"/>
      <w:marTop w:val="0"/>
      <w:marBottom w:val="0"/>
      <w:divBdr>
        <w:top w:val="none" w:sz="0" w:space="0" w:color="auto"/>
        <w:left w:val="none" w:sz="0" w:space="0" w:color="auto"/>
        <w:bottom w:val="none" w:sz="0" w:space="0" w:color="auto"/>
        <w:right w:val="none" w:sz="0" w:space="0" w:color="auto"/>
      </w:divBdr>
    </w:div>
    <w:div w:id="464588658">
      <w:bodyDiv w:val="1"/>
      <w:marLeft w:val="0"/>
      <w:marRight w:val="0"/>
      <w:marTop w:val="0"/>
      <w:marBottom w:val="0"/>
      <w:divBdr>
        <w:top w:val="none" w:sz="0" w:space="0" w:color="auto"/>
        <w:left w:val="none" w:sz="0" w:space="0" w:color="auto"/>
        <w:bottom w:val="none" w:sz="0" w:space="0" w:color="auto"/>
        <w:right w:val="none" w:sz="0" w:space="0" w:color="auto"/>
      </w:divBdr>
    </w:div>
    <w:div w:id="567805001">
      <w:bodyDiv w:val="1"/>
      <w:marLeft w:val="0"/>
      <w:marRight w:val="0"/>
      <w:marTop w:val="0"/>
      <w:marBottom w:val="0"/>
      <w:divBdr>
        <w:top w:val="none" w:sz="0" w:space="0" w:color="auto"/>
        <w:left w:val="none" w:sz="0" w:space="0" w:color="auto"/>
        <w:bottom w:val="none" w:sz="0" w:space="0" w:color="auto"/>
        <w:right w:val="none" w:sz="0" w:space="0" w:color="auto"/>
      </w:divBdr>
    </w:div>
    <w:div w:id="572744498">
      <w:bodyDiv w:val="1"/>
      <w:marLeft w:val="0"/>
      <w:marRight w:val="0"/>
      <w:marTop w:val="0"/>
      <w:marBottom w:val="0"/>
      <w:divBdr>
        <w:top w:val="none" w:sz="0" w:space="0" w:color="auto"/>
        <w:left w:val="none" w:sz="0" w:space="0" w:color="auto"/>
        <w:bottom w:val="none" w:sz="0" w:space="0" w:color="auto"/>
        <w:right w:val="none" w:sz="0" w:space="0" w:color="auto"/>
      </w:divBdr>
    </w:div>
    <w:div w:id="632950551">
      <w:bodyDiv w:val="1"/>
      <w:marLeft w:val="0"/>
      <w:marRight w:val="0"/>
      <w:marTop w:val="0"/>
      <w:marBottom w:val="0"/>
      <w:divBdr>
        <w:top w:val="none" w:sz="0" w:space="0" w:color="auto"/>
        <w:left w:val="none" w:sz="0" w:space="0" w:color="auto"/>
        <w:bottom w:val="none" w:sz="0" w:space="0" w:color="auto"/>
        <w:right w:val="none" w:sz="0" w:space="0" w:color="auto"/>
      </w:divBdr>
    </w:div>
    <w:div w:id="783380707">
      <w:bodyDiv w:val="1"/>
      <w:marLeft w:val="0"/>
      <w:marRight w:val="0"/>
      <w:marTop w:val="0"/>
      <w:marBottom w:val="0"/>
      <w:divBdr>
        <w:top w:val="none" w:sz="0" w:space="0" w:color="auto"/>
        <w:left w:val="none" w:sz="0" w:space="0" w:color="auto"/>
        <w:bottom w:val="none" w:sz="0" w:space="0" w:color="auto"/>
        <w:right w:val="none" w:sz="0" w:space="0" w:color="auto"/>
      </w:divBdr>
    </w:div>
    <w:div w:id="790827906">
      <w:bodyDiv w:val="1"/>
      <w:marLeft w:val="0"/>
      <w:marRight w:val="0"/>
      <w:marTop w:val="0"/>
      <w:marBottom w:val="0"/>
      <w:divBdr>
        <w:top w:val="none" w:sz="0" w:space="0" w:color="auto"/>
        <w:left w:val="none" w:sz="0" w:space="0" w:color="auto"/>
        <w:bottom w:val="none" w:sz="0" w:space="0" w:color="auto"/>
        <w:right w:val="none" w:sz="0" w:space="0" w:color="auto"/>
      </w:divBdr>
    </w:div>
    <w:div w:id="963077424">
      <w:bodyDiv w:val="1"/>
      <w:marLeft w:val="0"/>
      <w:marRight w:val="0"/>
      <w:marTop w:val="0"/>
      <w:marBottom w:val="0"/>
      <w:divBdr>
        <w:top w:val="none" w:sz="0" w:space="0" w:color="auto"/>
        <w:left w:val="none" w:sz="0" w:space="0" w:color="auto"/>
        <w:bottom w:val="none" w:sz="0" w:space="0" w:color="auto"/>
        <w:right w:val="none" w:sz="0" w:space="0" w:color="auto"/>
      </w:divBdr>
    </w:div>
    <w:div w:id="972060494">
      <w:bodyDiv w:val="1"/>
      <w:marLeft w:val="0"/>
      <w:marRight w:val="0"/>
      <w:marTop w:val="0"/>
      <w:marBottom w:val="0"/>
      <w:divBdr>
        <w:top w:val="none" w:sz="0" w:space="0" w:color="auto"/>
        <w:left w:val="none" w:sz="0" w:space="0" w:color="auto"/>
        <w:bottom w:val="none" w:sz="0" w:space="0" w:color="auto"/>
        <w:right w:val="none" w:sz="0" w:space="0" w:color="auto"/>
      </w:divBdr>
    </w:div>
    <w:div w:id="978463074">
      <w:bodyDiv w:val="1"/>
      <w:marLeft w:val="0"/>
      <w:marRight w:val="0"/>
      <w:marTop w:val="0"/>
      <w:marBottom w:val="0"/>
      <w:divBdr>
        <w:top w:val="none" w:sz="0" w:space="0" w:color="auto"/>
        <w:left w:val="none" w:sz="0" w:space="0" w:color="auto"/>
        <w:bottom w:val="none" w:sz="0" w:space="0" w:color="auto"/>
        <w:right w:val="none" w:sz="0" w:space="0" w:color="auto"/>
      </w:divBdr>
    </w:div>
    <w:div w:id="1079443527">
      <w:bodyDiv w:val="1"/>
      <w:marLeft w:val="0"/>
      <w:marRight w:val="0"/>
      <w:marTop w:val="0"/>
      <w:marBottom w:val="0"/>
      <w:divBdr>
        <w:top w:val="none" w:sz="0" w:space="0" w:color="auto"/>
        <w:left w:val="none" w:sz="0" w:space="0" w:color="auto"/>
        <w:bottom w:val="none" w:sz="0" w:space="0" w:color="auto"/>
        <w:right w:val="none" w:sz="0" w:space="0" w:color="auto"/>
      </w:divBdr>
    </w:div>
    <w:div w:id="1082142321">
      <w:bodyDiv w:val="1"/>
      <w:marLeft w:val="0"/>
      <w:marRight w:val="0"/>
      <w:marTop w:val="0"/>
      <w:marBottom w:val="0"/>
      <w:divBdr>
        <w:top w:val="none" w:sz="0" w:space="0" w:color="auto"/>
        <w:left w:val="none" w:sz="0" w:space="0" w:color="auto"/>
        <w:bottom w:val="none" w:sz="0" w:space="0" w:color="auto"/>
        <w:right w:val="none" w:sz="0" w:space="0" w:color="auto"/>
      </w:divBdr>
    </w:div>
    <w:div w:id="1155879752">
      <w:bodyDiv w:val="1"/>
      <w:marLeft w:val="0"/>
      <w:marRight w:val="0"/>
      <w:marTop w:val="0"/>
      <w:marBottom w:val="0"/>
      <w:divBdr>
        <w:top w:val="none" w:sz="0" w:space="0" w:color="auto"/>
        <w:left w:val="none" w:sz="0" w:space="0" w:color="auto"/>
        <w:bottom w:val="none" w:sz="0" w:space="0" w:color="auto"/>
        <w:right w:val="none" w:sz="0" w:space="0" w:color="auto"/>
      </w:divBdr>
    </w:div>
    <w:div w:id="1196426320">
      <w:bodyDiv w:val="1"/>
      <w:marLeft w:val="0"/>
      <w:marRight w:val="0"/>
      <w:marTop w:val="0"/>
      <w:marBottom w:val="0"/>
      <w:divBdr>
        <w:top w:val="none" w:sz="0" w:space="0" w:color="auto"/>
        <w:left w:val="none" w:sz="0" w:space="0" w:color="auto"/>
        <w:bottom w:val="none" w:sz="0" w:space="0" w:color="auto"/>
        <w:right w:val="none" w:sz="0" w:space="0" w:color="auto"/>
      </w:divBdr>
    </w:div>
    <w:div w:id="1304697671">
      <w:bodyDiv w:val="1"/>
      <w:marLeft w:val="0"/>
      <w:marRight w:val="0"/>
      <w:marTop w:val="0"/>
      <w:marBottom w:val="0"/>
      <w:divBdr>
        <w:top w:val="none" w:sz="0" w:space="0" w:color="auto"/>
        <w:left w:val="none" w:sz="0" w:space="0" w:color="auto"/>
        <w:bottom w:val="none" w:sz="0" w:space="0" w:color="auto"/>
        <w:right w:val="none" w:sz="0" w:space="0" w:color="auto"/>
      </w:divBdr>
    </w:div>
    <w:div w:id="1448157046">
      <w:bodyDiv w:val="1"/>
      <w:marLeft w:val="0"/>
      <w:marRight w:val="0"/>
      <w:marTop w:val="0"/>
      <w:marBottom w:val="0"/>
      <w:divBdr>
        <w:top w:val="none" w:sz="0" w:space="0" w:color="auto"/>
        <w:left w:val="none" w:sz="0" w:space="0" w:color="auto"/>
        <w:bottom w:val="none" w:sz="0" w:space="0" w:color="auto"/>
        <w:right w:val="none" w:sz="0" w:space="0" w:color="auto"/>
      </w:divBdr>
    </w:div>
    <w:div w:id="1518036565">
      <w:bodyDiv w:val="1"/>
      <w:marLeft w:val="0"/>
      <w:marRight w:val="0"/>
      <w:marTop w:val="0"/>
      <w:marBottom w:val="0"/>
      <w:divBdr>
        <w:top w:val="none" w:sz="0" w:space="0" w:color="auto"/>
        <w:left w:val="none" w:sz="0" w:space="0" w:color="auto"/>
        <w:bottom w:val="none" w:sz="0" w:space="0" w:color="auto"/>
        <w:right w:val="none" w:sz="0" w:space="0" w:color="auto"/>
      </w:divBdr>
    </w:div>
    <w:div w:id="1576549780">
      <w:bodyDiv w:val="1"/>
      <w:marLeft w:val="0"/>
      <w:marRight w:val="0"/>
      <w:marTop w:val="0"/>
      <w:marBottom w:val="0"/>
      <w:divBdr>
        <w:top w:val="none" w:sz="0" w:space="0" w:color="auto"/>
        <w:left w:val="none" w:sz="0" w:space="0" w:color="auto"/>
        <w:bottom w:val="none" w:sz="0" w:space="0" w:color="auto"/>
        <w:right w:val="none" w:sz="0" w:space="0" w:color="auto"/>
      </w:divBdr>
    </w:div>
    <w:div w:id="1604990411">
      <w:bodyDiv w:val="1"/>
      <w:marLeft w:val="0"/>
      <w:marRight w:val="0"/>
      <w:marTop w:val="0"/>
      <w:marBottom w:val="0"/>
      <w:divBdr>
        <w:top w:val="none" w:sz="0" w:space="0" w:color="auto"/>
        <w:left w:val="none" w:sz="0" w:space="0" w:color="auto"/>
        <w:bottom w:val="none" w:sz="0" w:space="0" w:color="auto"/>
        <w:right w:val="none" w:sz="0" w:space="0" w:color="auto"/>
      </w:divBdr>
      <w:divsChild>
        <w:div w:id="1099987489">
          <w:marLeft w:val="0"/>
          <w:marRight w:val="0"/>
          <w:marTop w:val="0"/>
          <w:marBottom w:val="0"/>
          <w:divBdr>
            <w:top w:val="none" w:sz="0" w:space="0" w:color="auto"/>
            <w:left w:val="none" w:sz="0" w:space="0" w:color="auto"/>
            <w:bottom w:val="none" w:sz="0" w:space="0" w:color="auto"/>
            <w:right w:val="none" w:sz="0" w:space="0" w:color="auto"/>
          </w:divBdr>
          <w:divsChild>
            <w:div w:id="1848866085">
              <w:marLeft w:val="0"/>
              <w:marRight w:val="0"/>
              <w:marTop w:val="75"/>
              <w:marBottom w:val="0"/>
              <w:divBdr>
                <w:top w:val="none" w:sz="0" w:space="0" w:color="auto"/>
                <w:left w:val="none" w:sz="0" w:space="0" w:color="auto"/>
                <w:bottom w:val="none" w:sz="0" w:space="0" w:color="auto"/>
                <w:right w:val="none" w:sz="0" w:space="0" w:color="auto"/>
              </w:divBdr>
              <w:divsChild>
                <w:div w:id="1893615520">
                  <w:marLeft w:val="0"/>
                  <w:marRight w:val="0"/>
                  <w:marTop w:val="0"/>
                  <w:marBottom w:val="0"/>
                  <w:divBdr>
                    <w:top w:val="none" w:sz="0" w:space="0" w:color="auto"/>
                    <w:left w:val="none" w:sz="0" w:space="0" w:color="auto"/>
                    <w:bottom w:val="none" w:sz="0" w:space="0" w:color="auto"/>
                    <w:right w:val="none" w:sz="0" w:space="0" w:color="auto"/>
                  </w:divBdr>
                  <w:divsChild>
                    <w:div w:id="13011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89028">
          <w:marLeft w:val="0"/>
          <w:marRight w:val="0"/>
          <w:marTop w:val="0"/>
          <w:marBottom w:val="0"/>
          <w:divBdr>
            <w:top w:val="none" w:sz="0" w:space="0" w:color="auto"/>
            <w:left w:val="none" w:sz="0" w:space="0" w:color="auto"/>
            <w:bottom w:val="none" w:sz="0" w:space="0" w:color="auto"/>
            <w:right w:val="none" w:sz="0" w:space="0" w:color="auto"/>
          </w:divBdr>
          <w:divsChild>
            <w:div w:id="836648191">
              <w:marLeft w:val="0"/>
              <w:marRight w:val="0"/>
              <w:marTop w:val="0"/>
              <w:marBottom w:val="0"/>
              <w:divBdr>
                <w:top w:val="none" w:sz="0" w:space="0" w:color="auto"/>
                <w:left w:val="none" w:sz="0" w:space="0" w:color="auto"/>
                <w:bottom w:val="none" w:sz="0" w:space="0" w:color="auto"/>
                <w:right w:val="none" w:sz="0" w:space="0" w:color="auto"/>
              </w:divBdr>
              <w:divsChild>
                <w:div w:id="810289551">
                  <w:marLeft w:val="0"/>
                  <w:marRight w:val="0"/>
                  <w:marTop w:val="0"/>
                  <w:marBottom w:val="0"/>
                  <w:divBdr>
                    <w:top w:val="none" w:sz="0" w:space="0" w:color="auto"/>
                    <w:left w:val="none" w:sz="0" w:space="0" w:color="auto"/>
                    <w:bottom w:val="none" w:sz="0" w:space="0" w:color="auto"/>
                    <w:right w:val="none" w:sz="0" w:space="0" w:color="auto"/>
                  </w:divBdr>
                  <w:divsChild>
                    <w:div w:id="1762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014477">
      <w:bodyDiv w:val="1"/>
      <w:marLeft w:val="0"/>
      <w:marRight w:val="0"/>
      <w:marTop w:val="0"/>
      <w:marBottom w:val="0"/>
      <w:divBdr>
        <w:top w:val="none" w:sz="0" w:space="0" w:color="auto"/>
        <w:left w:val="none" w:sz="0" w:space="0" w:color="auto"/>
        <w:bottom w:val="none" w:sz="0" w:space="0" w:color="auto"/>
        <w:right w:val="none" w:sz="0" w:space="0" w:color="auto"/>
      </w:divBdr>
    </w:div>
    <w:div w:id="1651521503">
      <w:bodyDiv w:val="1"/>
      <w:marLeft w:val="0"/>
      <w:marRight w:val="0"/>
      <w:marTop w:val="0"/>
      <w:marBottom w:val="0"/>
      <w:divBdr>
        <w:top w:val="none" w:sz="0" w:space="0" w:color="auto"/>
        <w:left w:val="none" w:sz="0" w:space="0" w:color="auto"/>
        <w:bottom w:val="none" w:sz="0" w:space="0" w:color="auto"/>
        <w:right w:val="none" w:sz="0" w:space="0" w:color="auto"/>
      </w:divBdr>
    </w:div>
    <w:div w:id="1783919740">
      <w:bodyDiv w:val="1"/>
      <w:marLeft w:val="0"/>
      <w:marRight w:val="0"/>
      <w:marTop w:val="0"/>
      <w:marBottom w:val="0"/>
      <w:divBdr>
        <w:top w:val="none" w:sz="0" w:space="0" w:color="auto"/>
        <w:left w:val="none" w:sz="0" w:space="0" w:color="auto"/>
        <w:bottom w:val="none" w:sz="0" w:space="0" w:color="auto"/>
        <w:right w:val="none" w:sz="0" w:space="0" w:color="auto"/>
      </w:divBdr>
    </w:div>
    <w:div w:id="1798790723">
      <w:bodyDiv w:val="1"/>
      <w:marLeft w:val="0"/>
      <w:marRight w:val="0"/>
      <w:marTop w:val="0"/>
      <w:marBottom w:val="0"/>
      <w:divBdr>
        <w:top w:val="none" w:sz="0" w:space="0" w:color="auto"/>
        <w:left w:val="none" w:sz="0" w:space="0" w:color="auto"/>
        <w:bottom w:val="none" w:sz="0" w:space="0" w:color="auto"/>
        <w:right w:val="none" w:sz="0" w:space="0" w:color="auto"/>
      </w:divBdr>
    </w:div>
    <w:div w:id="1829663978">
      <w:bodyDiv w:val="1"/>
      <w:marLeft w:val="0"/>
      <w:marRight w:val="0"/>
      <w:marTop w:val="0"/>
      <w:marBottom w:val="0"/>
      <w:divBdr>
        <w:top w:val="none" w:sz="0" w:space="0" w:color="auto"/>
        <w:left w:val="none" w:sz="0" w:space="0" w:color="auto"/>
        <w:bottom w:val="none" w:sz="0" w:space="0" w:color="auto"/>
        <w:right w:val="none" w:sz="0" w:space="0" w:color="auto"/>
      </w:divBdr>
    </w:div>
    <w:div w:id="1869295048">
      <w:bodyDiv w:val="1"/>
      <w:marLeft w:val="0"/>
      <w:marRight w:val="0"/>
      <w:marTop w:val="0"/>
      <w:marBottom w:val="0"/>
      <w:divBdr>
        <w:top w:val="none" w:sz="0" w:space="0" w:color="auto"/>
        <w:left w:val="none" w:sz="0" w:space="0" w:color="auto"/>
        <w:bottom w:val="none" w:sz="0" w:space="0" w:color="auto"/>
        <w:right w:val="none" w:sz="0" w:space="0" w:color="auto"/>
      </w:divBdr>
    </w:div>
    <w:div w:id="1922063318">
      <w:bodyDiv w:val="1"/>
      <w:marLeft w:val="0"/>
      <w:marRight w:val="0"/>
      <w:marTop w:val="0"/>
      <w:marBottom w:val="0"/>
      <w:divBdr>
        <w:top w:val="none" w:sz="0" w:space="0" w:color="auto"/>
        <w:left w:val="none" w:sz="0" w:space="0" w:color="auto"/>
        <w:bottom w:val="none" w:sz="0" w:space="0" w:color="auto"/>
        <w:right w:val="none" w:sz="0" w:space="0" w:color="auto"/>
      </w:divBdr>
    </w:div>
    <w:div w:id="1924994094">
      <w:bodyDiv w:val="1"/>
      <w:marLeft w:val="0"/>
      <w:marRight w:val="0"/>
      <w:marTop w:val="0"/>
      <w:marBottom w:val="0"/>
      <w:divBdr>
        <w:top w:val="none" w:sz="0" w:space="0" w:color="auto"/>
        <w:left w:val="none" w:sz="0" w:space="0" w:color="auto"/>
        <w:bottom w:val="none" w:sz="0" w:space="0" w:color="auto"/>
        <w:right w:val="none" w:sz="0" w:space="0" w:color="auto"/>
      </w:divBdr>
      <w:divsChild>
        <w:div w:id="132525181">
          <w:marLeft w:val="0"/>
          <w:marRight w:val="0"/>
          <w:marTop w:val="0"/>
          <w:marBottom w:val="0"/>
          <w:divBdr>
            <w:top w:val="none" w:sz="0" w:space="0" w:color="auto"/>
            <w:left w:val="none" w:sz="0" w:space="0" w:color="auto"/>
            <w:bottom w:val="none" w:sz="0" w:space="0" w:color="auto"/>
            <w:right w:val="none" w:sz="0" w:space="0" w:color="auto"/>
          </w:divBdr>
          <w:divsChild>
            <w:div w:id="441539167">
              <w:marLeft w:val="0"/>
              <w:marRight w:val="0"/>
              <w:marTop w:val="75"/>
              <w:marBottom w:val="0"/>
              <w:divBdr>
                <w:top w:val="none" w:sz="0" w:space="0" w:color="auto"/>
                <w:left w:val="none" w:sz="0" w:space="0" w:color="auto"/>
                <w:bottom w:val="none" w:sz="0" w:space="0" w:color="auto"/>
                <w:right w:val="none" w:sz="0" w:space="0" w:color="auto"/>
              </w:divBdr>
              <w:divsChild>
                <w:div w:id="1752268463">
                  <w:marLeft w:val="0"/>
                  <w:marRight w:val="0"/>
                  <w:marTop w:val="0"/>
                  <w:marBottom w:val="0"/>
                  <w:divBdr>
                    <w:top w:val="none" w:sz="0" w:space="0" w:color="auto"/>
                    <w:left w:val="none" w:sz="0" w:space="0" w:color="auto"/>
                    <w:bottom w:val="none" w:sz="0" w:space="0" w:color="auto"/>
                    <w:right w:val="none" w:sz="0" w:space="0" w:color="auto"/>
                  </w:divBdr>
                  <w:divsChild>
                    <w:div w:id="12706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1067">
          <w:marLeft w:val="0"/>
          <w:marRight w:val="0"/>
          <w:marTop w:val="0"/>
          <w:marBottom w:val="0"/>
          <w:divBdr>
            <w:top w:val="none" w:sz="0" w:space="0" w:color="auto"/>
            <w:left w:val="none" w:sz="0" w:space="0" w:color="auto"/>
            <w:bottom w:val="none" w:sz="0" w:space="0" w:color="auto"/>
            <w:right w:val="none" w:sz="0" w:space="0" w:color="auto"/>
          </w:divBdr>
          <w:divsChild>
            <w:div w:id="302807262">
              <w:marLeft w:val="0"/>
              <w:marRight w:val="0"/>
              <w:marTop w:val="0"/>
              <w:marBottom w:val="0"/>
              <w:divBdr>
                <w:top w:val="none" w:sz="0" w:space="0" w:color="auto"/>
                <w:left w:val="none" w:sz="0" w:space="0" w:color="auto"/>
                <w:bottom w:val="none" w:sz="0" w:space="0" w:color="auto"/>
                <w:right w:val="none" w:sz="0" w:space="0" w:color="auto"/>
              </w:divBdr>
              <w:divsChild>
                <w:div w:id="1805541149">
                  <w:marLeft w:val="0"/>
                  <w:marRight w:val="0"/>
                  <w:marTop w:val="0"/>
                  <w:marBottom w:val="0"/>
                  <w:divBdr>
                    <w:top w:val="none" w:sz="0" w:space="0" w:color="auto"/>
                    <w:left w:val="none" w:sz="0" w:space="0" w:color="auto"/>
                    <w:bottom w:val="none" w:sz="0" w:space="0" w:color="auto"/>
                    <w:right w:val="none" w:sz="0" w:space="0" w:color="auto"/>
                  </w:divBdr>
                  <w:divsChild>
                    <w:div w:id="1281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3544">
      <w:bodyDiv w:val="1"/>
      <w:marLeft w:val="0"/>
      <w:marRight w:val="0"/>
      <w:marTop w:val="0"/>
      <w:marBottom w:val="0"/>
      <w:divBdr>
        <w:top w:val="none" w:sz="0" w:space="0" w:color="auto"/>
        <w:left w:val="none" w:sz="0" w:space="0" w:color="auto"/>
        <w:bottom w:val="none" w:sz="0" w:space="0" w:color="auto"/>
        <w:right w:val="none" w:sz="0" w:space="0" w:color="auto"/>
      </w:divBdr>
      <w:divsChild>
        <w:div w:id="1486975294">
          <w:marLeft w:val="0"/>
          <w:marRight w:val="0"/>
          <w:marTop w:val="0"/>
          <w:marBottom w:val="0"/>
          <w:divBdr>
            <w:top w:val="none" w:sz="0" w:space="0" w:color="auto"/>
            <w:left w:val="none" w:sz="0" w:space="0" w:color="auto"/>
            <w:bottom w:val="none" w:sz="0" w:space="0" w:color="auto"/>
            <w:right w:val="none" w:sz="0" w:space="0" w:color="auto"/>
          </w:divBdr>
        </w:div>
      </w:divsChild>
    </w:div>
    <w:div w:id="1947342293">
      <w:bodyDiv w:val="1"/>
      <w:marLeft w:val="0"/>
      <w:marRight w:val="0"/>
      <w:marTop w:val="0"/>
      <w:marBottom w:val="0"/>
      <w:divBdr>
        <w:top w:val="none" w:sz="0" w:space="0" w:color="auto"/>
        <w:left w:val="none" w:sz="0" w:space="0" w:color="auto"/>
        <w:bottom w:val="none" w:sz="0" w:space="0" w:color="auto"/>
        <w:right w:val="none" w:sz="0" w:space="0" w:color="auto"/>
      </w:divBdr>
    </w:div>
    <w:div w:id="2028561559">
      <w:bodyDiv w:val="1"/>
      <w:marLeft w:val="0"/>
      <w:marRight w:val="0"/>
      <w:marTop w:val="0"/>
      <w:marBottom w:val="0"/>
      <w:divBdr>
        <w:top w:val="none" w:sz="0" w:space="0" w:color="auto"/>
        <w:left w:val="none" w:sz="0" w:space="0" w:color="auto"/>
        <w:bottom w:val="none" w:sz="0" w:space="0" w:color="auto"/>
        <w:right w:val="none" w:sz="0" w:space="0" w:color="auto"/>
      </w:divBdr>
    </w:div>
    <w:div w:id="2032368095">
      <w:bodyDiv w:val="1"/>
      <w:marLeft w:val="0"/>
      <w:marRight w:val="0"/>
      <w:marTop w:val="0"/>
      <w:marBottom w:val="0"/>
      <w:divBdr>
        <w:top w:val="none" w:sz="0" w:space="0" w:color="auto"/>
        <w:left w:val="none" w:sz="0" w:space="0" w:color="auto"/>
        <w:bottom w:val="none" w:sz="0" w:space="0" w:color="auto"/>
        <w:right w:val="none" w:sz="0" w:space="0" w:color="auto"/>
      </w:divBdr>
    </w:div>
    <w:div w:id="2045324667">
      <w:bodyDiv w:val="1"/>
      <w:marLeft w:val="0"/>
      <w:marRight w:val="0"/>
      <w:marTop w:val="0"/>
      <w:marBottom w:val="0"/>
      <w:divBdr>
        <w:top w:val="none" w:sz="0" w:space="0" w:color="auto"/>
        <w:left w:val="none" w:sz="0" w:space="0" w:color="auto"/>
        <w:bottom w:val="none" w:sz="0" w:space="0" w:color="auto"/>
        <w:right w:val="none" w:sz="0" w:space="0" w:color="auto"/>
      </w:divBdr>
      <w:divsChild>
        <w:div w:id="19626074">
          <w:marLeft w:val="0"/>
          <w:marRight w:val="0"/>
          <w:marTop w:val="0"/>
          <w:marBottom w:val="0"/>
          <w:divBdr>
            <w:top w:val="none" w:sz="0" w:space="0" w:color="auto"/>
            <w:left w:val="none" w:sz="0" w:space="0" w:color="auto"/>
            <w:bottom w:val="none" w:sz="0" w:space="0" w:color="auto"/>
            <w:right w:val="none" w:sz="0" w:space="0" w:color="auto"/>
          </w:divBdr>
          <w:divsChild>
            <w:div w:id="272635292">
              <w:marLeft w:val="0"/>
              <w:marRight w:val="0"/>
              <w:marTop w:val="75"/>
              <w:marBottom w:val="0"/>
              <w:divBdr>
                <w:top w:val="none" w:sz="0" w:space="0" w:color="auto"/>
                <w:left w:val="none" w:sz="0" w:space="0" w:color="auto"/>
                <w:bottom w:val="none" w:sz="0" w:space="0" w:color="auto"/>
                <w:right w:val="none" w:sz="0" w:space="0" w:color="auto"/>
              </w:divBdr>
              <w:divsChild>
                <w:div w:id="1463694613">
                  <w:marLeft w:val="0"/>
                  <w:marRight w:val="0"/>
                  <w:marTop w:val="0"/>
                  <w:marBottom w:val="0"/>
                  <w:divBdr>
                    <w:top w:val="none" w:sz="0" w:space="0" w:color="auto"/>
                    <w:left w:val="none" w:sz="0" w:space="0" w:color="auto"/>
                    <w:bottom w:val="none" w:sz="0" w:space="0" w:color="auto"/>
                    <w:right w:val="none" w:sz="0" w:space="0" w:color="auto"/>
                  </w:divBdr>
                  <w:divsChild>
                    <w:div w:id="13574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07082">
          <w:marLeft w:val="0"/>
          <w:marRight w:val="0"/>
          <w:marTop w:val="0"/>
          <w:marBottom w:val="0"/>
          <w:divBdr>
            <w:top w:val="none" w:sz="0" w:space="0" w:color="auto"/>
            <w:left w:val="none" w:sz="0" w:space="0" w:color="auto"/>
            <w:bottom w:val="none" w:sz="0" w:space="0" w:color="auto"/>
            <w:right w:val="none" w:sz="0" w:space="0" w:color="auto"/>
          </w:divBdr>
          <w:divsChild>
            <w:div w:id="211818778">
              <w:marLeft w:val="0"/>
              <w:marRight w:val="0"/>
              <w:marTop w:val="0"/>
              <w:marBottom w:val="0"/>
              <w:divBdr>
                <w:top w:val="none" w:sz="0" w:space="0" w:color="auto"/>
                <w:left w:val="none" w:sz="0" w:space="0" w:color="auto"/>
                <w:bottom w:val="none" w:sz="0" w:space="0" w:color="auto"/>
                <w:right w:val="none" w:sz="0" w:space="0" w:color="auto"/>
              </w:divBdr>
              <w:divsChild>
                <w:div w:id="844172062">
                  <w:marLeft w:val="0"/>
                  <w:marRight w:val="0"/>
                  <w:marTop w:val="0"/>
                  <w:marBottom w:val="0"/>
                  <w:divBdr>
                    <w:top w:val="none" w:sz="0" w:space="0" w:color="auto"/>
                    <w:left w:val="none" w:sz="0" w:space="0" w:color="auto"/>
                    <w:bottom w:val="none" w:sz="0" w:space="0" w:color="auto"/>
                    <w:right w:val="none" w:sz="0" w:space="0" w:color="auto"/>
                  </w:divBdr>
                  <w:divsChild>
                    <w:div w:id="10413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23646">
      <w:bodyDiv w:val="1"/>
      <w:marLeft w:val="0"/>
      <w:marRight w:val="0"/>
      <w:marTop w:val="0"/>
      <w:marBottom w:val="0"/>
      <w:divBdr>
        <w:top w:val="none" w:sz="0" w:space="0" w:color="auto"/>
        <w:left w:val="none" w:sz="0" w:space="0" w:color="auto"/>
        <w:bottom w:val="none" w:sz="0" w:space="0" w:color="auto"/>
        <w:right w:val="none" w:sz="0" w:space="0" w:color="auto"/>
      </w:divBdr>
    </w:div>
    <w:div w:id="211493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E7AA258B9BB14CAEB8750C8E2D044B" ma:contentTypeVersion="8" ma:contentTypeDescription="Create a new document." ma:contentTypeScope="" ma:versionID="60676196212cb38dc4384f1f455d81ce">
  <xsd:schema xmlns:xsd="http://www.w3.org/2001/XMLSchema" xmlns:xs="http://www.w3.org/2001/XMLSchema" xmlns:p="http://schemas.microsoft.com/office/2006/metadata/properties" xmlns:ns2="520e35ab-a2a4-4479-9a3a-d9fd9997c8b5" targetNamespace="http://schemas.microsoft.com/office/2006/metadata/properties" ma:root="true" ma:fieldsID="cc6b5abe757411db37becf908d2e459f" ns2:_="">
    <xsd:import namespace="520e35ab-a2a4-4479-9a3a-d9fd9997c8b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e35ab-a2a4-4479-9a3a-d9fd9997c8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Enp20</b:Tag>
    <b:SourceType>InternetSite</b:SourceType>
    <b:Guid>{1511F3F3-F1CD-40EE-994B-10D359BA5F80}</b:Guid>
    <b:Title>Enphase installation map</b:Title>
    <b:InternetSiteTitle>Enphase</b:InternetSiteTitle>
    <b:ProductionCompany/>
    <b:Year/>
    <b:Month/>
    <b:Day/>
    <b:YearAccessed>2020</b:YearAccessed>
    <b:MonthAccessed>2</b:MonthAccessed>
    <b:DayAccessed>29</b:DayAccessed>
    <b:URL>https://enlighten.enphaseenergy.com/public_systems</b:URL>
    <b:Version/>
    <b:ShortTitle/>
    <b:StandardNumber/>
    <b:Comments/>
    <b:Medium/>
    <b:DOI/>
    <b:RefOrder>10</b:RefOrder>
  </b:Source>
  <b:Source>
    <b:Tag>htt1</b:Tag>
    <b:SourceType>InternetSite</b:SourceType>
    <b:Guid>{CD223AC4-0A7C-4B0F-B302-3944165B34FC}</b:Guid>
    <b:URL>https://www.cnbc.com/2018/12/31/stock-market-wall-street-stocks-eye-us-china-trade-talks.html</b:URL>
    <b:RefOrder>11</b:RefOrder>
  </b:Source>
  <b:Source>
    <b:Tag>Enp201</b:Tag>
    <b:SourceType>InternetSite</b:SourceType>
    <b:Guid>{4608B2E6-80B8-43F7-AE82-1CE350AF73AD}</b:Guid>
    <b:Title>Enphase Energy Storage Installations Reach over 18,000 Homes</b:Title>
    <b:InternetSiteTitle>Globe NewsWire</b:InternetSiteTitle>
    <b:Year>2020</b:Year>
    <b:Month>3</b:Month>
    <b:Day>12</b:Day>
    <b:URL>https://www.globenewswire.com/news-release/2020/03/12/1999440/0/en/Enphase-Energy-Storage-Installations-Reach-over-18-000-Homes.html	</b:URL>
    <b:RefOrder>2</b:RefOrder>
  </b:Source>
  <b:Source>
    <b:Tag>htt</b:Tag>
    <b:SourceType>InternetSite</b:SourceType>
    <b:Guid>{5B278DFE-4891-47F0-AA19-0731B6C6AD8C}</b:Guid>
    <b:Title>Stock Market Wall Street Eye US China Trade Talks</b:Title>
    <b:InternetSiteTitle>CNBC</b:InternetSiteTitle>
    <b:Year>2018</b:Year>
    <b:Month>12</b:Month>
    <b:Day>31</b:Day>
    <b:URL>https://www.cnbc.com/2018/12/31/stock-market-wall-street-stocks-eye-us-china-trade-talks.htm</b:URL>
    <b:RefOrder>1</b:RefOrder>
  </b:Source>
  <b:Source>
    <b:Tag>Est20</b:Tag>
    <b:SourceType>InternetSite</b:SourceType>
    <b:Guid>{8A58FABC-D203-48BC-8726-25918222B97F}</b:Guid>
    <b:Title>Estee Lauder Expands Business Brand Acquisitions</b:Title>
    <b:InternetSiteTitle>Market Realist</b:InternetSiteTitle>
    <b:Year>2020</b:Year>
    <b:Month>03</b:Month>
    <b:Day>12</b:Day>
    <b:URL>https://marketrealist.com/2015/08/estee-lauder-expands-business-brand-acquisitions/</b:URL>
    <b:RefOrder>3</b:RefOrder>
  </b:Source>
  <b:Source>
    <b:Tag>Ele19</b:Tag>
    <b:SourceType>InternetSite</b:SourceType>
    <b:Guid>{0CE35AD0-A88B-495B-A300-5A5FE695D7BC}</b:Guid>
    <b:Title>Electronic Arts Stock Heads Toward Largest Drop in More Than a Decade After Earnings Miss</b:Title>
    <b:InternetSiteTitle>Market Watch</b:InternetSiteTitle>
    <b:Year>2019</b:Year>
    <b:Month>02</b:Month>
    <b:Day>05</b:Day>
    <b:URL>https://www.marketwatch.com/story/electronic-arts-stock-heads-toward-largest-drop-in-more-than-a-decade-after-earnings-miss-2019-02-05</b:URL>
    <b:RefOrder>4</b:RefOrder>
  </b:Source>
  <b:Source>
    <b:Tag>Why19</b:Tag>
    <b:SourceType>InternetSite</b:SourceType>
    <b:Guid>{E41942DC-0C22-446D-A9E8-9FB30E290DEE}</b:Guid>
    <b:Title>Why Electronic  Arts Stock Plunged 25% in 2018</b:Title>
    <b:InternetSiteTitle>Fool</b:InternetSiteTitle>
    <b:Year>2019</b:Year>
    <b:Month>01</b:Month>
    <b:Day>10</b:Day>
    <b:URL>https://www.fool.com/investing/2019/01/10/why-electronic-arts-stock-plunged-25-in-2018.aspx</b:URL>
    <b:RefOrder>5</b:RefOrder>
  </b:Source>
  <b:Source>
    <b:Tag>Est18</b:Tag>
    <b:SourceType>InternetSite</b:SourceType>
    <b:Guid>{95158FD8-F67C-43B3-BF7E-C2FEE73BD298}</b:Guid>
    <b:Title>Estee Lauder Millennials</b:Title>
    <b:InternetSiteTitle>Fortune</b:InternetSiteTitle>
    <b:Year>2018</b:Year>
    <b:Month>02</b:Month>
    <b:Day>02</b:Day>
    <b:URL>https://fortune.com/2018/02/02/estee-lauder-millennials/</b:URL>
    <b:RefOrder>7</b:RefOrder>
  </b:Source>
  <b:Source>
    <b:Tag>Ele191</b:Tag>
    <b:SourceType>InternetSite</b:SourceType>
    <b:Guid>{3C3AEB06-9DC2-424D-833C-2BDA2CD24072}</b:Guid>
    <b:Title>Electronic Arts stock sales earnings video game apex legends activision take two</b:Title>
    <b:InternetSiteTitle>Barrons</b:InternetSiteTitle>
    <b:Year>2019</b:Year>
    <b:URL>https://www.barrons.com/articles/electronic-arts-stock-sales-earnings-videogame-apex-legends-activision-take-two-51572381659</b:URL>
    <b:RefOrder>6</b:RefOrder>
  </b:Source>
  <b:Source>
    <b:Tag>Why191</b:Tag>
    <b:SourceType>InternetSite</b:SourceType>
    <b:Guid>{D053595C-64A1-45BC-A323-433B0FD20324}</b:Guid>
    <b:Title>Why Estee Lauder Shares Surged Today</b:Title>
    <b:InternetSiteTitle>Fool</b:InternetSiteTitle>
    <b:Year>2019</b:Year>
    <b:Month>08</b:Month>
    <b:Day>19</b:Day>
    <b:URL>https://www.fool.com/investing/2019/08/19/why-estee-lauder-shares-surged-today.aspx</b:URL>
    <b:RefOrder>8</b:RefOrder>
  </b:Source>
  <b:Source>
    <b:Tag>Whe19</b:Tag>
    <b:SourceType>InternetSite</b:SourceType>
    <b:Guid>{716DEF2A-A912-4242-99BF-86CBB7FED12F}</b:Guid>
    <b:Title>Where wil Enphase Energy be in 5 years?</b:Title>
    <b:InternetSiteTitle>Fool</b:InternetSiteTitle>
    <b:Year>2019</b:Year>
    <b:Month>08</b:Month>
    <b:Day>01</b:Day>
    <b:URL>https://www.fool.com/investing/2019/08/01/where-will-enphase-energy-be-in-5-years.aspx</b:URL>
    <b:RefOrder>9</b:RefOrder>
  </b:Source>
</b:Sources>
</file>

<file path=customXml/itemProps1.xml><?xml version="1.0" encoding="utf-8"?>
<ds:datastoreItem xmlns:ds="http://schemas.openxmlformats.org/officeDocument/2006/customXml" ds:itemID="{B0C848CC-AE1D-4298-B79C-CBCF4D0186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B42F8B-8F42-4FCF-8DF0-752874FAE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e35ab-a2a4-4479-9a3a-d9fd9997c8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B9CD41-2624-475C-BDC8-CA86B689F215}">
  <ds:schemaRefs>
    <ds:schemaRef ds:uri="http://schemas.microsoft.com/sharepoint/v3/contenttype/forms"/>
  </ds:schemaRefs>
</ds:datastoreItem>
</file>

<file path=customXml/itemProps4.xml><?xml version="1.0" encoding="utf-8"?>
<ds:datastoreItem xmlns:ds="http://schemas.openxmlformats.org/officeDocument/2006/customXml" ds:itemID="{61BFEA46-BA4C-4AC4-AE5B-08325BDF1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Klassen</dc:creator>
  <cp:keywords/>
  <dc:description/>
  <cp:lastModifiedBy>Evan Duffy</cp:lastModifiedBy>
  <cp:revision>2</cp:revision>
  <dcterms:created xsi:type="dcterms:W3CDTF">2020-04-15T14:25:00Z</dcterms:created>
  <dcterms:modified xsi:type="dcterms:W3CDTF">2020-04-15T14:25:00Z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0x010100F9E7AA258B9BB14CAEB8750C8E2D044B</vt:lpwstr>
  </property>
</Properties>
</file>