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Ashgrove</w:t>
      </w:r>
      <w:r>
        <w:t xml:space="preserve"> </w:t>
      </w:r>
      <w:r>
        <w:t xml:space="preserve">Dental</w:t>
      </w:r>
      <w:r>
        <w:t xml:space="preserve"> </w:t>
      </w:r>
      <w:r>
        <w:t xml:space="preserve">—</w:t>
      </w:r>
      <w:r>
        <w:t xml:space="preserve"> </w:t>
      </w:r>
      <w:r>
        <w:t xml:space="preserve">Kapanmayan</w:t>
      </w:r>
      <w:r>
        <w:t xml:space="preserve"> </w:t>
      </w:r>
      <w:r>
        <w:t xml:space="preserve">Döngü</w:t>
      </w:r>
    </w:p>
    <w:p>
      <w:pPr>
        <w:pStyle w:val="Subtitle"/>
      </w:pPr>
      <w:r>
        <w:t xml:space="preserve">Müşteri</w:t>
      </w:r>
      <w:r>
        <w:t xml:space="preserve"> </w:t>
      </w:r>
      <w:r>
        <w:t xml:space="preserve">Yönetim</w:t>
      </w:r>
      <w:r>
        <w:t xml:space="preserve"> </w:t>
      </w:r>
      <w:r>
        <w:t xml:space="preserve">Planı</w:t>
      </w:r>
      <w:r>
        <w:t xml:space="preserve"> </w:t>
      </w:r>
      <w:r>
        <w:t xml:space="preserve">·</w:t>
      </w:r>
      <w:r>
        <w:t xml:space="preserve"> </w:t>
      </w:r>
      <w:r>
        <w:t xml:space="preserve">İç</w:t>
      </w:r>
      <w:r>
        <w:t xml:space="preserve"> </w:t>
      </w:r>
      <w:r>
        <w:t xml:space="preserve">Hizalama</w:t>
      </w:r>
      <w:r>
        <w:t xml:space="preserve"> </w:t>
      </w:r>
      <w:r>
        <w:t xml:space="preserve">·</w:t>
      </w:r>
      <w:r>
        <w:t xml:space="preserve"> </w:t>
      </w:r>
      <w:r>
        <w:t xml:space="preserve">Devir</w:t>
      </w:r>
      <w:r>
        <w:t xml:space="preserve"> </w:t>
      </w:r>
      <w:r>
        <w:t xml:space="preserve">ve</w:t>
      </w:r>
      <w:r>
        <w:t xml:space="preserve"> </w:t>
      </w:r>
      <w:r>
        <w:t xml:space="preserve">Kapanış</w:t>
      </w:r>
    </w:p>
    <w:bookmarkStart w:id="24" w:name="müşteri-yönetim-planı"/>
    <w:p>
      <w:pPr>
        <w:pStyle w:val="Heading1"/>
      </w:pPr>
      <w:r>
        <w:t xml:space="preserve">Müşteri Yönetim Planı</w:t>
      </w:r>
    </w:p>
    <w:bookmarkStart w:id="20" w:name="gareth-prycea-gidecek-yazılı-taahhüt"/>
    <w:p>
      <w:pPr>
        <w:pStyle w:val="Heading2"/>
      </w:pPr>
      <w:r>
        <w:t xml:space="preserve">1. Gareth Pryce’a gidecek yazılı taahhüt</w:t>
      </w:r>
    </w:p>
    <w:p>
      <w:pPr>
        <w:pStyle w:val="FirstParagraph"/>
      </w:pPr>
      <w:r>
        <w:rPr>
          <w:bCs/>
          <w:b/>
        </w:rPr>
        <w:t xml:space="preserve">Taahhüt ettiğimiz:</w:t>
      </w:r>
    </w:p>
    <w:p>
      <w:pPr>
        <w:numPr>
          <w:ilvl w:val="0"/>
          <w:numId w:val="1001"/>
        </w:numPr>
        <w:pStyle w:val="Compact"/>
      </w:pPr>
      <w:r>
        <w:t xml:space="preserve">Beş iş günü içinde, hiçbir CRM veya platform erişimi olmadan çalışan bir mutabakat (reconciliation) sistemi canlıda. Randevusunu almış hasta ertesi gün listesine</w:t>
      </w:r>
      <w:r>
        <w:t xml:space="preserve"> </w:t>
      </w:r>
      <w:r>
        <w:rPr>
          <w:bCs/>
          <w:b/>
        </w:rPr>
        <w:t xml:space="preserve">girmez</w:t>
      </w:r>
      <w:r>
        <w:t xml:space="preserve">.</w:t>
      </w:r>
    </w:p>
    <w:p>
      <w:pPr>
        <w:numPr>
          <w:ilvl w:val="0"/>
          <w:numId w:val="1001"/>
        </w:numPr>
        <w:pStyle w:val="Compact"/>
      </w:pPr>
      <w:r>
        <w:t xml:space="preserve">Her deal aşaması değişikliği, kim/ne zaman/neden bilgisiyle kayıt altında (Nadia’nın denetim şartı).</w:t>
      </w:r>
    </w:p>
    <w:p>
      <w:pPr>
        <w:numPr>
          <w:ilvl w:val="0"/>
          <w:numId w:val="1001"/>
        </w:numPr>
        <w:pStyle w:val="Compact"/>
      </w:pPr>
      <w:r>
        <w:t xml:space="preserve">Sonuç kodunun hiç gelmediği ~%18’lik dilim için tahmine dayalı değil, tanımlı ve izlenebilir bir kural.</w:t>
      </w:r>
    </w:p>
    <w:p>
      <w:pPr>
        <w:numPr>
          <w:ilvl w:val="0"/>
          <w:numId w:val="1001"/>
        </w:numPr>
        <w:pStyle w:val="Compact"/>
      </w:pPr>
      <w:r>
        <w:t xml:space="preserve">41 hasta için ayrı bir telafi planı ve kapanış raporu (madde 5).</w:t>
      </w:r>
    </w:p>
    <w:p>
      <w:pPr>
        <w:numPr>
          <w:ilvl w:val="0"/>
          <w:numId w:val="1001"/>
        </w:numPr>
        <w:pStyle w:val="Compact"/>
      </w:pPr>
      <w:r>
        <w:t xml:space="preserve">Bookings ekibinden hiçbir ek tıklama ya da wrap-up süresi istemiyoruz.</w:t>
      </w:r>
    </w:p>
    <w:p>
      <w:pPr>
        <w:pStyle w:val="FirstParagraph"/>
      </w:pPr>
      <w:r>
        <w:rPr>
          <w:bCs/>
          <w:b/>
        </w:rPr>
        <w:t xml:space="preserve">Taahhüt etmediğimiz:</w:t>
      </w:r>
    </w:p>
    <w:p>
      <w:pPr>
        <w:numPr>
          <w:ilvl w:val="0"/>
          <w:numId w:val="1002"/>
        </w:numPr>
        <w:pStyle w:val="Compact"/>
      </w:pPr>
      <w:r>
        <w:rPr>
          <w:bCs/>
          <w:b/>
        </w:rPr>
        <w:t xml:space="preserve">SD-5632’ye tarih.</w:t>
      </w:r>
      <w:r>
        <w:t xml:space="preserve"> </w:t>
      </w:r>
      <w:r>
        <w:t xml:space="preserve">Bu, platformun kendi bildirim mimarisinde bir değişiklik; ürün ekibi bu çeyreğe alamayacağını yazılı olarak bildirdi. Biz kök nedeni değil, kök neden düzelene kadar dayanacak bir katmanı taahhüt ediyoruz.</w:t>
      </w:r>
    </w:p>
    <w:p>
      <w:pPr>
        <w:numPr>
          <w:ilvl w:val="0"/>
          <w:numId w:val="1002"/>
        </w:numPr>
        <w:pStyle w:val="Compact"/>
      </w:pPr>
      <w:r>
        <w:rPr>
          <w:bCs/>
          <w:b/>
        </w:rPr>
        <w:t xml:space="preserve">İki kademeli arama sıralaması (madde 6’nın tam hâli).</w:t>
      </w:r>
      <w:r>
        <w:t xml:space="preserve"> </w:t>
      </w:r>
      <w:r>
        <w:t xml:space="preserve">Ürünün kendi analizi (MTA-7360), iki kuralın pratikte hemen hemen aynı 5.333 kişiye, aynı dakikada ulaştığını gösteriyor; takip çağrılarının sadece %0,99’u talep edilen pencereye düşüyor. Bu veriyi Gareth’a da açıkça paylaşacağız —</w:t>
      </w:r>
      <w:r>
        <w:t xml:space="preserve"> </w:t>
      </w:r>
      <w:r>
        <w:t xml:space="preserve">“</w:t>
      </w:r>
      <w:r>
        <w:t xml:space="preserve">yapamayız</w:t>
      </w:r>
      <w:r>
        <w:t xml:space="preserve">”</w:t>
      </w:r>
      <w:r>
        <w:t xml:space="preserve"> </w:t>
      </w:r>
      <w:r>
        <w:t xml:space="preserve">demek yerine</w:t>
      </w:r>
      <w:r>
        <w:t xml:space="preserve"> </w:t>
      </w:r>
      <w:r>
        <w:t xml:space="preserve">“</w:t>
      </w:r>
      <w:r>
        <w:t xml:space="preserve">şu ana kadar yaptığımız ölçüm bunu gösteriyor</w:t>
      </w:r>
      <w:r>
        <w:t xml:space="preserve">”</w:t>
      </w:r>
      <w:r>
        <w:t xml:space="preserve"> </w:t>
      </w:r>
      <w:r>
        <w:t xml:space="preserve">diyoruz.</w:t>
      </w:r>
    </w:p>
    <w:p>
      <w:pPr>
        <w:pStyle w:val="FirstParagraph"/>
      </w:pPr>
      <w:r>
        <w:rPr>
          <w:bCs/>
          <w:b/>
        </w:rPr>
        <w:t xml:space="preserve">Madde 6 ve Madde 10 — açık cevap:</w:t>
      </w:r>
    </w:p>
    <w:p>
      <w:pPr>
        <w:pStyle w:val="BodyText"/>
      </w:pPr>
      <w:r>
        <w:t xml:space="preserve">Satış sürecinde cross-check’te madde 10’a</w:t>
      </w:r>
      <w:r>
        <w:t xml:space="preserve"> </w:t>
      </w:r>
      <w:r>
        <w:t xml:space="preserve">“</w:t>
      </w:r>
      <w:r>
        <w:t xml:space="preserve">Needs Info</w:t>
      </w:r>
      <w:r>
        <w:t xml:space="preserve">”</w:t>
      </w:r>
      <w:r>
        <w:t xml:space="preserve">, madde 6’ya</w:t>
      </w:r>
      <w:r>
        <w:t xml:space="preserve"> </w:t>
      </w:r>
      <w:r>
        <w:t xml:space="preserve">“</w:t>
      </w:r>
      <w:r>
        <w:t xml:space="preserve">Partial</w:t>
      </w:r>
      <w:r>
        <w:t xml:space="preserve">”</w:t>
      </w:r>
      <w:r>
        <w:t xml:space="preserve"> </w:t>
      </w:r>
      <w:r>
        <w:t xml:space="preserve">yazılmış; ikisi de yazılı kayıtta netti. Demo gününde ekibimizden birinin sözlü olarak</w:t>
      </w:r>
      <w:r>
        <w:t xml:space="preserve"> </w:t>
      </w:r>
      <w:r>
        <w:t xml:space="preserve">“</w:t>
      </w:r>
      <w:r>
        <w:t xml:space="preserve">yes we can do that</w:t>
      </w:r>
      <w:r>
        <w:t xml:space="preserve">”</w:t>
      </w:r>
      <w:r>
        <w:t xml:space="preserve"> </w:t>
      </w:r>
      <w:r>
        <w:t xml:space="preserve">dediğini biliyoruz ve bunu inkâr etmiyoruz — bu bir iletişim hatasıydı, sözleşme kapsamını değiştirmez ama Gareth’ın güvenini etkiledi ve bunu böyle kabul ediyoruz. İlerisi için: madde 10’daki</w:t>
      </w:r>
      <w:r>
        <w:t xml:space="preserve"> </w:t>
      </w:r>
      <w:r>
        <w:t xml:space="preserve">“</w:t>
      </w:r>
      <w:r>
        <w:t xml:space="preserve">fully integrated</w:t>
      </w:r>
      <w:r>
        <w:t xml:space="preserve">”</w:t>
      </w:r>
      <w:r>
        <w:t xml:space="preserve"> </w:t>
      </w:r>
      <w:r>
        <w:t xml:space="preserve">tanımını netleştirip alan eşleme tablosunu (Nadia’dan) resmi olarak talep edip dokümante edeceğiz; madde 6’daki iki kademeli kural için MTA-7360 analizini paylaşıp, gerçek etkisinin göründüğünden düşük olduğunu birlikte değerlendireceğiz.</w:t>
      </w:r>
    </w:p>
    <w:bookmarkEnd w:id="20"/>
    <w:bookmarkStart w:id="21" w:name="aideen-marsh-için-ilk-48-saat-planı"/>
    <w:p>
      <w:pPr>
        <w:pStyle w:val="Heading2"/>
      </w:pPr>
      <w:r>
        <w:t xml:space="preserve">2. Aideen Marsh için ilk 48 saat planı</w:t>
      </w:r>
    </w:p>
    <w:p>
      <w:pPr>
        <w:pStyle w:val="FirstParagraph"/>
      </w:pPr>
      <w:r>
        <w:t xml:space="preserve">Wrap-up talimatını</w:t>
      </w:r>
      <w:r>
        <w:t xml:space="preserve"> </w:t>
      </w:r>
      <w:r>
        <w:rPr>
          <w:bCs/>
          <w:b/>
        </w:rPr>
        <w:t xml:space="preserve">değiştirmesini istemiyoruz</w:t>
      </w:r>
      <w:r>
        <w:t xml:space="preserve"> </w:t>
      </w:r>
      <w:r>
        <w:t xml:space="preserve">— bu, bize ait olmayan bir operasyonel karar ve ekibinin ölçüldüğü metriği tehdit ediyor. Bunun yerine:</w:t>
      </w:r>
    </w:p>
    <w:p>
      <w:pPr>
        <w:numPr>
          <w:ilvl w:val="0"/>
          <w:numId w:val="1003"/>
        </w:numPr>
        <w:pStyle w:val="Compact"/>
      </w:pPr>
      <w:r>
        <w:t xml:space="preserve">Saat 0–4: Mevcut disposition verisini (gelen ~%82’lik kısmı) kullanarak sistemi devreye alıyoruz; ekibin hiçbir şey yapması gerekmiyor.</w:t>
      </w:r>
    </w:p>
    <w:p>
      <w:pPr>
        <w:numPr>
          <w:ilvl w:val="0"/>
          <w:numId w:val="1003"/>
        </w:numPr>
        <w:pStyle w:val="Compact"/>
      </w:pPr>
      <w:r>
        <w:t xml:space="preserve">Saat 4–24: Sonuç kodu gelmeyen çağrılar için, agent’ın zaten yazdığı serbest metin notunu (agent_note) ikincil sinyal olarak kullanan bir öneri katmanı çalıştırıyoruz — bu da ekstra tıklama gerektirmiyor, mevcut notu okuyor.</w:t>
      </w:r>
    </w:p>
    <w:p>
      <w:pPr>
        <w:numPr>
          <w:ilvl w:val="0"/>
          <w:numId w:val="1003"/>
        </w:numPr>
        <w:pStyle w:val="Compact"/>
      </w:pPr>
      <w:r>
        <w:t xml:space="preserve">Saat 24–48: İlk 24 saatin sonuçlarını (kaç kayıt doğru bastırıldı, kaç kayıt hâlâ belirsiz) Aideen’e paylaşıyoruz; ondan tek istediğimiz, mevcut sürecine devam etmesi.</w:t>
      </w:r>
    </w:p>
    <w:p>
      <w:pPr>
        <w:pStyle w:val="FirstParagraph"/>
      </w:pPr>
      <w:r>
        <w:t xml:space="preserve">Mesaj:</w:t>
      </w:r>
      <w:r>
        <w:t xml:space="preserve"> </w:t>
      </w:r>
      <w:r>
        <w:t xml:space="preserve">“</w:t>
      </w:r>
      <w:r>
        <w:t xml:space="preserve">Sizin ekibinizin davranışı sorun değil, bizim sistemimizin bunu tolere etmesi gerekiyor — ve şimdi ediyor.</w:t>
      </w:r>
      <w:r>
        <w:t xml:space="preserve">”</w:t>
      </w:r>
    </w:p>
    <w:bookmarkEnd w:id="21"/>
    <w:bookmarkStart w:id="22" w:name="X29ddc4cf177af7b1a63c633ece6e5f89a4a74bd"/>
    <w:p>
      <w:pPr>
        <w:pStyle w:val="Heading2"/>
      </w:pPr>
      <w:r>
        <w:t xml:space="preserve">3. 24 Eylül — klinik sahipleri kuruluna ne konacak</w:t>
      </w:r>
    </w:p>
    <w:p>
      <w:pPr>
        <w:pStyle w:val="FirstParagraph"/>
      </w:pPr>
      <w:r>
        <w:t xml:space="preserve">Tek sayfa, üç bölüm:</w:t>
      </w:r>
      <w:r>
        <w:t xml:space="preserve"> </w:t>
      </w:r>
      <w:r>
        <w:t xml:space="preserve">1.</w:t>
      </w:r>
      <w:r>
        <w:t xml:space="preserve"> </w:t>
      </w:r>
      <w:r>
        <w:rPr>
          <w:bCs/>
          <w:b/>
        </w:rPr>
        <w:t xml:space="preserve">Ne oldu, neden oldu</w:t>
      </w:r>
      <w:r>
        <w:t xml:space="preserve"> </w:t>
      </w:r>
      <w:r>
        <w:t xml:space="preserve">— tek cümlelik problem tanımı (kayıt New Lead’de kaldığı için tekrar aranıyor), spin yok.</w:t>
      </w:r>
      <w:r>
        <w:t xml:space="preserve"> </w:t>
      </w:r>
      <w:r>
        <w:t xml:space="preserve">2.</w:t>
      </w:r>
      <w:r>
        <w:t xml:space="preserve"> </w:t>
      </w:r>
      <w:r>
        <w:rPr>
          <w:bCs/>
          <w:b/>
        </w:rPr>
        <w:t xml:space="preserve">Ne düzeldi, kanıtı ne</w:t>
      </w:r>
      <w:r>
        <w:t xml:space="preserve"> </w:t>
      </w:r>
      <w:r>
        <w:t xml:space="preserve">— canlı URL + son 48 saatte bastırılan hasta sayısı + tekrar arama sıfıra indi mi.</w:t>
      </w:r>
      <w:r>
        <w:t xml:space="preserve"> </w:t>
      </w:r>
      <w:r>
        <w:t xml:space="preserve">3.</w:t>
      </w:r>
      <w:r>
        <w:t xml:space="preserve"> </w:t>
      </w:r>
      <w:r>
        <w:rPr>
          <w:bCs/>
          <w:b/>
        </w:rPr>
        <w:t xml:space="preserve">Ne hâlâ açık, ne zaman netleşir</w:t>
      </w:r>
      <w:r>
        <w:t xml:space="preserve"> </w:t>
      </w:r>
      <w:r>
        <w:t xml:space="preserve">— SD-5632 için tarih yok ama geçici çözüm kalıcı olarak duruyor; iki kademeli sıralama için veri paylaşılacak, nihai karar birlikte verilecek.</w:t>
      </w:r>
    </w:p>
    <w:bookmarkEnd w:id="22"/>
    <w:bookmarkStart w:id="23" w:name="hastaya-ne-yapılacak"/>
    <w:p>
      <w:pPr>
        <w:pStyle w:val="Heading2"/>
      </w:pPr>
      <w:r>
        <w:t xml:space="preserve">4. 41 hastaya ne yapılacak</w:t>
      </w:r>
    </w:p>
    <w:p>
      <w:pPr>
        <w:numPr>
          <w:ilvl w:val="0"/>
          <w:numId w:val="1004"/>
        </w:numPr>
        <w:pStyle w:val="Compact"/>
      </w:pPr>
      <w:r>
        <w:t xml:space="preserve">CRM mock/activity kayıtlarından bu 41 hastayı tekil olarak listeliyoruz (gerçek ortamda Nadia’nın alan eşlemesiyle HubSpot’tan çekilecek).</w:t>
      </w:r>
    </w:p>
    <w:p>
      <w:pPr>
        <w:numPr>
          <w:ilvl w:val="0"/>
          <w:numId w:val="1004"/>
        </w:numPr>
        <w:pStyle w:val="Compact"/>
      </w:pPr>
      <w:r>
        <w:t xml:space="preserve">Her biri için Bookings ekibi kısa bir</w:t>
      </w:r>
      <w:r>
        <w:t xml:space="preserve"> </w:t>
      </w:r>
      <w:r>
        <w:t xml:space="preserve">“</w:t>
      </w:r>
      <w:r>
        <w:t xml:space="preserve">özür + doğrulama</w:t>
      </w:r>
      <w:r>
        <w:t xml:space="preserve">”</w:t>
      </w:r>
      <w:r>
        <w:t xml:space="preserve"> </w:t>
      </w:r>
      <w:r>
        <w:t xml:space="preserve">araması yapar: randevu hâlâ geçerli mi, teyit edilir, tekrar aranmayacağı söylenir.</w:t>
      </w:r>
    </w:p>
    <w:p>
      <w:pPr>
        <w:numPr>
          <w:ilvl w:val="0"/>
          <w:numId w:val="1004"/>
        </w:numPr>
        <w:pStyle w:val="Compact"/>
      </w:pPr>
      <w:r>
        <w:t xml:space="preserve">Öncelikli konsültasyon slotu sunulur (somut bir jest, karşılıksız değil).</w:t>
      </w:r>
    </w:p>
    <w:p>
      <w:pPr>
        <w:numPr>
          <w:ilvl w:val="0"/>
          <w:numId w:val="1004"/>
        </w:numPr>
        <w:pStyle w:val="Compact"/>
      </w:pPr>
      <w:r>
        <w:t xml:space="preserve">Bu 41 kayıt sistemde kalıcı olarak bastırma listesine alınır; aynı hata ile ikinci kez aranmaları engellenir.</w:t>
      </w:r>
    </w:p>
    <w:p>
      <w:pPr>
        <w:numPr>
          <w:ilvl w:val="0"/>
          <w:numId w:val="1004"/>
        </w:numPr>
        <w:pStyle w:val="Compact"/>
      </w:pPr>
      <w:r>
        <w:t xml:space="preserve">Google yorumuna (kamuya açık) kısa, savunmacı olmayan bir yanıt: sorunun kabul edildiği, düzeltmenin ne olduğu.</w:t>
      </w:r>
    </w:p>
    <w:bookmarkEnd w:id="23"/>
    <w:bookmarkEnd w:id="24"/>
    <w:bookmarkStart w:id="25" w:name="iç-hizalama"/>
    <w:p>
      <w:pPr>
        <w:pStyle w:val="Heading1"/>
      </w:pPr>
      <w:r>
        <w:t xml:space="preserve">İç Hizalama</w:t>
      </w:r>
    </w:p>
    <w:p>
      <w:pPr>
        <w:pStyle w:val="FirstParagraph"/>
      </w:pPr>
      <w:r>
        <w:rPr>
          <w:bCs/>
          <w:b/>
        </w:rPr>
        <w:t xml:space="preserve">Satışa:</w:t>
      </w:r>
      <w:r>
        <w:t xml:space="preserve"> </w:t>
      </w:r>
      <w:r>
        <w:t xml:space="preserve">Ashgrove’un referans değerini ve arkasındaki iki fırsatı biliyoruz. Gareth’a sadece elimizden gelenin sözünü veriyoruz — SD-5632’ye tarih ya da iki kademeli sıralamanın tam hâli değil. Account Executive’in demo gününde verdiği sözlü</w:t>
      </w:r>
      <w:r>
        <w:t xml:space="preserve"> </w:t>
      </w:r>
      <w:r>
        <w:t xml:space="preserve">“</w:t>
      </w:r>
      <w:r>
        <w:t xml:space="preserve">yes</w:t>
      </w:r>
      <w:r>
        <w:t xml:space="preserve">”</w:t>
      </w:r>
      <w:r>
        <w:t xml:space="preserve">i saklamıyoruz, açıkça kabul ediyoruz; bundan sonra müşteriye söylenen her şeyin yazılı taahhütle birebir örtüşmesini istiyoruz ki ikinci bir güven kaybı yaşanmasın.</w:t>
      </w:r>
    </w:p>
    <w:p>
      <w:pPr>
        <w:pStyle w:val="BodyText"/>
      </w:pPr>
      <w:r>
        <w:rPr>
          <w:bCs/>
          <w:b/>
        </w:rPr>
        <w:t xml:space="preserve">Ürüne:</w:t>
      </w:r>
      <w:r>
        <w:t xml:space="preserve"> </w:t>
      </w:r>
      <w:r>
        <w:t xml:space="preserve">SD-5632’nin tarihini istemiyoruz — mimari değişikliğin bu çeyreğe girmeyeceğini kabul ediyoruz. Onun yerine, platformdan bağımsız çalışan bir katman kurduk; ürün ekibine yük bindirmiyoruz. İkna edici kanıt olarak: (a) bu deseni başka hesaplarda da görürsek toplayacağımız veri, (b) reconciliation katmanının canlı metrikleri (kaç kayıt sistemin native bildirimine hâlâ muhtaç kaldı). MTA-7360’ın kendi hazırladığı analiz gibi, biz de kendi ölçümümüzü üreteceğiz — talep değil, kanıt.</w:t>
      </w:r>
    </w:p>
    <w:p>
      <w:pPr>
        <w:pStyle w:val="BodyText"/>
      </w:pPr>
      <w:r>
        <w:rPr>
          <w:bCs/>
          <w:b/>
        </w:rPr>
        <w:t xml:space="preserve">Yöneticimize:</w:t>
      </w:r>
      <w:r>
        <w:t xml:space="preserve"> </w:t>
      </w:r>
      <w:r>
        <w:t xml:space="preserve">API anahtarı istemiyoruz; production anahtar dondurması ve HubSpot token’ının ajansta olması kısıtları içinde kaldık. Beş gün içinde çalışan bir sistem teslim ettik (slayt değil). İki diş grubu fırsatı, Gareth’a verdiğimiz sözün gerçekçi ve tutulabilir olmasına bağlı — abartılı taahhütle değil.</w:t>
      </w:r>
    </w:p>
    <w:p>
      <w:pPr>
        <w:pStyle w:val="BodyText"/>
      </w:pPr>
      <w:r>
        <w:rPr>
          <w:bCs/>
          <w:b/>
        </w:rPr>
        <w:t xml:space="preserve">İki diş grubu fırsatına:</w:t>
      </w:r>
      <w:r>
        <w:t xml:space="preserve"> </w:t>
      </w:r>
      <w:r>
        <w:t xml:space="preserve">Ashgrove’u referans göstermeye devam edebiliriz, ama bu vakadan çıkan gerçek dersle:</w:t>
      </w:r>
      <w:r>
        <w:t xml:space="preserve"> </w:t>
      </w:r>
      <w:r>
        <w:t xml:space="preserve">“</w:t>
      </w:r>
      <w:r>
        <w:t xml:space="preserve">fully integrated, live</w:t>
      </w:r>
      <w:r>
        <w:t xml:space="preserve">”</w:t>
      </w:r>
      <w:r>
        <w:t xml:space="preserve"> </w:t>
      </w:r>
      <w:r>
        <w:t xml:space="preserve">gibi ifadeleri netleştirilmiş tanımlarla kullanacağız, alan eşleme ve entegrasyon sınırlarını satış sürecinde daha erken yazılı hale getireceğiz.</w:t>
      </w:r>
    </w:p>
    <w:bookmarkEnd w:id="25"/>
    <w:bookmarkStart w:id="30" w:name="devir-ve-kapanış"/>
    <w:p>
      <w:pPr>
        <w:pStyle w:val="Heading1"/>
      </w:pPr>
      <w:r>
        <w:t xml:space="preserve">Devir ve Kapanış</w:t>
      </w:r>
    </w:p>
    <w:bookmarkStart w:id="26" w:name="günlük-plan"/>
    <w:p>
      <w:pPr>
        <w:pStyle w:val="Heading2"/>
      </w:pPr>
      <w:r>
        <w:t xml:space="preserve">30 / 60 / 90 günlük plan</w:t>
      </w:r>
    </w:p>
    <w:p>
      <w:pPr>
        <w:numPr>
          <w:ilvl w:val="0"/>
          <w:numId w:val="1005"/>
        </w:numPr>
        <w:pStyle w:val="Compact"/>
      </w:pPr>
      <w:r>
        <w:rPr>
          <w:bCs/>
          <w:b/>
        </w:rPr>
        <w:t xml:space="preserve">30 gün:</w:t>
      </w:r>
      <w:r>
        <w:t xml:space="preserve"> </w:t>
      </w:r>
      <w:r>
        <w:t xml:space="preserve">Sistem canlı ve izleniyor; 41 hasta telafisi tamamlandı; Gareth’a haftalık kısa durum raporu (dashboard linki + özet).</w:t>
      </w:r>
    </w:p>
    <w:p>
      <w:pPr>
        <w:numPr>
          <w:ilvl w:val="0"/>
          <w:numId w:val="1005"/>
        </w:numPr>
        <w:pStyle w:val="Compact"/>
      </w:pPr>
      <w:r>
        <w:rPr>
          <w:bCs/>
          <w:b/>
        </w:rPr>
        <w:t xml:space="preserve">60 gün:</w:t>
      </w:r>
      <w:r>
        <w:t xml:space="preserve"> </w:t>
      </w:r>
      <w:r>
        <w:t xml:space="preserve">SD-5632 için kanıt paketi ürün ekibine sunulur (gerçek kullanım verisiyle); Nadia ile alan eşleme tablosu resmi doküman hâline getirilir; madde 6’daki iki kademeli sıralama tartışması veriyle kapatılır.</w:t>
      </w:r>
    </w:p>
    <w:p>
      <w:pPr>
        <w:numPr>
          <w:ilvl w:val="0"/>
          <w:numId w:val="1005"/>
        </w:numPr>
        <w:pStyle w:val="Compact"/>
      </w:pPr>
      <w:r>
        <w:rPr>
          <w:bCs/>
          <w:b/>
        </w:rPr>
        <w:t xml:space="preserve">90 gün:</w:t>
      </w:r>
      <w:r>
        <w:t xml:space="preserve"> </w:t>
      </w:r>
      <w:r>
        <w:t xml:space="preserve">SD-5632 tarih aldıysa geçiş planı devreye girer; almadıysa reconciliation katmanı kalıcı çözüm olarak sahiplenilir — izleme, alarm ve runbook eklenir.</w:t>
      </w:r>
    </w:p>
    <w:bookmarkEnd w:id="26"/>
    <w:bookmarkStart w:id="27" w:name="kapanma-kriteri"/>
    <w:p>
      <w:pPr>
        <w:pStyle w:val="Heading2"/>
      </w:pPr>
      <w:r>
        <w:t xml:space="preserve">Kapanma kriteri</w:t>
      </w:r>
    </w:p>
    <w:p>
      <w:pPr>
        <w:pStyle w:val="FirstParagraph"/>
      </w:pPr>
      <w:r>
        <w:t xml:space="preserve">SD-5632 platformda canlıya çıkıp native ikinci bildirim gerçek sonuç koduyla gelmeye başladığında, reconciliation katmanı sadeleştirilir (ya da tamamen kaldırılır). İş ölçütü: bastırılmamış / hatalı tekrar arama sayısı, art arda en az 30 gün boyunca sıfıra yakın kalmalı.</w:t>
      </w:r>
    </w:p>
    <w:bookmarkEnd w:id="27"/>
    <w:bookmarkStart w:id="28" w:name="sahiplik"/>
    <w:p>
      <w:pPr>
        <w:pStyle w:val="Heading2"/>
      </w:pPr>
      <w:r>
        <w:t xml:space="preserve">Sahiplik</w:t>
      </w:r>
    </w:p>
    <w:p>
      <w:pPr>
        <w:pStyle w:val="FirstParagraph"/>
      </w:pPr>
      <w:r>
        <w:t xml:space="preserve">Kod, n8n workflow export’u, erişim bilgileri ve bu doküman Customer Success ekibine devredilir. Ben ayrılırsam, runbook tek başına birinin sistemi anlayıp müdahale edebilmesi için yeterli olacak şekilde yazılır (bu depoda</w:t>
      </w:r>
      <w:r>
        <w:t xml:space="preserve"> </w:t>
      </w:r>
      <w:r>
        <w:rPr>
          <w:rStyle w:val="VerbatimChar"/>
        </w:rPr>
        <w:t xml:space="preserve">README.md</w:t>
      </w:r>
      <w:r>
        <w:t xml:space="preserve">).</w:t>
      </w:r>
    </w:p>
    <w:bookmarkEnd w:id="28"/>
    <w:bookmarkStart w:id="29" w:name="risk-kaydı"/>
    <w:p>
      <w:pPr>
        <w:pStyle w:val="Heading2"/>
      </w:pPr>
      <w:r>
        <w:t xml:space="preserve">Risk kaydı</w:t>
      </w:r>
    </w:p>
    <w:tbl>
      <w:tblPr>
        <w:tblStyle w:val="Table"/>
        <w:tblW w:type="pct" w:w="5000"/>
        <w:tblLook w:firstRow="1" w:lastRow="0" w:firstColumn="0" w:lastColumn="0" w:noHBand="0" w:noVBand="0" w:val="0020"/>
        <w:jc w:val="start"/>
      </w:tblPr>
      <w:tblGrid>
        <w:gridCol w:w="950"/>
        <w:gridCol w:w="1900"/>
        <w:gridCol w:w="2217"/>
        <w:gridCol w:w="2851"/>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Sahip</w:t>
            </w:r>
          </w:p>
        </w:tc>
        <w:tc>
          <w:tcPr/>
          <w:p>
            <w:pPr>
              <w:pStyle w:val="Compact"/>
              <w:jc w:val="left"/>
            </w:pPr>
            <w:r>
              <w:t xml:space="preserve">Azaltım</w:t>
            </w:r>
          </w:p>
        </w:tc>
      </w:tr>
      <w:tr>
        <w:tc>
          <w:tcPr/>
          <w:p>
            <w:pPr>
              <w:pStyle w:val="Compact"/>
              <w:jc w:val="left"/>
            </w:pPr>
            <w:r>
              <w:t xml:space="preserve">1</w:t>
            </w:r>
          </w:p>
        </w:tc>
        <w:tc>
          <w:tcPr/>
          <w:p>
            <w:pPr>
              <w:pStyle w:val="Compact"/>
              <w:jc w:val="left"/>
            </w:pPr>
            <w:r>
              <w:t xml:space="preserve">Ücretsiz hosting katmanı uyku moduna geçip demo/gerçek trafikte gecikme yaratır</w:t>
            </w:r>
          </w:p>
        </w:tc>
        <w:tc>
          <w:tcPr/>
          <w:p>
            <w:pPr>
              <w:pStyle w:val="Compact"/>
              <w:jc w:val="left"/>
            </w:pPr>
            <w:r>
              <w:t xml:space="preserve">Project Lead</w:t>
            </w:r>
          </w:p>
        </w:tc>
        <w:tc>
          <w:tcPr/>
          <w:p>
            <w:pPr>
              <w:pStyle w:val="Compact"/>
              <w:jc w:val="left"/>
            </w:pPr>
            <w:r>
              <w:t xml:space="preserve">Demo öncesi uyandırma + gerekirse ücretli/always-on plana geçiş</w:t>
            </w:r>
          </w:p>
        </w:tc>
      </w:tr>
      <w:tr>
        <w:tc>
          <w:tcPr/>
          <w:p>
            <w:pPr>
              <w:pStyle w:val="Compact"/>
              <w:jc w:val="left"/>
            </w:pPr>
            <w:r>
              <w:t xml:space="preserve">2</w:t>
            </w:r>
          </w:p>
        </w:tc>
        <w:tc>
          <w:tcPr/>
          <w:p>
            <w:pPr>
              <w:pStyle w:val="Compact"/>
              <w:jc w:val="left"/>
            </w:pPr>
            <w:r>
              <w:t xml:space="preserve">LLM yanlış/aşırı güvenli bir sonuç önerisi üretir</w:t>
            </w:r>
          </w:p>
        </w:tc>
        <w:tc>
          <w:tcPr/>
          <w:p>
            <w:pPr>
              <w:pStyle w:val="Compact"/>
              <w:jc w:val="left"/>
            </w:pPr>
            <w:r>
              <w:t xml:space="preserve">Project Lead</w:t>
            </w:r>
          </w:p>
        </w:tc>
        <w:tc>
          <w:tcPr/>
          <w:p>
            <w:pPr>
              <w:pStyle w:val="Compact"/>
              <w:jc w:val="left"/>
            </w:pPr>
            <w:r>
              <w:t xml:space="preserve">LLM asla deal’i doğrudan değiştirmez; öneri her zaman insan onayına düşer</w:t>
            </w:r>
          </w:p>
        </w:tc>
      </w:tr>
      <w:tr>
        <w:tc>
          <w:tcPr/>
          <w:p>
            <w:pPr>
              <w:pStyle w:val="Compact"/>
              <w:jc w:val="left"/>
            </w:pPr>
            <w:r>
              <w:t xml:space="preserve">3</w:t>
            </w:r>
          </w:p>
        </w:tc>
        <w:tc>
          <w:tcPr/>
          <w:p>
            <w:pPr>
              <w:pStyle w:val="Compact"/>
              <w:jc w:val="left"/>
            </w:pPr>
            <w:r>
              <w:t xml:space="preserve">CRM PATCH 409 çakışmaları veri kaybına yol açar</w:t>
            </w:r>
          </w:p>
        </w:tc>
        <w:tc>
          <w:tcPr/>
          <w:p>
            <w:pPr>
              <w:pStyle w:val="Compact"/>
              <w:jc w:val="left"/>
            </w:pPr>
            <w:r>
              <w:t xml:space="preserve">Project Lead</w:t>
            </w:r>
          </w:p>
        </w:tc>
        <w:tc>
          <w:tcPr/>
          <w:p>
            <w:pPr>
              <w:pStyle w:val="Compact"/>
              <w:jc w:val="left"/>
            </w:pPr>
            <w:r>
              <w:t xml:space="preserve">Taze veriyle otomatik tekrar deneme + çakışma logu</w:t>
            </w:r>
          </w:p>
        </w:tc>
      </w:tr>
      <w:tr>
        <w:tc>
          <w:tcPr/>
          <w:p>
            <w:pPr>
              <w:pStyle w:val="Compact"/>
              <w:jc w:val="left"/>
            </w:pPr>
            <w:r>
              <w:t xml:space="preserve">4</w:t>
            </w:r>
          </w:p>
        </w:tc>
        <w:tc>
          <w:tcPr/>
          <w:p>
            <w:pPr>
              <w:pStyle w:val="Compact"/>
              <w:jc w:val="left"/>
            </w:pPr>
            <w:r>
              <w:t xml:space="preserve">Aideen’in ekibi davranışını değiştirmezse %18’lik boşluk büyür</w:t>
            </w:r>
          </w:p>
        </w:tc>
        <w:tc>
          <w:tcPr/>
          <w:p>
            <w:pPr>
              <w:pStyle w:val="Compact"/>
              <w:jc w:val="left"/>
            </w:pPr>
            <w:r>
              <w:t xml:space="preserve">Bookings Manager (Aideen)</w:t>
            </w:r>
          </w:p>
        </w:tc>
        <w:tc>
          <w:tcPr/>
          <w:p>
            <w:pPr>
              <w:pStyle w:val="Compact"/>
              <w:jc w:val="left"/>
            </w:pPr>
            <w:r>
              <w:t xml:space="preserve">agent_note’u ikincil sinyal olarak kullanmaya devam etmek, ek iş istemeden</w:t>
            </w:r>
          </w:p>
        </w:tc>
      </w:tr>
      <w:tr>
        <w:tc>
          <w:tcPr/>
          <w:p>
            <w:pPr>
              <w:pStyle w:val="Compact"/>
              <w:jc w:val="left"/>
            </w:pPr>
            <w:r>
              <w:t xml:space="preserve">5</w:t>
            </w:r>
          </w:p>
        </w:tc>
        <w:tc>
          <w:tcPr/>
          <w:p>
            <w:pPr>
              <w:pStyle w:val="Compact"/>
              <w:jc w:val="left"/>
            </w:pPr>
            <w:r>
              <w:t xml:space="preserve">Çözüm tek kişiye (Project Lead) bağlı kalır, ayrılışta bilgi kaybolur</w:t>
            </w:r>
          </w:p>
        </w:tc>
        <w:tc>
          <w:tcPr/>
          <w:p>
            <w:pPr>
              <w:pStyle w:val="Compact"/>
              <w:jc w:val="left"/>
            </w:pPr>
            <w:r>
              <w:t xml:space="preserve">Customer Success Direktörü</w:t>
            </w:r>
          </w:p>
        </w:tc>
        <w:tc>
          <w:tcPr/>
          <w:p>
            <w:pPr>
              <w:pStyle w:val="Compact"/>
              <w:jc w:val="left"/>
            </w:pPr>
            <w:r>
              <w:t xml:space="preserve">Runbook + devir dokümanı + CS ekibine kısa eğitim</w:t>
            </w:r>
          </w:p>
        </w:tc>
      </w:tr>
      <w:tr>
        <w:tc>
          <w:tcPr/>
          <w:p>
            <w:pPr>
              <w:pStyle w:val="Compact"/>
              <w:jc w:val="left"/>
            </w:pPr>
            <w:r>
              <w:t xml:space="preserve">6</w:t>
            </w:r>
          </w:p>
        </w:tc>
        <w:tc>
          <w:tcPr/>
          <w:p>
            <w:pPr>
              <w:pStyle w:val="Compact"/>
              <w:jc w:val="left"/>
            </w:pPr>
            <w:r>
              <w:t xml:space="preserve">HubSpot alan eşleme veya erişimi ajans tarafında habersiz değişirse entegrasyon kopar</w:t>
            </w:r>
          </w:p>
        </w:tc>
        <w:tc>
          <w:tcPr/>
          <w:p>
            <w:pPr>
              <w:pStyle w:val="Compact"/>
              <w:jc w:val="left"/>
            </w:pPr>
            <w:r>
              <w:t xml:space="preserve">CRM &amp; Marketing Lead (Nadia)</w:t>
            </w:r>
          </w:p>
        </w:tc>
        <w:tc>
          <w:tcPr/>
          <w:p>
            <w:pPr>
              <w:pStyle w:val="Compact"/>
              <w:jc w:val="left"/>
            </w:pPr>
            <w:r>
              <w:t xml:space="preserve">Değişiklik bildirimi için resmi iletişim kanalı</w:t>
            </w:r>
          </w:p>
        </w:tc>
      </w:tr>
    </w:tbl>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Ashgrove Dental — Kapanmayan Döngü</dc:title>
  <dc:creator/>
  <cp:keywords/>
  <dcterms:created xsi:type="dcterms:W3CDTF">2026-09-19T18:59:17Z</dcterms:created>
  <dcterms:modified xsi:type="dcterms:W3CDTF">2026-09-19T18:59:17Z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Müşteri Yönetim Planı · İç Hizalama · Devir ve Kapanış</vt:lpwstr>
  </property>
</Properties>
</file>