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price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chart>
    <c:title>
      <c:tx>
        <c:rich>
          <a:bodyPr/>
          <a:lstStyle/>
          <a:p>
            <a:r>
              <a:t>Weekly price</a:t>
            </a:r>
          </a:p>
        </c:rich>
      </c:tx>
      <c:layout/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</c:v>
                </c:pt>
              </c:strCache>
            </c:strRef>
          </c:tx>
          <c:cat>
            <c:strRef>
              <c:f>Sheet1!$A$2:$A$21</c:f>
              <c:strCache>
                <c:ptCount val="2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</c:strCache>
            </c:str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52.56</c:v>
                </c:pt>
                <c:pt idx="1">
                  <c:v>52.54</c:v>
                </c:pt>
                <c:pt idx="2">
                  <c:v>53.51</c:v>
                </c:pt>
                <c:pt idx="3">
                  <c:v>56.46</c:v>
                </c:pt>
                <c:pt idx="4">
                  <c:v>57.46</c:v>
                </c:pt>
                <c:pt idx="5">
                  <c:v>58.82</c:v>
                </c:pt>
                <c:pt idx="6">
                  <c:v>58.35</c:v>
                </c:pt>
                <c:pt idx="7">
                  <c:v>60.09</c:v>
                </c:pt>
                <c:pt idx="8">
                  <c:v>61.14</c:v>
                </c:pt>
                <c:pt idx="9">
                  <c:v>64.2</c:v>
                </c:pt>
                <c:pt idx="10">
                  <c:v>63.22</c:v>
                </c:pt>
                <c:pt idx="11">
                  <c:v>62.31</c:v>
                </c:pt>
                <c:pt idx="12">
                  <c:v>62.57</c:v>
                </c:pt>
                <c:pt idx="13">
                  <c:v>62.99</c:v>
                </c:pt>
                <c:pt idx="14">
                  <c:v>61.65</c:v>
                </c:pt>
                <c:pt idx="15">
                  <c:v>61.34</c:v>
                </c:pt>
                <c:pt idx="16">
                  <c:v>61.57</c:v>
                </c:pt>
                <c:pt idx="17">
                  <c:v>61.43</c:v>
                </c:pt>
                <c:pt idx="18">
                  <c:v>60.92</c:v>
                </c:pt>
                <c:pt idx="19">
                  <c:v>60.12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01159928"/>
        <c:axId val="-2100718248"/>
      </c:areaChart>
      <c:catAx>
        <c:axId val="-21011599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Week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0718248"/>
        <c:crosses val="autoZero"/>
        <c:auto val="1"/>
        <c:lblAlgn val="ctr"/>
        <c:lblOffset val="100"/>
        <c:noMultiLvlLbl val="0"/>
      </c:catAx>
      <c:valAx>
        <c:axId val="-2100718248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Price ($)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01159928"/>
        <c:crosses val="autoZero"/>
        <c:crossBetween val="midCat"/>
      </c:valAx>
    </c:plotArea>
    <c:legend>
      <c:legendPos val="r"/>
      <c:layout/>
      <c:overlay val="0"/>
    </c:legend>
    <c:plotVisOnly val="1"/>
    <c:dispBlanksAs val="zero"/>
    <c:showDLblsOverMax val="0"/>
  </c:chart>
  <c:txPr>
    <a:bodyPr/>
    <a:lstStyle/>
    <a:p>
      <a:pPr>
        <a:defRPr sz="1800"/>
      </a:pPr>
      <a:endParaRPr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