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32E1C" w14:textId="77777777" w:rsidR="00545250" w:rsidRDefault="00031049" w:rsidP="00031049">
      <w:pPr>
        <w:pStyle w:val="Title"/>
      </w:pPr>
      <w:r>
        <w:t>Biogeography &amp; Environmental Conditions Shape Phage &amp; Bacteria Interaction Networks Across the Human Microbiome</w:t>
      </w:r>
    </w:p>
    <w:p w14:paraId="744CCED2" w14:textId="77777777" w:rsidR="00031049" w:rsidRDefault="00031049" w:rsidP="00031049">
      <w:pPr>
        <w:pStyle w:val="FirstParagraph"/>
        <w:jc w:val="center"/>
      </w:pPr>
      <w:r>
        <w:t>Geoffrey D Hannigan</w:t>
      </w:r>
      <w:r w:rsidRPr="00031049">
        <w:rPr>
          <w:vertAlign w:val="superscript"/>
        </w:rPr>
        <w:t>1</w:t>
      </w:r>
      <w:r>
        <w:t>, Melissa B Duhaime</w:t>
      </w:r>
      <w:r w:rsidRPr="00031049">
        <w:rPr>
          <w:vertAlign w:val="superscript"/>
        </w:rPr>
        <w:t>2</w:t>
      </w:r>
      <w:r>
        <w:t xml:space="preserve">, </w:t>
      </w:r>
      <w:proofErr w:type="spellStart"/>
      <w:r>
        <w:t>Danai</w:t>
      </w:r>
      <w:proofErr w:type="spellEnd"/>
      <w:r>
        <w:t xml:space="preserve"> Koutra</w:t>
      </w:r>
      <w:r w:rsidRPr="00031049">
        <w:rPr>
          <w:vertAlign w:val="superscript"/>
        </w:rPr>
        <w:t>3</w:t>
      </w:r>
      <w:r>
        <w:t>, and Patrick D Schloss</w:t>
      </w:r>
      <w:r w:rsidRPr="00031049">
        <w:rPr>
          <w:vertAlign w:val="superscript"/>
        </w:rPr>
        <w:t>1</w:t>
      </w:r>
      <w:proofErr w:type="gramStart"/>
      <w:r w:rsidRPr="00031049">
        <w:rPr>
          <w:vertAlign w:val="superscript"/>
        </w:rPr>
        <w:t>,*</w:t>
      </w:r>
      <w:proofErr w:type="gramEnd"/>
    </w:p>
    <w:p w14:paraId="41A748A6" w14:textId="77777777" w:rsidR="00031049" w:rsidRPr="00031049" w:rsidRDefault="00031049" w:rsidP="00031049">
      <w:pPr>
        <w:pStyle w:val="BodyText"/>
        <w:jc w:val="center"/>
      </w:pPr>
    </w:p>
    <w:p w14:paraId="499AD39B" w14:textId="77777777" w:rsidR="00031049" w:rsidRDefault="00031049" w:rsidP="00031049">
      <w:pPr>
        <w:pStyle w:val="FirstParagraph"/>
        <w:jc w:val="center"/>
      </w:pPr>
      <w:r>
        <w:t>1. Department of Microbiology &amp; Immunology, University of Michigan, Ann Arbor, Michigan, 48109</w:t>
      </w:r>
    </w:p>
    <w:p w14:paraId="53B4D034" w14:textId="77777777" w:rsidR="00031049" w:rsidRDefault="00031049" w:rsidP="00031049">
      <w:pPr>
        <w:pStyle w:val="FirstParagraph"/>
        <w:jc w:val="center"/>
      </w:pPr>
      <w:r>
        <w:t>2. Department of Ecology &amp; Evolutionary Biology, University of Michigan, Ann Arbor, Michigan, 48109</w:t>
      </w:r>
    </w:p>
    <w:p w14:paraId="5AA42E22" w14:textId="77777777" w:rsidR="00031049" w:rsidRDefault="00031049" w:rsidP="00031049">
      <w:pPr>
        <w:pStyle w:val="FirstParagraph"/>
        <w:jc w:val="center"/>
      </w:pPr>
      <w:r>
        <w:t>3. Department of Computer Science, University of Michigan, Ann Arbor, Michigan, 48109</w:t>
      </w:r>
    </w:p>
    <w:p w14:paraId="678AC6FC" w14:textId="77777777" w:rsidR="00545250" w:rsidRDefault="00031049" w:rsidP="00031049">
      <w:pPr>
        <w:pStyle w:val="FirstParagraph"/>
        <w:jc w:val="center"/>
      </w:pPr>
      <w:r>
        <w:t>*To whom correspondence may be addressed.</w:t>
      </w:r>
    </w:p>
    <w:p w14:paraId="52009C52" w14:textId="77777777" w:rsidR="00545250" w:rsidRDefault="00545250" w:rsidP="00031049">
      <w:pPr>
        <w:pStyle w:val="BodyText"/>
        <w:jc w:val="center"/>
      </w:pPr>
    </w:p>
    <w:p w14:paraId="7C79C968" w14:textId="77777777" w:rsidR="00545250" w:rsidRDefault="00545250" w:rsidP="00031049">
      <w:pPr>
        <w:pStyle w:val="BodyText"/>
        <w:jc w:val="center"/>
      </w:pPr>
    </w:p>
    <w:p w14:paraId="67308FE4" w14:textId="77777777" w:rsidR="00031049" w:rsidRDefault="00031049" w:rsidP="00031049">
      <w:pPr>
        <w:pStyle w:val="BodyText"/>
        <w:jc w:val="center"/>
      </w:pPr>
    </w:p>
    <w:p w14:paraId="4D0D1A6F" w14:textId="77777777" w:rsidR="00031049" w:rsidRDefault="00031049" w:rsidP="00031049">
      <w:pPr>
        <w:pStyle w:val="BodyText"/>
        <w:jc w:val="center"/>
      </w:pPr>
    </w:p>
    <w:p w14:paraId="0ABBF0CA" w14:textId="77777777" w:rsidR="00031049" w:rsidRDefault="00031049" w:rsidP="00031049">
      <w:pPr>
        <w:pStyle w:val="BodyText"/>
        <w:jc w:val="center"/>
      </w:pPr>
    </w:p>
    <w:p w14:paraId="67112E67" w14:textId="77777777" w:rsidR="00031049" w:rsidRDefault="00031049" w:rsidP="00031049">
      <w:pPr>
        <w:pStyle w:val="BodyText"/>
        <w:jc w:val="center"/>
      </w:pPr>
    </w:p>
    <w:p w14:paraId="192E0807" w14:textId="77777777" w:rsidR="00031049" w:rsidRDefault="00031049" w:rsidP="00031049">
      <w:pPr>
        <w:pStyle w:val="BodyText"/>
        <w:jc w:val="center"/>
      </w:pPr>
    </w:p>
    <w:p w14:paraId="15F6A985" w14:textId="77777777" w:rsidR="00031049" w:rsidRDefault="00031049" w:rsidP="00031049">
      <w:pPr>
        <w:pStyle w:val="BodyText"/>
        <w:jc w:val="center"/>
      </w:pPr>
    </w:p>
    <w:p w14:paraId="32D216E7" w14:textId="77777777" w:rsidR="00031049" w:rsidRDefault="00031049" w:rsidP="00031049">
      <w:pPr>
        <w:pStyle w:val="BodyText"/>
        <w:jc w:val="center"/>
      </w:pPr>
    </w:p>
    <w:p w14:paraId="40C56F9D" w14:textId="77777777" w:rsidR="00031049" w:rsidRDefault="00031049" w:rsidP="00031049">
      <w:pPr>
        <w:pStyle w:val="BodyText"/>
        <w:jc w:val="center"/>
      </w:pPr>
    </w:p>
    <w:p w14:paraId="7157AFC0" w14:textId="77777777" w:rsidR="00031049" w:rsidRDefault="00031049" w:rsidP="00031049">
      <w:pPr>
        <w:pStyle w:val="BodyText"/>
        <w:jc w:val="center"/>
      </w:pPr>
    </w:p>
    <w:p w14:paraId="4BFE5129" w14:textId="77777777" w:rsidR="00031049" w:rsidRDefault="00031049" w:rsidP="00031049">
      <w:pPr>
        <w:pStyle w:val="BodyText"/>
        <w:jc w:val="center"/>
      </w:pPr>
    </w:p>
    <w:p w14:paraId="767C67D6" w14:textId="77777777" w:rsidR="00545250" w:rsidRDefault="00031049" w:rsidP="00031049">
      <w:pPr>
        <w:pStyle w:val="BodyText"/>
      </w:pPr>
      <w:r>
        <w:rPr>
          <w:b/>
          <w:i/>
        </w:rPr>
        <w:t>Running Title</w:t>
      </w:r>
      <w:r>
        <w:t>: Network Diversity of the Healthy Human Microbiome</w:t>
      </w:r>
    </w:p>
    <w:p w14:paraId="1DA863B2" w14:textId="77777777" w:rsidR="00031049" w:rsidRDefault="00031049" w:rsidP="00031049">
      <w:pPr>
        <w:pStyle w:val="BodyText"/>
      </w:pPr>
      <w:r>
        <w:rPr>
          <w:b/>
          <w:i/>
        </w:rPr>
        <w:t>Corresponding Author Information</w:t>
      </w:r>
      <w:r>
        <w:br/>
        <w:t>Patrick D Schloss, PhD</w:t>
      </w:r>
      <w:r>
        <w:br/>
        <w:t>1150 W Medical Center Dr. 1526 MSRB I</w:t>
      </w:r>
      <w:r>
        <w:br/>
        <w:t>Ann Arbor, Michigan 48109</w:t>
      </w:r>
      <w:r>
        <w:br/>
        <w:t>Phone: (734) 647-5801</w:t>
      </w:r>
      <w:r>
        <w:br/>
        <w:t>Email: pschloss@umich.edu</w:t>
      </w:r>
    </w:p>
    <w:p w14:paraId="60056D51" w14:textId="77777777" w:rsidR="00545250" w:rsidRDefault="00031049" w:rsidP="00031049">
      <w:pPr>
        <w:pStyle w:val="Heading1"/>
        <w:spacing w:line="480" w:lineRule="auto"/>
        <w:jc w:val="both"/>
      </w:pPr>
      <w:bookmarkStart w:id="0" w:name="abstract"/>
      <w:bookmarkEnd w:id="0"/>
      <w:r>
        <w:lastRenderedPageBreak/>
        <w:t>Abstract</w:t>
      </w:r>
    </w:p>
    <w:p w14:paraId="4B3FAB78" w14:textId="77777777" w:rsidR="00545250" w:rsidRDefault="00031049" w:rsidP="00031049">
      <w:pPr>
        <w:pStyle w:val="FirstParagraph"/>
        <w:spacing w:line="480" w:lineRule="auto"/>
        <w:jc w:val="both"/>
      </w:pPr>
      <w:r>
        <w:t>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were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14:paraId="64A1FBC6" w14:textId="77777777" w:rsidR="00545250" w:rsidRDefault="00031049" w:rsidP="00031049">
      <w:pPr>
        <w:pStyle w:val="Heading1"/>
        <w:spacing w:line="480" w:lineRule="auto"/>
        <w:jc w:val="both"/>
      </w:pPr>
      <w:bookmarkStart w:id="1" w:name="importance"/>
      <w:bookmarkEnd w:id="1"/>
      <w:r>
        <w:lastRenderedPageBreak/>
        <w:t>Importance</w:t>
      </w:r>
    </w:p>
    <w:p w14:paraId="3544CB53" w14:textId="77777777" w:rsidR="00545250" w:rsidRDefault="00031049" w:rsidP="00031049">
      <w:pPr>
        <w:pStyle w:val="FirstParagraph"/>
        <w:spacing w:line="480" w:lineRule="auto"/>
        <w:jc w:val="both"/>
      </w:pPr>
      <w:r>
        <w:t>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14:paraId="2B38F450" w14:textId="77777777" w:rsidR="00031049" w:rsidRDefault="00031049" w:rsidP="00031049">
      <w:pPr>
        <w:jc w:val="both"/>
        <w:rPr>
          <w:rFonts w:asciiTheme="majorHAnsi" w:eastAsiaTheme="majorEastAsia" w:hAnsiTheme="majorHAnsi" w:cstheme="majorBidi"/>
          <w:b/>
          <w:bCs/>
          <w:color w:val="345A8A" w:themeColor="accent1" w:themeShade="B5"/>
          <w:sz w:val="32"/>
          <w:szCs w:val="32"/>
        </w:rPr>
      </w:pPr>
      <w:bookmarkStart w:id="2" w:name="introduction"/>
      <w:bookmarkEnd w:id="2"/>
      <w:r>
        <w:br w:type="page"/>
      </w:r>
    </w:p>
    <w:p w14:paraId="43016DA4" w14:textId="77777777" w:rsidR="00545250" w:rsidRDefault="00031049" w:rsidP="00031049">
      <w:pPr>
        <w:pStyle w:val="Heading1"/>
        <w:spacing w:line="480" w:lineRule="auto"/>
        <w:jc w:val="both"/>
      </w:pPr>
      <w:r>
        <w:lastRenderedPageBreak/>
        <w:t>Introduction</w:t>
      </w:r>
    </w:p>
    <w:p w14:paraId="28D7F87B" w14:textId="77777777" w:rsidR="00545250" w:rsidRDefault="00031049" w:rsidP="00031049">
      <w:pPr>
        <w:pStyle w:val="FirstParagraph"/>
        <w:spacing w:line="480" w:lineRule="auto"/>
        <w:jc w:val="both"/>
      </w:pPr>
      <w:r>
        <w:t xml:space="preserve">Viruses and bacteria are critical components of the human microbiome and play important roles in health and disease. Bacterial communities have been associated with disease states, including a range of skin conditions (1), acute and chronic wound healing conditions (2, 3), and gastrointestinal diseases, such as inflammatory bowel disease (4, 5), </w:t>
      </w:r>
      <w:r>
        <w:rPr>
          <w:i/>
        </w:rPr>
        <w:t>Clostridium difficile</w:t>
      </w:r>
      <w:r>
        <w:t xml:space="preserve"> infections (6) and colorectal cancer (7, 8). Altered human viromes (virus communities consisting primarily of bacteriophages) also have been associated with diseases and perturbations, including inflammatory bowel disease (5, 9), periodontal disease (10), spread of antibiotic resistance (11), and others (12–17). Viruses act in concert with their microbial hosts as a single ecological community (18). Viruses influence their living microbial host communities through processes including lysis, host gene expression modulation (19), influence on evolutionary processes such as horizontal gene transfer (22) or antagonistic co-evolution (26), and alteration of ecosystem processes and elemental stoichiometry (27).</w:t>
      </w:r>
    </w:p>
    <w:p w14:paraId="0064609A" w14:textId="77777777" w:rsidR="00545250" w:rsidRDefault="00031049" w:rsidP="00031049">
      <w:pPr>
        <w:pStyle w:val="BodyText"/>
        <w:spacing w:line="480" w:lineRule="auto"/>
        <w:jc w:val="both"/>
      </w:pPr>
      <w:r>
        <w:t xml:space="preserve">Previous human microbiome work has focused on bacterial and viral communities, but have reduced them to two separate communities by studying them independently (5, 9, 10, 12–17). This approach fails to capture the complex dynamics of interacting bacteria and phage communities, which frequently share genetic information and work together to maintain stable ecosystems. Removal of bacteria or phage can disrupt or even collapse those ecosystems (18, 28–37). Relationship-based network approaches allow us to capture this interaction information. Studying such bacteria-phage interactions through community-wide networks built from inferred relationships could offer further insights </w:t>
      </w:r>
      <w:r>
        <w:lastRenderedPageBreak/>
        <w:t>into the drivers of human microbiome diversity across body sites and enable the study of human microbiome network dynamics overall.</w:t>
      </w:r>
    </w:p>
    <w:p w14:paraId="25DAA639" w14:textId="77777777" w:rsidR="00545250" w:rsidRDefault="00031049" w:rsidP="00031049">
      <w:pPr>
        <w:pStyle w:val="BodyText"/>
        <w:spacing w:line="480" w:lineRule="auto"/>
        <w:jc w:val="both"/>
      </w:pPr>
      <w:r>
        <w:t xml:space="preserve">In this study, we characterized human-associated bacterial and phage communities by their inferred relationships using three published paired virus and bacteria-dominated whole community metagenomic datasets (13, 14, 38, 39).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 (33),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 (40), and nucleotide similarity models that were applied to both whole virus genomes (41) and related clusters of whole and partial virus genomes (42).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 (13, 14, 38, 39, 43–45), but also support ecological communities with distinct communication structures and propensities toward community instability. Through an improved understanding of network structures across the human body, we empower future studies to investigate how these communities </w:t>
      </w:r>
      <w:r>
        <w:lastRenderedPageBreak/>
        <w:t>dynamics are influenced by disease states and the overall impact they may have on human health.</w:t>
      </w:r>
    </w:p>
    <w:p w14:paraId="5027ADFA" w14:textId="77777777" w:rsidR="00545250" w:rsidRDefault="00031049" w:rsidP="00031049">
      <w:pPr>
        <w:pStyle w:val="Heading1"/>
        <w:spacing w:line="480" w:lineRule="auto"/>
        <w:jc w:val="both"/>
      </w:pPr>
      <w:bookmarkStart w:id="3" w:name="results"/>
      <w:bookmarkEnd w:id="3"/>
      <w:r>
        <w:t>Results</w:t>
      </w:r>
    </w:p>
    <w:p w14:paraId="1D4A2CCF" w14:textId="77777777" w:rsidR="00545250" w:rsidRDefault="00031049" w:rsidP="00031049">
      <w:pPr>
        <w:pStyle w:val="Heading2"/>
        <w:spacing w:line="480" w:lineRule="auto"/>
        <w:jc w:val="both"/>
      </w:pPr>
      <w:bookmarkStart w:id="4" w:name="cohort-curation-and-sample-processing"/>
      <w:bookmarkEnd w:id="4"/>
      <w:r>
        <w:t>Cohort Curation and Sample Processing</w:t>
      </w:r>
    </w:p>
    <w:p w14:paraId="41A5C4A3" w14:textId="77777777" w:rsidR="00545250" w:rsidRDefault="00031049" w:rsidP="00031049">
      <w:pPr>
        <w:pStyle w:val="FirstParagraph"/>
        <w:spacing w:line="480" w:lineRule="auto"/>
        <w:jc w:val="bot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 (14), the impact of anatomical location on the healthy human skin virome (13), and the viromes of monozygotic twins and their mothers (38, 39). We selected these datasets because their virome samples were subjected to virus-like particle (VLP) purification. To this end, they employed combinations of filtration, chloroform/DNase treatment, and cesium chloride gradients to eliminate organismal DNA and thereby allow for direct assessment of both the extracellular and </w:t>
      </w:r>
      <w:proofErr w:type="gramStart"/>
      <w:r>
        <w:t>fully-assembled</w:t>
      </w:r>
      <w:proofErr w:type="gramEnd"/>
      <w:r>
        <w:t xml:space="preserve"> intracellular virome </w:t>
      </w:r>
      <w:r>
        <w:rPr>
          <w:b/>
        </w:rPr>
        <w:t xml:space="preserve">(Supplemental Figure </w:t>
      </w:r>
      <w:r w:rsidR="007635E0">
        <w:rPr>
          <w:b/>
        </w:rPr>
        <w:t>S1</w:t>
      </w:r>
      <w:r>
        <w:rPr>
          <w:b/>
        </w:rPr>
        <w:t xml:space="preserve"> A-B)</w:t>
      </w:r>
      <w:r>
        <w:t xml:space="preserve"> (14, 39). While the whole metagenomic shotgun sequence samples were not subjected to purification, they primarily consisted of bacteria (13, 14, 38, 39).</w:t>
      </w:r>
    </w:p>
    <w:p w14:paraId="0F7566FA" w14:textId="77777777" w:rsidR="00545250" w:rsidRDefault="00031049" w:rsidP="00031049">
      <w:pPr>
        <w:pStyle w:val="BodyText"/>
        <w:spacing w:line="480" w:lineRule="auto"/>
        <w:jc w:val="both"/>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w:t>
      </w:r>
      <w:r>
        <w:lastRenderedPageBreak/>
        <w:t xml:space="preserve">previous reports </w:t>
      </w:r>
      <w:r>
        <w:rPr>
          <w:b/>
        </w:rPr>
        <w:t xml:space="preserve">(Supplemental Figure </w:t>
      </w:r>
      <w:r w:rsidR="007635E0">
        <w:rPr>
          <w:b/>
        </w:rPr>
        <w:t>S2</w:t>
      </w:r>
      <w:r>
        <w:rPr>
          <w:b/>
        </w:rPr>
        <w:t xml:space="preserve"> </w:t>
      </w:r>
      <w:r w:rsidR="007635E0">
        <w:rPr>
          <w:b/>
        </w:rPr>
        <w:t>–</w:t>
      </w:r>
      <w:r>
        <w:rPr>
          <w:b/>
        </w:rPr>
        <w:t xml:space="preserve"> </w:t>
      </w:r>
      <w:r w:rsidR="007635E0">
        <w:rPr>
          <w:b/>
        </w:rPr>
        <w:t>S3</w:t>
      </w:r>
      <w:r>
        <w:rPr>
          <w:b/>
        </w:rPr>
        <w:t>)</w:t>
      </w:r>
      <w:r>
        <w:t xml:space="preserve"> (42). We referred to these operationally defined groups of related contigs as operational genomic units (OGUs). Each OGU represented a genomically similar sub-population of either bacteria or phages. Contig lengths within clusters ranged between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and </w:t>
      </w:r>
      <m:oMath>
        <m:sSup>
          <m:sSupPr>
            <m:ctrlPr>
              <w:rPr>
                <w:rFonts w:ascii="Cambria Math" w:hAnsi="Cambria Math"/>
              </w:rPr>
            </m:ctrlPr>
          </m:sSupPr>
          <m:e>
            <m:r>
              <w:rPr>
                <w:rFonts w:ascii="Cambria Math" w:hAnsi="Cambria Math"/>
              </w:rPr>
              <m:t>10</m:t>
            </m:r>
          </m:e>
          <m:sup>
            <m:r>
              <w:rPr>
                <w:rFonts w:ascii="Cambria Math" w:hAnsi="Cambria Math"/>
              </w:rPr>
              <m:t>5.5</m:t>
            </m:r>
          </m:sup>
        </m:sSup>
      </m:oMath>
      <w:r>
        <w:t xml:space="preserve"> bp </w:t>
      </w:r>
      <w:r>
        <w:rPr>
          <w:b/>
        </w:rPr>
        <w:t xml:space="preserve">(Supplemental Figure </w:t>
      </w:r>
      <w:r w:rsidR="007635E0">
        <w:rPr>
          <w:b/>
        </w:rPr>
        <w:t>S2</w:t>
      </w:r>
      <w:r>
        <w:rPr>
          <w:b/>
        </w:rPr>
        <w:t xml:space="preserve"> </w:t>
      </w:r>
      <w:r w:rsidR="007635E0">
        <w:rPr>
          <w:b/>
        </w:rPr>
        <w:t>–</w:t>
      </w:r>
      <w:r>
        <w:rPr>
          <w:b/>
        </w:rPr>
        <w:t xml:space="preserve"> </w:t>
      </w:r>
      <w:r w:rsidR="007635E0">
        <w:rPr>
          <w:b/>
        </w:rPr>
        <w:t>S3</w:t>
      </w:r>
      <w:r>
        <w:rPr>
          <w:b/>
        </w:rPr>
        <w:t>)</w:t>
      </w:r>
      <w:r>
        <w:t>.</w:t>
      </w:r>
    </w:p>
    <w:p w14:paraId="25FC3C6B" w14:textId="77777777" w:rsidR="00545250" w:rsidRDefault="00031049" w:rsidP="00031049">
      <w:pPr>
        <w:pStyle w:val="Heading2"/>
        <w:spacing w:line="480" w:lineRule="auto"/>
        <w:jc w:val="both"/>
      </w:pPr>
      <w:bookmarkStart w:id="5" w:name="evaluating-the-model-to-predict-phage-ba"/>
      <w:bookmarkEnd w:id="5"/>
      <w:r>
        <w:t>Evaluating the Model to Predict Phage-Bacteria Interactions</w:t>
      </w:r>
    </w:p>
    <w:p w14:paraId="58A6A62B" w14:textId="21FCEF54" w:rsidR="00545250" w:rsidRDefault="00031049" w:rsidP="00031049">
      <w:pPr>
        <w:pStyle w:val="FirstParagraph"/>
        <w:spacing w:line="480" w:lineRule="auto"/>
        <w:jc w:val="both"/>
      </w:pPr>
      <w:r>
        <w:t xml:space="preserve">We predicted which phage OGUs infected which bacterial OGUs using a random forest model trained on experimentally validated infectious relationships from six previous publications (41, 47–51). Only bacteria and phages were used in the model. The training set contained 43 diverse bacterial species and 30 diverse phage strains, including both broad and specific ranges of infection </w:t>
      </w:r>
      <w:r>
        <w:rPr>
          <w:b/>
        </w:rPr>
        <w:t xml:space="preserve">(Supplemental Figure </w:t>
      </w:r>
      <w:r w:rsidR="004A0E5A">
        <w:rPr>
          <w:b/>
        </w:rPr>
        <w:t>S4</w:t>
      </w:r>
      <w:r>
        <w:rPr>
          <w:b/>
        </w:rPr>
        <w:t xml:space="preserve"> A - B)</w:t>
      </w:r>
      <w:r>
        <w:t xml:space="preserve">. Phages with linear and circular genomes, as well as ssDNA and dsDNA genomes, were included in the analysis. Because we used DNA sequencing studies, RNA phages were not considered </w:t>
      </w:r>
      <w:r>
        <w:rPr>
          <w:b/>
        </w:rPr>
        <w:t xml:space="preserve">(Supplemental Figure </w:t>
      </w:r>
      <w:r w:rsidR="004A0E5A">
        <w:rPr>
          <w:b/>
        </w:rPr>
        <w:t>S4</w:t>
      </w:r>
      <w:r>
        <w:rPr>
          <w:b/>
        </w:rPr>
        <w:t xml:space="preserve"> C-D)</w:t>
      </w:r>
      <w:r>
        <w:t>.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 (41).</w:t>
      </w:r>
    </w:p>
    <w:p w14:paraId="0C419C89" w14:textId="65628E2D" w:rsidR="00545250" w:rsidRDefault="00031049" w:rsidP="00031049">
      <w:pPr>
        <w:pStyle w:val="BodyText"/>
        <w:spacing w:line="480" w:lineRule="auto"/>
        <w:jc w:val="both"/>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 </w:t>
      </w:r>
      <w:r>
        <w:lastRenderedPageBreak/>
        <w:t xml:space="preserve">(52). The resulting random forest model was assessed and the area under its receiver operating characteristic (ROC) curve was 0.846, the model sensitivity was 0.829, and specificity was 0.767 </w:t>
      </w:r>
      <w:r>
        <w:rPr>
          <w:b/>
        </w:rPr>
        <w:t xml:space="preserve">(Figure </w:t>
      </w:r>
      <w:r w:rsidR="004A0E5A">
        <w:rPr>
          <w:b/>
        </w:rPr>
        <w:t>1</w:t>
      </w:r>
      <w:r>
        <w:rPr>
          <w:b/>
        </w:rPr>
        <w:t xml:space="preserve"> A)</w:t>
      </w:r>
      <w:r>
        <w:t xml:space="preserve">. The most important predictor in the model was amino acid similarity between genes, followed by nucleotide similarity of whole genomes </w:t>
      </w:r>
      <w:r>
        <w:rPr>
          <w:b/>
        </w:rPr>
        <w:t xml:space="preserve">(Figure </w:t>
      </w:r>
      <w:r w:rsidR="004A0E5A">
        <w:rPr>
          <w:b/>
        </w:rPr>
        <w:t>1</w:t>
      </w:r>
      <w:r>
        <w:rPr>
          <w:b/>
        </w:rPr>
        <w:t xml:space="preserve"> B)</w:t>
      </w:r>
      <w:r>
        <w:t xml:space="preserve">. Protein family interactions were moderately important to the model, and CRISPRs were largely uninformative, due to the minimal amount of identifiable CRISPRs in the dataset and their redundancy with the nucleotide similarity methods </w:t>
      </w:r>
      <w:r>
        <w:rPr>
          <w:b/>
        </w:rPr>
        <w:t xml:space="preserve">(Figure </w:t>
      </w:r>
      <w:r w:rsidR="004A0E5A">
        <w:rPr>
          <w:b/>
        </w:rPr>
        <w:t>1</w:t>
      </w:r>
      <w:r>
        <w:rPr>
          <w:b/>
        </w:rPr>
        <w:t xml:space="preserve"> B)</w:t>
      </w:r>
      <w:r>
        <w:t xml:space="preserve">. Approximately one third of the training set relationships yielded no score and therefore were unable to be assigned an interaction prediction </w:t>
      </w:r>
      <w:r>
        <w:rPr>
          <w:b/>
        </w:rPr>
        <w:t xml:space="preserve">(Figure </w:t>
      </w:r>
      <w:r w:rsidR="004A0E5A">
        <w:rPr>
          <w:b/>
        </w:rPr>
        <w:t>1</w:t>
      </w:r>
      <w:r>
        <w:rPr>
          <w:b/>
        </w:rPr>
        <w:t xml:space="preserve"> C)</w:t>
      </w:r>
      <w:r>
        <w:t>.</w:t>
      </w:r>
    </w:p>
    <w:p w14:paraId="4C1EF03C" w14:textId="00CAD95F" w:rsidR="00545250" w:rsidRDefault="00031049" w:rsidP="00031049">
      <w:pPr>
        <w:pStyle w:val="BodyText"/>
        <w:spacing w:line="480" w:lineRule="auto"/>
        <w:jc w:val="both"/>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 </w:t>
      </w:r>
      <w:r>
        <w:rPr>
          <w:b/>
        </w:rPr>
        <w:t xml:space="preserve">(Figure </w:t>
      </w:r>
      <w:r w:rsidR="004A0E5A">
        <w:rPr>
          <w:b/>
        </w:rPr>
        <w:t>1</w:t>
      </w:r>
      <w:r>
        <w:rPr>
          <w:b/>
        </w:rPr>
        <w:t xml:space="preserve"> D)</w:t>
      </w:r>
      <w:r>
        <w:t xml:space="preserve">. Metadata including study, sample ID, disease, and OGU abundance within the community were stored in the master network for parsing in downstream analyses </w:t>
      </w:r>
      <w:r>
        <w:rPr>
          <w:b/>
        </w:rPr>
        <w:t xml:space="preserve">(Supplemental Figure </w:t>
      </w:r>
      <w:r w:rsidR="004A0E5A">
        <w:rPr>
          <w:b/>
        </w:rPr>
        <w:t>S5</w:t>
      </w:r>
      <w:r>
        <w:rPr>
          <w:b/>
        </w:rPr>
        <w:t>)</w:t>
      </w:r>
      <w:r>
        <w:t xml:space="preserve">. The master network was highly connected and contained 72,287 infectious relationships among 578 nodes, representing 298 phages and 280 bacteria. Although the network was highly connected, not all relationships were present in all samples. As relationships were weighted by the relative abundances of their associated bacteria and phages, lowly abundant relationships could be present but not highly abundant. Like the master network, the skin network exhibited a diameter of 4 (measure of graph size; the greatest number of traversed vertices required between two vertices) and included 99.7% and 99.8% of the master network nodes and edges, respectively </w:t>
      </w:r>
      <w:r>
        <w:rPr>
          <w:b/>
        </w:rPr>
        <w:t xml:space="preserve">(Figure </w:t>
      </w:r>
      <w:r w:rsidR="004A0E5A">
        <w:rPr>
          <w:b/>
        </w:rPr>
        <w:t>1</w:t>
      </w:r>
      <w:r>
        <w:rPr>
          <w:b/>
        </w:rPr>
        <w:t xml:space="preserve"> E - F)</w:t>
      </w:r>
      <w:r>
        <w:t xml:space="preserve">. The phages and bacteria in the gut diet and </w:t>
      </w:r>
      <w:r>
        <w:lastRenderedPageBreak/>
        <w:t xml:space="preserve">twin sample sets were more sparsely related: each contained fewer than 150 vertices, fewer than 20,000 relationships, and diameters of 3 </w:t>
      </w:r>
      <w:r>
        <w:rPr>
          <w:b/>
        </w:rPr>
        <w:t xml:space="preserve">(Figure </w:t>
      </w:r>
      <w:r w:rsidR="004A0E5A">
        <w:rPr>
          <w:b/>
        </w:rPr>
        <w:t>1</w:t>
      </w:r>
      <w:r>
        <w:rPr>
          <w:b/>
        </w:rPr>
        <w:t xml:space="preserve"> E - F)</w:t>
      </w:r>
      <w:r>
        <w:t>.</w:t>
      </w:r>
    </w:p>
    <w:p w14:paraId="59F31E0A" w14:textId="77777777" w:rsidR="00545250" w:rsidRDefault="00031049" w:rsidP="00031049">
      <w:pPr>
        <w:pStyle w:val="Heading2"/>
        <w:spacing w:line="480" w:lineRule="auto"/>
        <w:jc w:val="both"/>
      </w:pPr>
      <w:bookmarkStart w:id="6" w:name="role-of-diet-obesity-in-gut-microbiome-c"/>
      <w:bookmarkEnd w:id="6"/>
      <w:r>
        <w:t>Role of Diet &amp; Obesity in Gut Microbiome Connectivity</w:t>
      </w:r>
    </w:p>
    <w:p w14:paraId="5ED44337" w14:textId="77777777" w:rsidR="00545250" w:rsidRDefault="00031049" w:rsidP="00031049">
      <w:pPr>
        <w:pStyle w:val="FirstParagraph"/>
        <w:spacing w:line="480" w:lineRule="auto"/>
        <w:jc w:val="both"/>
      </w:pPr>
      <w:r>
        <w:t>Diet is a major environmental factor that influences resource availability and gut microbiome composition and diversity, including bacteria and phages (14, 53, 54). Previous work in isolated culture-based systems has suggested that changes in nutrient availability are associated with altered phage-bacteria network structures (30), although this has yet to be tested in humans. We therefore hypothesized that a change in diet would also be associated with a change in virome-microbiome network structure in the human gut.</w:t>
      </w:r>
    </w:p>
    <w:p w14:paraId="1023902A" w14:textId="77777777" w:rsidR="00545250" w:rsidRDefault="00031049" w:rsidP="00031049">
      <w:pPr>
        <w:pStyle w:val="BodyText"/>
        <w:spacing w:line="480" w:lineRule="auto"/>
        <w:jc w:val="both"/>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We used this information to </w:t>
      </w:r>
      <w:r>
        <w:lastRenderedPageBreak/>
        <w:t>calculate the average connectedness per sample, which was corrected for the maximum potential degree of connectedness.</w:t>
      </w:r>
    </w:p>
    <w:p w14:paraId="3F5E6669" w14:textId="71714CE1" w:rsidR="00545250" w:rsidRDefault="00031049" w:rsidP="00031049">
      <w:pPr>
        <w:pStyle w:val="BodyText"/>
        <w:spacing w:line="480" w:lineRule="auto"/>
        <w:jc w:val="both"/>
      </w:pPr>
      <w:r>
        <w:t xml:space="preserve">We found that the gut microbiome network structures associated with high-fat diets were less connected than those of low-fat diets </w:t>
      </w:r>
      <w:r>
        <w:rPr>
          <w:b/>
        </w:rPr>
        <w:t xml:space="preserve">(Figure </w:t>
      </w:r>
      <w:r w:rsidR="00F12DE1">
        <w:rPr>
          <w:b/>
        </w:rPr>
        <w:t>2</w:t>
      </w:r>
      <w:r>
        <w:rPr>
          <w:b/>
        </w:rPr>
        <w:t xml:space="preserve"> A-B)</w:t>
      </w:r>
      <w:r>
        <w:t xml:space="preserve">. Tests for statistical differences were not performed due to the small sample size. High-fat diets exhibited reduced degree centrality </w:t>
      </w:r>
      <w:r>
        <w:rPr>
          <w:b/>
        </w:rPr>
        <w:t xml:space="preserve">(Figure </w:t>
      </w:r>
      <w:r w:rsidR="00F12DE1">
        <w:rPr>
          <w:b/>
        </w:rPr>
        <w:t>2</w:t>
      </w:r>
      <w:r>
        <w:rPr>
          <w:b/>
        </w:rPr>
        <w:t xml:space="preserve"> A)</w:t>
      </w:r>
      <w:r>
        <w:t xml:space="preserve">, suggesting bacteria in high-fat environments were targeted by fewer phages and that phage tropism was more restricted. High-fat diets also exhibited decreased closeness centrality </w:t>
      </w:r>
      <w:r>
        <w:rPr>
          <w:b/>
        </w:rPr>
        <w:t xml:space="preserve">(Figure </w:t>
      </w:r>
      <w:r w:rsidR="00F12DE1">
        <w:rPr>
          <w:b/>
        </w:rPr>
        <w:t>2</w:t>
      </w:r>
      <w:r>
        <w:rPr>
          <w:b/>
        </w:rPr>
        <w:t xml:space="preserve"> B)</w:t>
      </w:r>
      <w:r>
        <w:t>, indicating that bacteria and phages were more distant from other bacteria and phages in the community. This would make genetic transfer and altered abundance of a given phage or bacterium less capable of impacting other bacteria and phages within the network.</w:t>
      </w:r>
    </w:p>
    <w:p w14:paraId="238BAB1B" w14:textId="4EF5789A" w:rsidR="00545250" w:rsidRDefault="00031049" w:rsidP="00031049">
      <w:pPr>
        <w:pStyle w:val="BodyText"/>
        <w:spacing w:line="480" w:lineRule="auto"/>
        <w:jc w:val="both"/>
      </w:pPr>
      <w:r>
        <w:t xml:space="preserve">In addition to diet, obesity was found to influence network structure. Obesity-associated networks demonstrated a higher degree centrality </w:t>
      </w:r>
      <w:r>
        <w:rPr>
          <w:b/>
        </w:rPr>
        <w:t xml:space="preserve">(Figure </w:t>
      </w:r>
      <w:r w:rsidR="00F12DE1">
        <w:rPr>
          <w:b/>
        </w:rPr>
        <w:t>2</w:t>
      </w:r>
      <w:r>
        <w:rPr>
          <w:b/>
        </w:rPr>
        <w:t xml:space="preserve"> C)</w:t>
      </w:r>
      <w:r>
        <w:t xml:space="preserve">, but less closeness centrality than the healthy-associated networks </w:t>
      </w:r>
      <w:r>
        <w:rPr>
          <w:b/>
        </w:rPr>
        <w:t xml:space="preserve">(Figure </w:t>
      </w:r>
      <w:r w:rsidR="00F12DE1">
        <w:rPr>
          <w:b/>
        </w:rPr>
        <w:t>2</w:t>
      </w:r>
      <w:r>
        <w:rPr>
          <w:b/>
        </w:rPr>
        <w:t xml:space="preserve"> D)</w:t>
      </w:r>
      <w:r>
        <w:t>. These results suggested that the obesity-associated networks are less connected, having microbes further from all other microbes within the community.</w:t>
      </w:r>
    </w:p>
    <w:p w14:paraId="402FDFEF" w14:textId="77777777" w:rsidR="00545250" w:rsidRDefault="00031049" w:rsidP="00031049">
      <w:pPr>
        <w:pStyle w:val="Heading2"/>
        <w:spacing w:line="480" w:lineRule="auto"/>
        <w:jc w:val="both"/>
      </w:pPr>
      <w:bookmarkStart w:id="7" w:name="individuality-of-microbial-networks"/>
      <w:bookmarkEnd w:id="7"/>
      <w:r>
        <w:t>Individuality of Microbial Networks</w:t>
      </w:r>
    </w:p>
    <w:p w14:paraId="07AEA55A" w14:textId="77777777" w:rsidR="00545250" w:rsidRDefault="00031049" w:rsidP="00031049">
      <w:pPr>
        <w:pStyle w:val="FirstParagraph"/>
        <w:spacing w:line="480" w:lineRule="auto"/>
        <w:jc w:val="both"/>
      </w:pPr>
      <w:r>
        <w:t xml:space="preserve">Skin and gut community membership and diversity are highly personal, with people remaining more similar to themselves than to other people over time (13, 55, 56). We therefore hypothesized that this personal conservation extended to microbiome network structure. We addressed this hypothesis by calculating the degree of dissimilarity between </w:t>
      </w:r>
      <w:r>
        <w:lastRenderedPageBreak/>
        <w:t>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sSubPr>
            <m:ctrlPr>
              <w:rPr>
                <w:rFonts w:ascii="Cambria Math" w:hAnsi="Cambria Math"/>
              </w:rPr>
            </m:ctrlPr>
          </m:sSubPr>
          <m:e>
            <m:r>
              <w:rPr>
                <w:rFonts w:ascii="Cambria Math" w:hAnsi="Cambria Math"/>
              </w:rPr>
              <m:t>A</m:t>
            </m:r>
          </m:e>
          <m:sub>
            <m:r>
              <w:rPr>
                <w:rFonts w:ascii="Cambria Math" w:hAnsi="Cambria Math"/>
              </w:rPr>
              <m:t>O</m:t>
            </m:r>
          </m:sub>
        </m:sSub>
      </m:oMath>
      <w:r>
        <w:t xml:space="preserve"> 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14:paraId="520A12C9" w14:textId="664C7EB6" w:rsidR="00545250" w:rsidRDefault="00031049" w:rsidP="00031049">
      <w:pPr>
        <w:pStyle w:val="BodyText"/>
        <w:spacing w:line="480" w:lineRule="auto"/>
        <w:jc w:val="both"/>
      </w:pPr>
      <w:r>
        <w:t xml:space="preserve">We used this network dissimilarity metric to test whether microbiome network structures were more similar within people than between people over time. We found that gut microbiome network structures clustered by person (ANOSIM p-value = 0.005, R = 0.958, </w:t>
      </w:r>
      <w:r>
        <w:rPr>
          <w:b/>
        </w:rPr>
        <w:t xml:space="preserve">Figure </w:t>
      </w:r>
      <w:r w:rsidR="00F12DE1">
        <w:rPr>
          <w:b/>
        </w:rPr>
        <w:t>3</w:t>
      </w:r>
      <w:r>
        <w:rPr>
          <w:b/>
        </w:rPr>
        <w:t xml:space="preserve"> A</w:t>
      </w:r>
      <w:r>
        <w:t xml:space="preserve">). Network dissimilarity within each person over the 8-10 day sampling period was less than the average dissimilarity between that person and others, although this difference was not statistically significant (p-value = 0.125, </w:t>
      </w:r>
      <w:r>
        <w:rPr>
          <w:b/>
        </w:rPr>
        <w:t xml:space="preserve">Figure </w:t>
      </w:r>
      <w:r w:rsidR="00F12DE1">
        <w:rPr>
          <w:b/>
        </w:rPr>
        <w:t>3</w:t>
      </w:r>
      <w:r>
        <w:rPr>
          <w:b/>
        </w:rPr>
        <w:t xml:space="preserve"> B</w:t>
      </w:r>
      <w:r>
        <w:t xml:space="preserve">). The lack of statistical confidence was likely due to the small sample size of this dataset. 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(inter-family) (p-value = 0.312, </w:t>
      </w:r>
      <w:r>
        <w:rPr>
          <w:b/>
        </w:rPr>
        <w:t xml:space="preserve">Figure </w:t>
      </w:r>
      <w:r w:rsidR="00F12DE1">
        <w:rPr>
          <w:b/>
        </w:rPr>
        <w:t>3</w:t>
      </w:r>
      <w:r>
        <w:rPr>
          <w:b/>
        </w:rPr>
        <w:t xml:space="preserve"> C</w:t>
      </w:r>
      <w:r>
        <w:t xml:space="preserve">). In addition to the gut, skin microbiome network structure was strongly conserved within individuals (p-value &lt; 0.001, </w:t>
      </w:r>
      <w:r>
        <w:rPr>
          <w:b/>
        </w:rPr>
        <w:t xml:space="preserve">Figure </w:t>
      </w:r>
      <w:r w:rsidR="00F12DE1">
        <w:rPr>
          <w:b/>
        </w:rPr>
        <w:t>3</w:t>
      </w:r>
      <w:r>
        <w:rPr>
          <w:b/>
        </w:rPr>
        <w:t xml:space="preserve"> D</w:t>
      </w:r>
      <w:r>
        <w:t xml:space="preserve">). This distribution was similar when separated by anatomical sites. Most sites </w:t>
      </w:r>
      <w:r>
        <w:lastRenderedPageBreak/>
        <w:t xml:space="preserve">were statistically significantly more conserved within individuals </w:t>
      </w:r>
      <w:r>
        <w:rPr>
          <w:b/>
        </w:rPr>
        <w:t xml:space="preserve">(Supplemental Figure </w:t>
      </w:r>
      <w:r w:rsidR="00F12DE1">
        <w:rPr>
          <w:b/>
        </w:rPr>
        <w:t>S6</w:t>
      </w:r>
      <w:r>
        <w:rPr>
          <w:b/>
        </w:rPr>
        <w:t>)</w:t>
      </w:r>
      <w:r>
        <w:t>.</w:t>
      </w:r>
    </w:p>
    <w:p w14:paraId="677F7F7C" w14:textId="77777777" w:rsidR="00545250" w:rsidRDefault="00031049" w:rsidP="00031049">
      <w:pPr>
        <w:pStyle w:val="Heading2"/>
        <w:spacing w:line="480" w:lineRule="auto"/>
        <w:jc w:val="both"/>
      </w:pPr>
      <w:bookmarkStart w:id="8" w:name="association-between-environmental-stabil"/>
      <w:bookmarkEnd w:id="8"/>
      <w:r>
        <w:t>Association Between Environmental Stability and Network Structure Across the Human Skin Landscape</w:t>
      </w:r>
    </w:p>
    <w:p w14:paraId="214AA96A" w14:textId="77777777" w:rsidR="00545250" w:rsidRDefault="00031049" w:rsidP="00031049">
      <w:pPr>
        <w:pStyle w:val="FirstParagraph"/>
        <w:spacing w:line="480" w:lineRule="auto"/>
        <w:jc w:val="both"/>
      </w:pPr>
      <w:r>
        <w:t>Extensive work has illustrated differences in diversity and composition of the healthy human skin microbiome between anatomical sites, including bacteria, virus, and fungal communities (13, 44, 55).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14:paraId="48521A87" w14:textId="09030BFF" w:rsidR="00545250" w:rsidRDefault="00031049" w:rsidP="00031049">
      <w:pPr>
        <w:pStyle w:val="BodyText"/>
        <w:spacing w:line="480" w:lineRule="auto"/>
        <w:jc w:val="both"/>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 </w:t>
      </w:r>
      <w:r>
        <w:rPr>
          <w:b/>
        </w:rPr>
        <w:t xml:space="preserve">Figure </w:t>
      </w:r>
      <w:r w:rsidR="00F12DE1">
        <w:rPr>
          <w:b/>
        </w:rPr>
        <w:t>4</w:t>
      </w:r>
      <w:r>
        <w:rPr>
          <w:b/>
        </w:rPr>
        <w:t xml:space="preserve"> A)</w:t>
      </w:r>
      <w:r>
        <w:t xml:space="preserve">. Also, skin sites that were occluded from the environment were much more highly connected than those that were constantly exposed to the environment or only intermittently occluded (p-value &lt; 0.001, </w:t>
      </w:r>
      <w:r>
        <w:rPr>
          <w:b/>
        </w:rPr>
        <w:t xml:space="preserve">Figure </w:t>
      </w:r>
      <w:r w:rsidR="00F12DE1">
        <w:rPr>
          <w:b/>
        </w:rPr>
        <w:t>4</w:t>
      </w:r>
      <w:r>
        <w:rPr>
          <w:b/>
        </w:rPr>
        <w:t xml:space="preserve"> B)</w:t>
      </w:r>
      <w:r>
        <w:t>.</w:t>
      </w:r>
    </w:p>
    <w:p w14:paraId="10D090C7" w14:textId="6D0701D5" w:rsidR="00545250" w:rsidRDefault="00031049" w:rsidP="00031049">
      <w:pPr>
        <w:pStyle w:val="BodyText"/>
        <w:spacing w:line="480" w:lineRule="auto"/>
        <w:jc w:val="both"/>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w:t>
      </w:r>
      <w:r>
        <w:lastRenderedPageBreak/>
        <w:t xml:space="preserve">moisture, sebaceous, and intermittently moist status </w:t>
      </w:r>
      <w:r>
        <w:rPr>
          <w:b/>
        </w:rPr>
        <w:t xml:space="preserve">(Figure </w:t>
      </w:r>
      <w:r w:rsidR="00F12DE1">
        <w:rPr>
          <w:b/>
        </w:rPr>
        <w:t>4</w:t>
      </w:r>
      <w:r>
        <w:rPr>
          <w:b/>
        </w:rPr>
        <w:t xml:space="preserve"> C</w:t>
      </w:r>
      <w:proofErr w:type="gramStart"/>
      <w:r>
        <w:rPr>
          <w:b/>
        </w:rPr>
        <w:t>,E</w:t>
      </w:r>
      <w:proofErr w:type="gramEnd"/>
      <w:r>
        <w:rPr>
          <w:b/>
        </w:rPr>
        <w:t>)</w:t>
      </w:r>
      <w:r>
        <w:t xml:space="preserve">. Occluded sites were significantly different from exposed and intermittently occluded sites, but there was no difference between exposed and intermittently occluded sites </w:t>
      </w:r>
      <w:r>
        <w:rPr>
          <w:b/>
        </w:rPr>
        <w:t xml:space="preserve">(Figure </w:t>
      </w:r>
      <w:r w:rsidR="00F12DE1">
        <w:rPr>
          <w:b/>
        </w:rPr>
        <w:t>4</w:t>
      </w:r>
      <w:r>
        <w:rPr>
          <w:b/>
        </w:rPr>
        <w:t xml:space="preserve"> D</w:t>
      </w:r>
      <w:proofErr w:type="gramStart"/>
      <w:r>
        <w:rPr>
          <w:b/>
        </w:rPr>
        <w:t>,F</w:t>
      </w:r>
      <w:proofErr w:type="gramEnd"/>
      <w:r>
        <w:rPr>
          <w:b/>
        </w:rPr>
        <w:t>)</w:t>
      </w:r>
      <w:r>
        <w:t>. These findings provide further support that skin microbiome network structure differs significantly between skin sites.</w:t>
      </w:r>
    </w:p>
    <w:p w14:paraId="2C4ECCB4" w14:textId="77777777" w:rsidR="00545250" w:rsidRDefault="00031049" w:rsidP="00031049">
      <w:pPr>
        <w:pStyle w:val="Heading1"/>
        <w:spacing w:line="480" w:lineRule="auto"/>
        <w:jc w:val="both"/>
      </w:pPr>
      <w:bookmarkStart w:id="9" w:name="discussion"/>
      <w:bookmarkEnd w:id="9"/>
      <w:r>
        <w:t>Discussion</w:t>
      </w:r>
    </w:p>
    <w:p w14:paraId="660FE7E2" w14:textId="77777777" w:rsidR="00545250" w:rsidRDefault="00031049" w:rsidP="00031049">
      <w:pPr>
        <w:pStyle w:val="FirstParagraph"/>
        <w:spacing w:line="480" w:lineRule="auto"/>
        <w:jc w:val="both"/>
      </w:pPr>
      <w:r>
        <w:t>Foundational work has provided a baseline understanding of the human microbiome by characterizing bacterial and viral diversity across the human body (13, 14, 43–45, 57).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14:paraId="0B3FC8C8" w14:textId="77777777" w:rsidR="00545250" w:rsidRDefault="00031049" w:rsidP="00031049">
      <w:pPr>
        <w:pStyle w:val="BodyText"/>
        <w:spacing w:line="480" w:lineRule="auto"/>
        <w:jc w:val="both"/>
      </w:pPr>
      <w:r>
        <w:t xml:space="preserve">Just as gut microbiome and virome composition and diversity are conserved in individuals (13, 43, 44, 56), gut and skin microbiome network structures were conserved within individuals over time. Gut network structure was not conserved among family members. These findings suggested that the community properties inferred from microbiome </w:t>
      </w:r>
      <w:r>
        <w:lastRenderedPageBreak/>
        <w:t>interaction network structures, such as stability, the potential for horizontal gene transfer between members, and co-evolution of populations, were person-specific. These properties may be impacted by personal factors ranging from the body's immune system to external environmental conditions, such as climate and diet.</w:t>
      </w:r>
    </w:p>
    <w:p w14:paraId="290667EA" w14:textId="77777777" w:rsidR="00545250" w:rsidRDefault="00031049" w:rsidP="00031049">
      <w:pPr>
        <w:pStyle w:val="BodyText"/>
        <w:spacing w:line="480" w:lineRule="auto"/>
        <w:jc w:val="both"/>
      </w:pPr>
      <w:r>
        <w:t>The ability of environmental conditions to shape gut and skin microbiome interaction network structure was further supported by our finding that diet and skin location were associated with altered network structures. We found evidence that diet was sufficient to alter gut microbiome network connectivity. Although our sample size was small, our findings provided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14:paraId="75CD4BE1" w14:textId="77777777" w:rsidR="00545250" w:rsidRDefault="00031049" w:rsidP="00031049">
      <w:pPr>
        <w:pStyle w:val="BodyText"/>
        <w:spacing w:line="480" w:lineRule="auto"/>
        <w:jc w:val="both"/>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w:t>
      </w:r>
      <w:r>
        <w:lastRenderedPageBreak/>
        <w:t>connected, potentially less stable microbiomes. This points to a link between microbiome and environmental stability and warrants further investigation.</w:t>
      </w:r>
    </w:p>
    <w:p w14:paraId="5FE4E8B4" w14:textId="77777777" w:rsidR="00545250" w:rsidRDefault="00031049" w:rsidP="00031049">
      <w:pPr>
        <w:pStyle w:val="BodyText"/>
        <w:spacing w:line="480" w:lineRule="auto"/>
        <w:jc w:val="both"/>
      </w:pPr>
      <w:r>
        <w:t>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14:paraId="6BC025DE" w14:textId="77777777" w:rsidR="00545250" w:rsidRDefault="00031049" w:rsidP="00031049">
      <w:pPr>
        <w:pStyle w:val="BodyText"/>
        <w:spacing w:line="480" w:lineRule="auto"/>
        <w:jc w:val="both"/>
      </w:pPr>
      <w:r>
        <w:t xml:space="preserve">Second, although our analyses utilized the best datasets currently avilable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 (58), as well as toward ssDNA viral genomes (59, 60), thus rendering the resulting microbial and viral metagenomes largely non-quantitative. Future work that employs larger sequence datasets and that avoids the use of </w:t>
      </w:r>
      <w:r>
        <w:lastRenderedPageBreak/>
        <w:t>bias-inducing amplification steps will build on and validate our findings, as well as inform the design and interpretation of further studies.</w:t>
      </w:r>
    </w:p>
    <w:p w14:paraId="4579A5BE" w14:textId="77777777" w:rsidR="00545250" w:rsidRDefault="00031049" w:rsidP="00031049">
      <w:pPr>
        <w:pStyle w:val="BodyText"/>
        <w:spacing w:line="480" w:lineRule="auto"/>
        <w:jc w:val="both"/>
      </w:pPr>
      <w:r>
        <w:t>Finally, the networks in this study were built using operational genomic units (OGUs), which represented groups of highly similar bacteria or phage genomes or genome fragments as clustered sub-populations. Similar clustering definition and validation methods, both computational and experimental, have been implemented in other metagenomic sequencing studies, as well (42, 61–63).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Future work must address this limitation, e.g., through improved binning methods and deeper metagenomic shotgun sequencing, but most importantly through an improved conceptual framing of what defines ecologically and evolutionarily cohesive units for both phage and bacteria (64).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 (65). Such population-genetic assessment of phage evolution, coupled with the ecological implications of genome heterogeneity, will inform how to define nodes in future iterations of the ecological network developed here.</w:t>
      </w:r>
    </w:p>
    <w:p w14:paraId="66D839AC" w14:textId="77777777" w:rsidR="00545250" w:rsidRDefault="00031049" w:rsidP="00031049">
      <w:pPr>
        <w:pStyle w:val="BodyText"/>
        <w:spacing w:line="480" w:lineRule="auto"/>
        <w:jc w:val="both"/>
      </w:pPr>
      <w:r>
        <w:lastRenderedPageBreak/>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 </w:t>
      </w:r>
      <w:r>
        <w:rPr>
          <w:i/>
        </w:rPr>
        <w:t>Demodex</w:t>
      </w:r>
      <w:r>
        <w:t xml:space="preserve"> mites (1, 66)--all of which can interact with human immune cells and other non-microbial community members (67).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14:paraId="1029588C" w14:textId="77777777" w:rsidR="00545250" w:rsidRDefault="00031049" w:rsidP="00031049">
      <w:pPr>
        <w:pStyle w:val="Heading1"/>
        <w:spacing w:line="480" w:lineRule="auto"/>
        <w:jc w:val="both"/>
      </w:pPr>
      <w:bookmarkStart w:id="10" w:name="materials-methods"/>
      <w:bookmarkEnd w:id="10"/>
      <w:r>
        <w:t>Materials &amp; Methods</w:t>
      </w:r>
    </w:p>
    <w:p w14:paraId="1D36BD44" w14:textId="77777777" w:rsidR="00545250" w:rsidRDefault="00031049" w:rsidP="00031049">
      <w:pPr>
        <w:pStyle w:val="Heading2"/>
        <w:spacing w:line="480" w:lineRule="auto"/>
        <w:jc w:val="both"/>
      </w:pPr>
      <w:bookmarkStart w:id="11" w:name="code-availability"/>
      <w:bookmarkEnd w:id="11"/>
      <w:r>
        <w:t>Code Availability</w:t>
      </w:r>
    </w:p>
    <w:p w14:paraId="58079B57" w14:textId="77777777" w:rsidR="00545250" w:rsidRDefault="00031049" w:rsidP="00031049">
      <w:pPr>
        <w:pStyle w:val="FirstParagraph"/>
        <w:spacing w:line="480" w:lineRule="auto"/>
        <w:jc w:val="both"/>
      </w:pPr>
      <w:r>
        <w:t>A reproducible version of this manuscript written in R markdown and all of the code used to obtain and process the sequencing data is available at the following GitHub repository:</w:t>
      </w:r>
    </w:p>
    <w:p w14:paraId="36DF36F1" w14:textId="77777777" w:rsidR="00545250" w:rsidRDefault="00031049" w:rsidP="00031049">
      <w:pPr>
        <w:pStyle w:val="BodyText"/>
        <w:spacing w:line="480" w:lineRule="auto"/>
        <w:jc w:val="both"/>
      </w:pPr>
      <w:r>
        <w:t>https://github.com/SchlossLab/Hannigan_ConjunctisViribus_mSystems_2017</w:t>
      </w:r>
    </w:p>
    <w:p w14:paraId="2C4B8954" w14:textId="77777777" w:rsidR="00545250" w:rsidRDefault="00031049" w:rsidP="00031049">
      <w:pPr>
        <w:pStyle w:val="Heading2"/>
        <w:spacing w:line="480" w:lineRule="auto"/>
        <w:jc w:val="both"/>
      </w:pPr>
      <w:bookmarkStart w:id="12" w:name="data-acquisition-quality-control"/>
      <w:bookmarkEnd w:id="12"/>
      <w:r>
        <w:lastRenderedPageBreak/>
        <w:t>Data Acquisition &amp; Quality Control</w:t>
      </w:r>
    </w:p>
    <w:p w14:paraId="68E023D2" w14:textId="77777777" w:rsidR="00545250" w:rsidRDefault="00031049" w:rsidP="00031049">
      <w:pPr>
        <w:pStyle w:val="FirstParagraph"/>
        <w:spacing w:line="480" w:lineRule="auto"/>
        <w:jc w:val="both"/>
      </w:pPr>
      <w:r>
        <w:t xml:space="preserve">Raw sequencing data and associated metadata were acquired from the NCBI sequence read archive (SRA). Supplementary metadata were acquired from the same SRA repositories and their associated manuscripts. The gut virome diet study (SRA: </w:t>
      </w:r>
      <w:r>
        <w:rPr>
          <w:rStyle w:val="VerbatimChar"/>
        </w:rPr>
        <w:t>SRP002424</w:t>
      </w:r>
      <w:r>
        <w:t xml:space="preserve">), twin virome studies (SRA: </w:t>
      </w:r>
      <w:r>
        <w:rPr>
          <w:rStyle w:val="VerbatimChar"/>
        </w:rPr>
        <w:t>SRP002523</w:t>
      </w:r>
      <w:r>
        <w:t xml:space="preserve">; </w:t>
      </w:r>
      <w:r>
        <w:rPr>
          <w:rStyle w:val="VerbatimChar"/>
        </w:rPr>
        <w:t>SRP000319</w:t>
      </w:r>
      <w:r>
        <w:t xml:space="preserve">), and skin virome study (SRA: </w:t>
      </w:r>
      <w:r>
        <w:rPr>
          <w:rStyle w:val="VerbatimChar"/>
        </w:rPr>
        <w:t>SRP049645</w:t>
      </w:r>
      <w:r>
        <w:t xml:space="preserve">) were downloaded as </w:t>
      </w:r>
      <w:r>
        <w:rPr>
          <w:rStyle w:val="VerbatimChar"/>
        </w:rPr>
        <w:t>.sra</w:t>
      </w:r>
      <w:r>
        <w:t xml:space="preserve"> files. Sequencing files were converted to </w:t>
      </w:r>
      <w:r>
        <w:rPr>
          <w:rStyle w:val="VerbatimChar"/>
        </w:rPr>
        <w:t>fastq</w:t>
      </w:r>
      <w:r>
        <w:t xml:space="preserve"> format using the </w:t>
      </w:r>
      <w:r>
        <w:rPr>
          <w:rStyle w:val="VerbatimChar"/>
        </w:rPr>
        <w:t>fastq-dump</w:t>
      </w:r>
      <w:r>
        <w:t xml:space="preserve"> tool of the NCBI SRA Toolkit (v2.2.0). Sequences were quality trimmed using the Fastx toolkit (v0.0.14) to exclude bases with quality scores below 33 and shorter than 75 bp (68). Paired end reads were filtered to exclude sequences missing their corresponding pair using the </w:t>
      </w:r>
      <w:r>
        <w:rPr>
          <w:rStyle w:val="VerbatimChar"/>
        </w:rPr>
        <w:t>get_trimmed_pairs.py</w:t>
      </w:r>
      <w:r>
        <w:t xml:space="preserve"> script available in the source code.</w:t>
      </w:r>
    </w:p>
    <w:p w14:paraId="79CB13FD" w14:textId="77777777" w:rsidR="00545250" w:rsidRDefault="00031049" w:rsidP="00031049">
      <w:pPr>
        <w:pStyle w:val="Heading2"/>
        <w:spacing w:line="480" w:lineRule="auto"/>
        <w:jc w:val="both"/>
      </w:pPr>
      <w:bookmarkStart w:id="13" w:name="contig-assembly"/>
      <w:bookmarkEnd w:id="13"/>
      <w:r>
        <w:t>Contig Assembly</w:t>
      </w:r>
    </w:p>
    <w:p w14:paraId="7ECAD5E8" w14:textId="77777777" w:rsidR="00545250" w:rsidRDefault="00031049" w:rsidP="00031049">
      <w:pPr>
        <w:pStyle w:val="FirstParagraph"/>
        <w:spacing w:line="480" w:lineRule="auto"/>
        <w:jc w:val="both"/>
      </w:pPr>
      <w:r>
        <w:t>Contigs were assembled using the Megahit assembly program (v1.0.6) (69). A minimum contig length of 1 kb was used. Iterative k-mer stepping began at a minimum length of 21 and progressed by 20 until 101. All other default parameters were used.</w:t>
      </w:r>
    </w:p>
    <w:p w14:paraId="467D0F01" w14:textId="77777777" w:rsidR="00545250" w:rsidRDefault="00031049" w:rsidP="00031049">
      <w:pPr>
        <w:pStyle w:val="Heading2"/>
        <w:spacing w:line="480" w:lineRule="auto"/>
        <w:jc w:val="both"/>
      </w:pPr>
      <w:bookmarkStart w:id="14" w:name="contig-abundance-calculations"/>
      <w:bookmarkEnd w:id="14"/>
      <w:r>
        <w:t>Contig Abundance Calculations</w:t>
      </w:r>
    </w:p>
    <w:p w14:paraId="46B57E97" w14:textId="77777777" w:rsidR="00545250" w:rsidRDefault="00031049" w:rsidP="00031049">
      <w:pPr>
        <w:pStyle w:val="FirstParagraph"/>
        <w:spacing w:line="480" w:lineRule="auto"/>
        <w:jc w:val="both"/>
      </w:pPr>
      <w:r>
        <w:t xml:space="preserve">Contigs were concatenated into two master files prior to alignment, one for bacterial contigs and one for phage contigs. Sample sequences were aligned to phage or bacterial contigs using the Bowtie2 global aligner (v2.2.1) (70). We defined a mismatch threshold of 1 bp and seed length of 25 bp. Sequence abundance was calculated from the Bowtie2 output using the </w:t>
      </w:r>
      <w:r>
        <w:rPr>
          <w:rStyle w:val="VerbatimChar"/>
        </w:rPr>
        <w:t>calculate_abundance_from_sam.pl</w:t>
      </w:r>
      <w:r>
        <w:t xml:space="preserve"> script available in the source code.</w:t>
      </w:r>
    </w:p>
    <w:p w14:paraId="3BC64FE8" w14:textId="77777777" w:rsidR="00545250" w:rsidRDefault="00031049" w:rsidP="00031049">
      <w:pPr>
        <w:pStyle w:val="Heading2"/>
        <w:spacing w:line="480" w:lineRule="auto"/>
        <w:jc w:val="both"/>
      </w:pPr>
      <w:bookmarkStart w:id="15" w:name="operational-genomic-unit-binning"/>
      <w:bookmarkEnd w:id="15"/>
      <w:r>
        <w:lastRenderedPageBreak/>
        <w:t>Operational Genomic Unit Binning</w:t>
      </w:r>
    </w:p>
    <w:p w14:paraId="41F44415" w14:textId="77777777" w:rsidR="00545250" w:rsidRDefault="00031049" w:rsidP="00031049">
      <w:pPr>
        <w:pStyle w:val="FirstParagraph"/>
        <w:spacing w:line="480" w:lineRule="auto"/>
        <w:jc w:val="both"/>
      </w:pPr>
      <w:r>
        <w:t>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 (57).</w:t>
      </w:r>
    </w:p>
    <w:p w14:paraId="52E4BA6F" w14:textId="77777777" w:rsidR="00545250" w:rsidRDefault="00031049" w:rsidP="00031049">
      <w:pPr>
        <w:pStyle w:val="BodyText"/>
        <w:spacing w:line="480" w:lineRule="auto"/>
        <w:jc w:val="both"/>
      </w:pPr>
      <w:r>
        <w:t>Contigs were clustered using the CONCOCT algorithm (v0.4.0) (71).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14:paraId="2BD1283D" w14:textId="77777777" w:rsidR="00545250" w:rsidRDefault="00031049" w:rsidP="00031049">
      <w:pPr>
        <w:pStyle w:val="BodyText"/>
        <w:spacing w:line="480" w:lineRule="auto"/>
        <w:jc w:val="both"/>
      </w:pPr>
      <w:r>
        <w:t>OGU abundance (</w:t>
      </w:r>
      <m:oMath>
        <m:sSub>
          <m:sSubPr>
            <m:ctrlPr>
              <w:rPr>
                <w:rFonts w:ascii="Cambria Math" w:hAnsi="Cambria Math"/>
              </w:rPr>
            </m:ctrlPr>
          </m:sSubPr>
          <m:e>
            <m:r>
              <w:rPr>
                <w:rFonts w:ascii="Cambria Math" w:hAnsi="Cambria Math"/>
              </w:rPr>
              <m:t>A</m:t>
            </m:r>
          </m:e>
          <m:sub>
            <m:r>
              <w:rPr>
                <w:rFonts w:ascii="Cambria Math" w:hAnsi="Cambria Math"/>
              </w:rPr>
              <m:t>O</m:t>
            </m:r>
          </m:sub>
        </m:sSub>
      </m:oMath>
      <w:r>
        <w:t>) was obtained as the sum of the abundance of each contig (</w:t>
      </w:r>
      <m:oMath>
        <m:sSub>
          <m:sSubPr>
            <m:ctrlPr>
              <w:rPr>
                <w:rFonts w:ascii="Cambria Math" w:hAnsi="Cambria Math"/>
              </w:rPr>
            </m:ctrlPr>
          </m:sSubPr>
          <m:e>
            <m:r>
              <w:rPr>
                <w:rFonts w:ascii="Cambria Math" w:hAnsi="Cambria Math"/>
              </w:rPr>
              <m:t>A</m:t>
            </m:r>
          </m:e>
          <m:sub>
            <m:r>
              <w:rPr>
                <w:rFonts w:ascii="Cambria Math" w:hAnsi="Cambria Math"/>
              </w:rPr>
              <m:t>j</m:t>
            </m:r>
          </m:sub>
        </m:sSub>
      </m:oMath>
      <w:r>
        <w:t>) associated with that OGU. The abundance values were length corrected such that:</w:t>
      </w:r>
    </w:p>
    <w:p w14:paraId="120185ED" w14:textId="77777777" w:rsidR="00545250" w:rsidRDefault="00031049" w:rsidP="00031049">
      <w:pPr>
        <w:pStyle w:val="BodyText"/>
        <w:spacing w:line="480" w:lineRule="auto"/>
        <w:jc w:val="both"/>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O</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10</m:t>
                  </m:r>
                </m:e>
                <m:sup>
                  <m:r>
                    <w:rPr>
                      <w:rFonts w:ascii="Cambria Math" w:hAnsi="Cambria Math"/>
                    </w:rPr>
                    <m:t>7</m:t>
                  </m:r>
                </m:sup>
              </m:sSup>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e>
              </m:nary>
            </m:num>
            <m:den>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L</m:t>
                      </m:r>
                    </m:e>
                    <m:sub>
                      <m:r>
                        <w:rPr>
                          <w:rFonts w:ascii="Cambria Math" w:hAnsi="Cambria Math"/>
                        </w:rPr>
                        <m:t>j</m:t>
                      </m:r>
                    </m:sub>
                  </m:sSub>
                </m:e>
              </m:nary>
            </m:den>
          </m:f>
        </m:oMath>
      </m:oMathPara>
    </w:p>
    <w:p w14:paraId="5F7B9FCD" w14:textId="77777777" w:rsidR="00545250" w:rsidRDefault="00031049" w:rsidP="00031049">
      <w:pPr>
        <w:pStyle w:val="BodyText"/>
        <w:spacing w:line="480" w:lineRule="auto"/>
        <w:jc w:val="both"/>
      </w:pPr>
      <w:r>
        <w:t xml:space="preserve">Where </w:t>
      </w:r>
      <w:r>
        <w:rPr>
          <w:rStyle w:val="VerbatimChar"/>
        </w:rPr>
        <w:t>L</w:t>
      </w:r>
      <w:r>
        <w:t xml:space="preserve"> is the length of each contig </w:t>
      </w:r>
      <w:r>
        <w:rPr>
          <w:rStyle w:val="VerbatimChar"/>
        </w:rPr>
        <w:t>j</w:t>
      </w:r>
      <w:r>
        <w:t xml:space="preserve"> within the OGU.</w:t>
      </w:r>
    </w:p>
    <w:p w14:paraId="24AE58FC" w14:textId="77777777" w:rsidR="00545250" w:rsidRDefault="00031049" w:rsidP="00031049">
      <w:pPr>
        <w:pStyle w:val="Heading2"/>
        <w:spacing w:line="480" w:lineRule="auto"/>
        <w:jc w:val="both"/>
      </w:pPr>
      <w:bookmarkStart w:id="16" w:name="phage-ogu-identification"/>
      <w:bookmarkEnd w:id="16"/>
      <w:r>
        <w:lastRenderedPageBreak/>
        <w:t>Phage OGU Identification</w:t>
      </w:r>
    </w:p>
    <w:p w14:paraId="4F988966" w14:textId="77777777" w:rsidR="00545250" w:rsidRDefault="00031049" w:rsidP="00031049">
      <w:pPr>
        <w:pStyle w:val="FirstParagraph"/>
        <w:spacing w:line="480" w:lineRule="auto"/>
        <w:jc w:val="both"/>
      </w:pPr>
      <w:r>
        <w:t xml:space="preserve">To confirm a lack of phage sequences in the bacterial OGU dataset, we performed blast nucleotide alignment of the bacterial OGU representative sequences using an e-value &lt; </w:t>
      </w:r>
      <m:oMath>
        <m:sSup>
          <m:sSupPr>
            <m:ctrlPr>
              <w:rPr>
                <w:rFonts w:ascii="Cambria Math" w:hAnsi="Cambria Math"/>
              </w:rPr>
            </m:ctrlPr>
          </m:sSupPr>
          <m:e>
            <m:r>
              <w:rPr>
                <w:rFonts w:ascii="Cambria Math" w:hAnsi="Cambria Math"/>
              </w:rPr>
              <m:t>10</m:t>
            </m:r>
          </m:e>
          <m:sup>
            <m:r>
              <w:rPr>
                <w:rFonts w:ascii="Cambria Math" w:hAnsi="Cambria Math"/>
              </w:rPr>
              <m:t>-25</m:t>
            </m:r>
          </m:sup>
        </m:sSup>
      </m:oMath>
      <w:r>
        <w:t xml:space="preserve">, which was stricter than the </w:t>
      </w:r>
      <m:oMath>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threshold used in the random forest model below. We used a stricter threshold because we know there are genomic similarities between bacteria and phage OGUs from the interactive model, but we were interested in contigs with high enough similarity to references that they may indeed be from phages. 2% of the OGUs had nucleotide similarities to known bacteriophage genomes, although the alignments were short (a couple of kb) and represented a small fraction of the alignment sequences.</w:t>
      </w:r>
    </w:p>
    <w:p w14:paraId="29DBDD55" w14:textId="77777777" w:rsidR="00545250" w:rsidRDefault="00031049" w:rsidP="00031049">
      <w:pPr>
        <w:pStyle w:val="Heading2"/>
        <w:spacing w:line="480" w:lineRule="auto"/>
        <w:jc w:val="both"/>
      </w:pPr>
      <w:bookmarkStart w:id="17" w:name="open-reading-frame-prediction"/>
      <w:bookmarkEnd w:id="17"/>
      <w:r>
        <w:t>Open Reading Frame Prediction</w:t>
      </w:r>
    </w:p>
    <w:p w14:paraId="72C6C018" w14:textId="77777777" w:rsidR="00545250" w:rsidRDefault="00031049" w:rsidP="00031049">
      <w:pPr>
        <w:pStyle w:val="FirstParagraph"/>
        <w:spacing w:line="480" w:lineRule="auto"/>
        <w:jc w:val="both"/>
      </w:pPr>
      <w:r>
        <w:t>Open reading frames (ORFs) were identified using the Prodigal program (V2.6.2) with the meta mode parameter and default settings (72).</w:t>
      </w:r>
    </w:p>
    <w:p w14:paraId="4DC45E17" w14:textId="77777777" w:rsidR="00545250" w:rsidRDefault="00031049" w:rsidP="00031049">
      <w:pPr>
        <w:pStyle w:val="Heading2"/>
        <w:spacing w:line="480" w:lineRule="auto"/>
        <w:jc w:val="both"/>
      </w:pPr>
      <w:bookmarkStart w:id="18" w:name="classification-model-creation-and-valida"/>
      <w:bookmarkEnd w:id="18"/>
      <w:r>
        <w:t>Classification Model Creation and Validation</w:t>
      </w:r>
    </w:p>
    <w:p w14:paraId="015A7E7D" w14:textId="77777777" w:rsidR="00545250" w:rsidRDefault="00031049" w:rsidP="00031049">
      <w:pPr>
        <w:pStyle w:val="FirstParagraph"/>
        <w:spacing w:line="480" w:lineRule="auto"/>
        <w:jc w:val="both"/>
      </w:pPr>
      <w:r>
        <w:t>The classification model for predicting interactions was built using experimentally validated bacteria-phage infections or validated lack of infections from six studies (41, 47–51). Associated reference genomes were downloaded from the European Bioinformatics Institute (see details in source code). The model was created based on the four metrics listed below.</w:t>
      </w:r>
    </w:p>
    <w:p w14:paraId="07B324A1" w14:textId="77777777" w:rsidR="00545250" w:rsidRDefault="00031049" w:rsidP="00031049">
      <w:pPr>
        <w:pStyle w:val="BodyText"/>
        <w:spacing w:line="480" w:lineRule="auto"/>
        <w:jc w:val="both"/>
      </w:pPr>
      <w:r>
        <w:lastRenderedPageBreak/>
        <w:t>The four scores were used as parameters in a random forest model to classify bacteria and bacteriophage pairs as either having infectious interactions or not. The classification model was built using the Caret R package (v6.0.73) (73). The model was trained using five-fold cross validation with ten repeats. Pairs without scores were classified as not interacting. The model was optimized using the ROC value. The resulting model performance was plotted using the plotROC R package.</w:t>
      </w:r>
    </w:p>
    <w:p w14:paraId="7E90F633" w14:textId="77777777" w:rsidR="00545250" w:rsidRDefault="00031049" w:rsidP="00031049">
      <w:pPr>
        <w:pStyle w:val="Heading5"/>
        <w:spacing w:line="480" w:lineRule="auto"/>
        <w:jc w:val="both"/>
      </w:pPr>
      <w:bookmarkStart w:id="19" w:name="identify-bacterial-crisprs-targeting-pha"/>
      <w:bookmarkEnd w:id="19"/>
      <w:r>
        <w:t>Identify Bacterial CRISPRs Targeting Phages</w:t>
      </w:r>
    </w:p>
    <w:p w14:paraId="1A41F356" w14:textId="77777777" w:rsidR="00545250" w:rsidRDefault="00031049" w:rsidP="00031049">
      <w:pPr>
        <w:pStyle w:val="FirstParagraph"/>
        <w:spacing w:line="480" w:lineRule="auto"/>
        <w:jc w:val="both"/>
      </w:pPr>
      <w:r>
        <w:t>Clustered Regularly Interspaced Short Palindromic Repeats (CRISPRs) were identified from bacterial genomes using the PilerCR program (v1.06) (74). Resulting spacer sequences were filtered to exclude spacers shorter than 20 bp and longer than 65 bp. Spacer sequences were aligned to the phage genomes using the nucleotide BLAST algorithm with default parameters (v2.4.0) (75). The mean percent identity for each matching pair was recorded for use in our classification model.</w:t>
      </w:r>
    </w:p>
    <w:p w14:paraId="6F20DC38" w14:textId="77777777" w:rsidR="00545250" w:rsidRDefault="00031049" w:rsidP="00031049">
      <w:pPr>
        <w:pStyle w:val="Heading5"/>
        <w:spacing w:line="480" w:lineRule="auto"/>
        <w:jc w:val="both"/>
      </w:pPr>
      <w:bookmarkStart w:id="20" w:name="detect-matching-prophages-within-bacteri"/>
      <w:bookmarkEnd w:id="20"/>
      <w:r>
        <w:t>Detect Matching Prophages within Bacterial Genomes</w:t>
      </w:r>
    </w:p>
    <w:p w14:paraId="5AAD301A" w14:textId="77777777" w:rsidR="00545250" w:rsidRDefault="00031049" w:rsidP="00031049">
      <w:pPr>
        <w:pStyle w:val="FirstParagraph"/>
        <w:spacing w:line="480" w:lineRule="auto"/>
        <w:jc w:val="both"/>
      </w:pPr>
      <w:r>
        <w:t>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14:paraId="411B34AE" w14:textId="77777777" w:rsidR="00545250" w:rsidRDefault="00031049" w:rsidP="00031049">
      <w:pPr>
        <w:pStyle w:val="Heading5"/>
        <w:spacing w:line="480" w:lineRule="auto"/>
        <w:jc w:val="both"/>
      </w:pPr>
      <w:bookmarkStart w:id="21" w:name="identify-shared-genes-between-bacteria-a"/>
      <w:bookmarkEnd w:id="21"/>
      <w:r>
        <w:lastRenderedPageBreak/>
        <w:t>Identify Shared Genes Between Bacteria and Phages</w:t>
      </w:r>
    </w:p>
    <w:p w14:paraId="4BC0CBE1" w14:textId="77777777" w:rsidR="00545250" w:rsidRDefault="00031049" w:rsidP="00031049">
      <w:pPr>
        <w:pStyle w:val="FirstParagraph"/>
        <w:spacing w:line="480" w:lineRule="auto"/>
        <w:jc w:val="both"/>
      </w:pPr>
      <w:r>
        <w:t>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 (76). The mean alignment bitscores for each genome pair were recorded for use in our classification model.</w:t>
      </w:r>
    </w:p>
    <w:p w14:paraId="3E5A5A52" w14:textId="77777777" w:rsidR="00545250" w:rsidRDefault="00031049" w:rsidP="00031049">
      <w:pPr>
        <w:pStyle w:val="Heading5"/>
        <w:spacing w:line="480" w:lineRule="auto"/>
        <w:jc w:val="both"/>
      </w:pPr>
      <w:bookmarkStart w:id="22" w:name="protein---protein-interactions"/>
      <w:bookmarkEnd w:id="22"/>
      <w:r>
        <w:t>Protein - Protein Interactions</w:t>
      </w:r>
    </w:p>
    <w:p w14:paraId="2B47BEA0" w14:textId="77777777" w:rsidR="00545250" w:rsidRDefault="00031049" w:rsidP="00031049">
      <w:pPr>
        <w:pStyle w:val="FirstParagraph"/>
        <w:spacing w:line="480" w:lineRule="auto"/>
        <w:jc w:val="both"/>
      </w:pPr>
      <w:r>
        <w:t>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 (52). The mean bitscores of the matches between each pair were recorded for use in the classification model.</w:t>
      </w:r>
    </w:p>
    <w:p w14:paraId="7A68DADC" w14:textId="77777777" w:rsidR="00545250" w:rsidRDefault="00031049" w:rsidP="00031049">
      <w:pPr>
        <w:pStyle w:val="Heading2"/>
        <w:spacing w:line="480" w:lineRule="auto"/>
        <w:jc w:val="both"/>
      </w:pPr>
      <w:bookmarkStart w:id="23" w:name="interaction-network-construction"/>
      <w:bookmarkEnd w:id="23"/>
      <w:r>
        <w:t>Interaction Network Construction</w:t>
      </w:r>
    </w:p>
    <w:p w14:paraId="23A128DA" w14:textId="77777777" w:rsidR="00545250" w:rsidRDefault="00031049" w:rsidP="00031049">
      <w:pPr>
        <w:pStyle w:val="FirstParagraph"/>
        <w:spacing w:line="480" w:lineRule="auto"/>
        <w:jc w:val="bot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w:t>
      </w:r>
      <w:r>
        <w:lastRenderedPageBreak/>
        <w:t>graph database software (v2.3.1) (77). This network was used for downstream community analysis.</w:t>
      </w:r>
    </w:p>
    <w:p w14:paraId="78A901A4" w14:textId="77777777" w:rsidR="00545250" w:rsidRDefault="00031049" w:rsidP="00031049">
      <w:pPr>
        <w:pStyle w:val="Heading2"/>
        <w:spacing w:line="480" w:lineRule="auto"/>
        <w:jc w:val="both"/>
      </w:pPr>
      <w:bookmarkStart w:id="24" w:name="centrality-analysis"/>
      <w:bookmarkEnd w:id="24"/>
      <w:r>
        <w:t>Centrality Analysis</w:t>
      </w:r>
    </w:p>
    <w:p w14:paraId="06B0F79A" w14:textId="77777777" w:rsidR="00545250" w:rsidRDefault="00031049" w:rsidP="00031049">
      <w:pPr>
        <w:pStyle w:val="FirstParagraph"/>
        <w:spacing w:line="480" w:lineRule="auto"/>
        <w:jc w:val="both"/>
      </w:pPr>
      <w:r>
        <w:t xml:space="preserve">We quantified the centrality of graph vertices using three different metrics, each of which provided different information graph structure. When calculating these values, let </w:t>
      </w:r>
      <m:oMath>
        <m:r>
          <w:rPr>
            <w:rFonts w:ascii="Cambria Math" w:hAnsi="Cambria Math"/>
          </w:rPr>
          <m:t>G(V,E)</m:t>
        </m:r>
      </m:oMath>
      <w:r>
        <w:t xml:space="preserve"> be an undirected, unweighted graph with </w:t>
      </w:r>
      <m:oMath>
        <m:r>
          <w:rPr>
            <w:rFonts w:ascii="Cambria Math" w:hAnsi="Cambria Math"/>
          </w:rPr>
          <m:t>|V|=n</m:t>
        </m:r>
      </m:oMath>
      <w:r>
        <w:t xml:space="preserve"> nodes and </w:t>
      </w:r>
      <m:oMath>
        <m:r>
          <w:rPr>
            <w:rFonts w:ascii="Cambria Math" w:hAnsi="Cambria Math"/>
          </w:rPr>
          <m:t>|E|=m</m:t>
        </m:r>
      </m:oMath>
      <w:r>
        <w:t xml:space="preserve"> edges. Also, let </w:t>
      </w:r>
      <m:oMath>
        <m:r>
          <m:rPr>
            <m:sty m:val="b"/>
          </m:rPr>
          <w:rPr>
            <w:rFonts w:ascii="Cambria Math" w:hAnsi="Cambria Math"/>
          </w:rPr>
          <m:t>A</m:t>
        </m:r>
      </m:oMath>
      <w:r>
        <w:t xml:space="preserve"> be its corresponding adjacency matrix with entries </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=1</m:t>
        </m:r>
      </m:oMath>
      <w:r>
        <w:t xml:space="preserve"> if nodes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are connected via an edge, and </w:t>
      </w:r>
      <m:oMath>
        <m:sSub>
          <m:sSubPr>
            <m:ctrlPr>
              <w:rPr>
                <w:rFonts w:ascii="Cambria Math" w:hAnsi="Cambria Math"/>
              </w:rPr>
            </m:ctrlPr>
          </m:sSubPr>
          <m:e>
            <m:r>
              <w:rPr>
                <w:rFonts w:ascii="Cambria Math" w:hAnsi="Cambria Math"/>
              </w:rPr>
              <m:t>a</m:t>
            </m:r>
          </m:e>
          <m:sub>
            <m:r>
              <w:rPr>
                <w:rFonts w:ascii="Cambria Math" w:hAnsi="Cambria Math"/>
              </w:rPr>
              <m:t>ij</m:t>
            </m:r>
          </m:sub>
        </m:sSub>
        <m:r>
          <w:rPr>
            <w:rFonts w:ascii="Cambria Math" w:hAnsi="Cambria Math"/>
          </w:rPr>
          <m:t>=0</m:t>
        </m:r>
      </m:oMath>
      <w:r>
        <w:t xml:space="preserve"> otherwise.</w:t>
      </w:r>
    </w:p>
    <w:p w14:paraId="4E178EB5" w14:textId="77777777" w:rsidR="00545250" w:rsidRDefault="00031049" w:rsidP="00031049">
      <w:pPr>
        <w:pStyle w:val="BodyText"/>
        <w:spacing w:line="480" w:lineRule="auto"/>
        <w:jc w:val="both"/>
      </w:pPr>
      <w:r>
        <w:t xml:space="preserve">Briefly, the </w:t>
      </w:r>
      <w:r>
        <w:rPr>
          <w:b/>
        </w:rPr>
        <w:t>closeness centrality</w:t>
      </w:r>
      <w:r>
        <w:t xml:space="preserve"> of node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calculated taking the inverse of the average length of the shortest paths (</w:t>
      </w:r>
      <w:r>
        <w:rPr>
          <w:rStyle w:val="VerbatimChar"/>
        </w:rPr>
        <w:t>d</w:t>
      </w:r>
      <w:r>
        <w:t xml:space="preserve">) between nodes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all the other nodes </w:t>
      </w:r>
      <m:oMath>
        <m:sSub>
          <m:sSubPr>
            <m:ctrlPr>
              <w:rPr>
                <w:rFonts w:ascii="Cambria Math" w:hAnsi="Cambria Math"/>
              </w:rPr>
            </m:ctrlPr>
          </m:sSubPr>
          <m:e>
            <m:r>
              <w:rPr>
                <w:rFonts w:ascii="Cambria Math" w:hAnsi="Cambria Math"/>
              </w:rPr>
              <m:t>V</m:t>
            </m:r>
          </m:e>
          <m:sub>
            <m:r>
              <w:rPr>
                <w:rFonts w:ascii="Cambria Math" w:hAnsi="Cambria Math"/>
              </w:rPr>
              <m:t>j</m:t>
            </m:r>
          </m:sub>
        </m:sSub>
      </m:oMath>
      <w:r>
        <w:t xml:space="preserve">. Mathematically, the closeness centrality of node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given as:</w:t>
      </w:r>
    </w:p>
    <w:p w14:paraId="78CAA5B2" w14:textId="77777777" w:rsidR="00545250" w:rsidRDefault="00031049" w:rsidP="00031049">
      <w:pPr>
        <w:pStyle w:val="BodyText"/>
        <w:spacing w:line="480" w:lineRule="auto"/>
        <w:jc w:val="bot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rPr>
              </m:ctrlPr>
            </m:sSupPr>
            <m:e>
              <m:d>
                <m:dPr>
                  <m:ctrlPr>
                    <w:rPr>
                      <w:rFonts w:ascii="Cambria Math" w:hAnsi="Cambria Math"/>
                    </w:rPr>
                  </m:ctrlPr>
                </m:dPr>
                <m:e>
                  <m:limLow>
                    <m:limLowPr>
                      <m:ctrlPr>
                        <w:rPr>
                          <w:rFonts w:ascii="Cambria Math" w:hAnsi="Cambria Math"/>
                        </w:rPr>
                      </m:ctrlPr>
                    </m:limLowPr>
                    <m:e>
                      <m:r>
                        <w:rPr>
                          <w:rFonts w:ascii="Cambria Math" w:hAnsi="Cambria Math"/>
                        </w:rPr>
                        <m:t>∑</m:t>
                      </m:r>
                    </m:e>
                    <m:lim>
                      <m:limUpp>
                        <m:limUppPr>
                          <m:ctrlPr>
                            <w:rPr>
                              <w:rFonts w:ascii="Cambria Math" w:hAnsi="Cambria Math"/>
                            </w:rPr>
                          </m:ctrlPr>
                        </m:limUppPr>
                        <m:e>
                          <m:r>
                            <w:rPr>
                              <w:rFonts w:ascii="Cambria Math" w:hAnsi="Cambria Math"/>
                            </w:rPr>
                            <m:t>j=1</m:t>
                          </m:r>
                        </m:e>
                        <m:lim>
                          <m:r>
                            <w:rPr>
                              <w:rFonts w:ascii="Cambria Math" w:hAnsi="Cambria Math"/>
                            </w:rPr>
                            <m:t>n</m:t>
                          </m:r>
                        </m:lim>
                      </m:limUpp>
                    </m:lim>
                  </m:limLow>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e>
              </m:d>
            </m:e>
            <m:sup>
              <m:r>
                <w:rPr>
                  <w:rFonts w:ascii="Cambria Math" w:hAnsi="Cambria Math"/>
                </w:rPr>
                <m:t>-1</m:t>
              </m:r>
            </m:sup>
          </m:sSup>
        </m:oMath>
      </m:oMathPara>
    </w:p>
    <w:p w14:paraId="114385BE" w14:textId="77777777" w:rsidR="00545250" w:rsidRDefault="00031049" w:rsidP="00031049">
      <w:pPr>
        <w:pStyle w:val="BodyText"/>
        <w:spacing w:line="480" w:lineRule="auto"/>
        <w:jc w:val="both"/>
      </w:pPr>
      <w:r>
        <w:t>The distance between nodes (</w:t>
      </w:r>
      <w:r>
        <w:rPr>
          <w:rStyle w:val="VerbatimChar"/>
        </w:rPr>
        <w:t>d</w:t>
      </w:r>
      <w:r>
        <w:t>) was calculated as the shortest number of edges required to be traversed to move from one node to another.</w:t>
      </w:r>
    </w:p>
    <w:p w14:paraId="666E8909" w14:textId="77777777" w:rsidR="00545250" w:rsidRDefault="00031049" w:rsidP="00031049">
      <w:pPr>
        <w:pStyle w:val="BodyText"/>
        <w:spacing w:line="480" w:lineRule="auto"/>
        <w:jc w:val="both"/>
      </w:pPr>
      <w:r>
        <w:t xml:space="preserve">Intuitively, the </w:t>
      </w:r>
      <w:r>
        <w:rPr>
          <w:b/>
        </w:rPr>
        <w:t>degree centrality</w:t>
      </w:r>
      <w:r>
        <w:t xml:space="preserve"> of node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defined as the number of edges that are incident to that node:</w:t>
      </w:r>
    </w:p>
    <w:p w14:paraId="398C1542" w14:textId="77777777" w:rsidR="00545250" w:rsidRDefault="00031049" w:rsidP="00031049">
      <w:pPr>
        <w:pStyle w:val="BodyText"/>
        <w:spacing w:line="480" w:lineRule="auto"/>
        <w:jc w:val="bot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oMath>
      </m:oMathPara>
    </w:p>
    <w:p w14:paraId="4E184989" w14:textId="77777777" w:rsidR="00545250" w:rsidRDefault="00031049" w:rsidP="00031049">
      <w:pPr>
        <w:pStyle w:val="BodyText"/>
        <w:spacing w:line="480" w:lineRule="auto"/>
        <w:jc w:val="bot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is the </w:t>
      </w:r>
      <m:oMath>
        <m:r>
          <w:rPr>
            <w:rFonts w:ascii="Cambria Math" w:hAnsi="Cambria Math"/>
          </w:rPr>
          <m:t>i</m:t>
        </m:r>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entry in the adjacency matrix </w:t>
      </w:r>
      <m:oMath>
        <m:r>
          <m:rPr>
            <m:sty m:val="b"/>
          </m:rPr>
          <w:rPr>
            <w:rFonts w:ascii="Cambria Math" w:hAnsi="Cambria Math"/>
          </w:rPr>
          <m:t>A</m:t>
        </m:r>
      </m:oMath>
      <w:r>
        <w:t>.</w:t>
      </w:r>
    </w:p>
    <w:p w14:paraId="14C9EE54" w14:textId="77777777" w:rsidR="00545250" w:rsidRDefault="00031049" w:rsidP="00031049">
      <w:pPr>
        <w:pStyle w:val="BodyText"/>
        <w:spacing w:line="480" w:lineRule="auto"/>
        <w:jc w:val="both"/>
      </w:pPr>
      <w:r>
        <w:lastRenderedPageBreak/>
        <w:t xml:space="preserve">The eigenvector centrality of node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defined as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value in the first eigenvector of the associated adjacency matrix </w:t>
      </w:r>
      <m:oMath>
        <m:r>
          <m:rPr>
            <m:sty m:val="b"/>
          </m:rPr>
          <w:rPr>
            <w:rFonts w:ascii="Cambria Math" w:hAnsi="Cambria Math"/>
          </w:rPr>
          <m:t>A</m:t>
        </m:r>
      </m:oMath>
      <w:r>
        <w:t>. Conceptually, this function results in a centrality value that reflects the connections of the vertex, as well as the centrality of its neighboring vertices.</w:t>
      </w:r>
    </w:p>
    <w:p w14:paraId="21C8D306" w14:textId="77777777" w:rsidR="00545250" w:rsidRDefault="00031049" w:rsidP="00031049">
      <w:pPr>
        <w:pStyle w:val="BodyText"/>
        <w:spacing w:line="480" w:lineRule="auto"/>
        <w:jc w:val="both"/>
      </w:pPr>
      <w:r>
        <w:t xml:space="preserve">The </w:t>
      </w:r>
      <w:r>
        <w:rPr>
          <w:b/>
        </w:rPr>
        <w:t>centralization</w:t>
      </w:r>
      <w:r>
        <w:t xml:space="preserve"> metric was used to assess the average centrality of each sample graph </w:t>
      </w:r>
      <m:oMath>
        <m:r>
          <m:rPr>
            <m:sty m:val="b"/>
          </m:rPr>
          <w:rPr>
            <w:rFonts w:ascii="Cambria Math" w:hAnsi="Cambria Math"/>
          </w:rPr>
          <m:t>G</m:t>
        </m:r>
      </m:oMath>
      <w:r>
        <w:t xml:space="preserve">. Centralization was calculated by taking the sum of each vertex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's centrality from the graph maximum centrality </w:t>
      </w:r>
      <m:oMath>
        <m:sSub>
          <m:sSubPr>
            <m:ctrlPr>
              <w:rPr>
                <w:rFonts w:ascii="Cambria Math" w:hAnsi="Cambria Math"/>
              </w:rPr>
            </m:ctrlPr>
          </m:sSubPr>
          <m:e>
            <m:r>
              <w:rPr>
                <w:rFonts w:ascii="Cambria Math" w:hAnsi="Cambria Math"/>
              </w:rPr>
              <m:t>C</m:t>
            </m:r>
          </m:e>
          <m:sub>
            <m:r>
              <w:rPr>
                <w:rFonts w:ascii="Cambria Math" w:hAnsi="Cambria Math"/>
              </w:rPr>
              <m:t>w</m:t>
            </m:r>
          </m:sub>
        </m:sSub>
      </m:oMath>
      <w:r>
        <w:t>, such that:</w:t>
      </w:r>
    </w:p>
    <w:p w14:paraId="30546419" w14:textId="77777777" w:rsidR="00545250" w:rsidRDefault="00031049" w:rsidP="00031049">
      <w:pPr>
        <w:pStyle w:val="BodyText"/>
        <w:spacing w:line="480" w:lineRule="auto"/>
        <w:jc w:val="both"/>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G</m:t>
              </m:r>
            </m:e>
          </m:d>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Cw-c</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e>
              </m:nary>
            </m:num>
            <m:den>
              <m:r>
                <w:rPr>
                  <w:rFonts w:ascii="Cambria Math" w:hAnsi="Cambria Math"/>
                </w:rPr>
                <m:t>T</m:t>
              </m:r>
            </m:den>
          </m:f>
        </m:oMath>
      </m:oMathPara>
    </w:p>
    <w:p w14:paraId="3090E189" w14:textId="77777777" w:rsidR="00545250" w:rsidRDefault="00031049" w:rsidP="00031049">
      <w:pPr>
        <w:pStyle w:val="BodyText"/>
        <w:spacing w:line="480" w:lineRule="auto"/>
        <w:jc w:val="both"/>
      </w:pPr>
      <w:r>
        <w:t>The values were corrected for uneven graph sizes by dividing the centralization score by the maximum theoretical centralization (</w:t>
      </w:r>
      <w:r>
        <w:rPr>
          <w:rStyle w:val="VerbatimChar"/>
        </w:rPr>
        <w:t>T</w:t>
      </w:r>
      <w:r>
        <w:t>) for a graph with the same number of vertices.</w:t>
      </w:r>
    </w:p>
    <w:p w14:paraId="4128FF10" w14:textId="77777777" w:rsidR="00545250" w:rsidRDefault="00031049" w:rsidP="00031049">
      <w:pPr>
        <w:pStyle w:val="BodyText"/>
        <w:spacing w:line="480" w:lineRule="auto"/>
        <w:jc w:val="both"/>
      </w:pPr>
      <w:r>
        <w:t>Degree and closeness centrality were calculated using the associated functions within the igraph R package (v1.0.1) (78).</w:t>
      </w:r>
    </w:p>
    <w:p w14:paraId="5CCDEECA" w14:textId="77777777" w:rsidR="00545250" w:rsidRDefault="00031049" w:rsidP="00031049">
      <w:pPr>
        <w:pStyle w:val="Heading2"/>
        <w:spacing w:line="480" w:lineRule="auto"/>
        <w:jc w:val="both"/>
      </w:pPr>
      <w:bookmarkStart w:id="25" w:name="network-relationship-dissimilarity"/>
      <w:bookmarkEnd w:id="25"/>
      <w:r>
        <w:t>Network Relationship Dissimilarity</w:t>
      </w:r>
    </w:p>
    <w:p w14:paraId="634E9D63" w14:textId="77777777" w:rsidR="00545250" w:rsidRDefault="00031049" w:rsidP="00031049">
      <w:pPr>
        <w:pStyle w:val="FirstParagraph"/>
        <w:spacing w:line="480" w:lineRule="auto"/>
        <w:jc w:val="both"/>
      </w:pPr>
      <w:r>
        <w:t xml:space="preserve">We assessed similarity between graphs by evaluating the shared centrality of their vertices, as has been done previously. More specifically, we calculated the dissimilarity between graphs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j</m:t>
            </m:r>
          </m:sub>
        </m:sSub>
      </m:oMath>
      <w:r>
        <w:t xml:space="preserve"> using the Bray-Curtis dissimilarity metric and eigenvector centrality values such that:</w:t>
      </w:r>
    </w:p>
    <w:p w14:paraId="59F8CF48" w14:textId="77777777" w:rsidR="00545250" w:rsidRDefault="00031049" w:rsidP="00031049">
      <w:pPr>
        <w:pStyle w:val="BodyText"/>
        <w:spacing w:line="480" w:lineRule="auto"/>
        <w:jc w:val="both"/>
      </w:pPr>
      <m:oMathPara>
        <m:oMathParaPr>
          <m:jc m:val="center"/>
        </m:oMathParaPr>
        <m:oMath>
          <m:r>
            <w:rPr>
              <w:rFonts w:ascii="Cambria Math" w:hAnsi="Cambria Math"/>
            </w:rPr>
            <m:t>B</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e>
          </m:d>
          <m:r>
            <w:rPr>
              <w:rFonts w:ascii="Cambria Math" w:hAnsi="Cambria Math"/>
            </w:rPr>
            <m:t>=1-</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ij</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den>
          </m:f>
        </m:oMath>
      </m:oMathPara>
    </w:p>
    <w:p w14:paraId="3934E1B6" w14:textId="77777777" w:rsidR="00545250" w:rsidRDefault="00031049" w:rsidP="00031049">
      <w:pPr>
        <w:pStyle w:val="BodyText"/>
        <w:spacing w:line="480" w:lineRule="auto"/>
        <w:jc w:val="both"/>
      </w:pPr>
      <w:r>
        <w:lastRenderedPageBreak/>
        <w:t xml:space="preserve">Where </w:t>
      </w:r>
      <m:oMath>
        <m:sSub>
          <m:sSubPr>
            <m:ctrlPr>
              <w:rPr>
                <w:rFonts w:ascii="Cambria Math" w:hAnsi="Cambria Math"/>
              </w:rPr>
            </m:ctrlPr>
          </m:sSubPr>
          <m:e>
            <m:r>
              <w:rPr>
                <w:rFonts w:ascii="Cambria Math" w:hAnsi="Cambria Math"/>
              </w:rPr>
              <m:t>C</m:t>
            </m:r>
          </m:e>
          <m:sub>
            <m:r>
              <w:rPr>
                <w:rFonts w:ascii="Cambria Math" w:hAnsi="Cambria Math"/>
              </w:rPr>
              <m:t>ij</m:t>
            </m:r>
          </m:sub>
        </m:sSub>
      </m:oMath>
      <w:r>
        <w:t xml:space="preserve"> is the sum of the lesser centrality values for those vertices shared between graphs, and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are the total number of vertices found in each graph. This allows us to calculate the dissimilarity between graphs based on the shared centrality values between the two graphs.</w:t>
      </w:r>
    </w:p>
    <w:p w14:paraId="3CC3D3D1" w14:textId="77777777" w:rsidR="00545250" w:rsidRDefault="00031049" w:rsidP="00031049">
      <w:pPr>
        <w:pStyle w:val="Heading2"/>
        <w:spacing w:line="480" w:lineRule="auto"/>
        <w:jc w:val="both"/>
      </w:pPr>
      <w:bookmarkStart w:id="26" w:name="statistics-and-comparisons"/>
      <w:bookmarkEnd w:id="26"/>
      <w:r>
        <w:t>Statistics and Comparisons</w:t>
      </w:r>
    </w:p>
    <w:p w14:paraId="3FA1C474" w14:textId="77777777" w:rsidR="00545250" w:rsidRDefault="00031049" w:rsidP="00031049">
      <w:pPr>
        <w:pStyle w:val="FirstParagraph"/>
        <w:spacing w:line="480" w:lineRule="auto"/>
        <w:jc w:val="both"/>
      </w:pPr>
      <w:r>
        <w:t>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14:paraId="3BFA7394" w14:textId="77777777" w:rsidR="00545250" w:rsidRDefault="00031049" w:rsidP="00031049">
      <w:pPr>
        <w:pStyle w:val="BodyText"/>
        <w:spacing w:line="480" w:lineRule="auto"/>
        <w:jc w:val="both"/>
      </w:pPr>
      <w:r>
        <w:t>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14:paraId="1230BBA7" w14:textId="77777777" w:rsidR="00545250" w:rsidRDefault="00031049" w:rsidP="00031049">
      <w:pPr>
        <w:pStyle w:val="Heading1"/>
        <w:spacing w:line="480" w:lineRule="auto"/>
        <w:jc w:val="both"/>
      </w:pPr>
      <w:bookmarkStart w:id="27" w:name="acknowledgments"/>
      <w:bookmarkEnd w:id="27"/>
      <w:r>
        <w:t>Acknowledgments</w:t>
      </w:r>
    </w:p>
    <w:p w14:paraId="729BA2B2" w14:textId="77777777" w:rsidR="00545250" w:rsidRDefault="00031049" w:rsidP="00031049">
      <w:pPr>
        <w:pStyle w:val="FirstParagraph"/>
        <w:spacing w:line="480" w:lineRule="auto"/>
        <w:jc w:val="both"/>
      </w:pPr>
      <w:r>
        <w:t>We thank the members of the Schloss lab for their underlying contributions.</w:t>
      </w:r>
    </w:p>
    <w:p w14:paraId="57BD8D3C" w14:textId="77777777" w:rsidR="00545250" w:rsidRDefault="00031049" w:rsidP="00031049">
      <w:pPr>
        <w:pStyle w:val="Heading1"/>
        <w:spacing w:line="480" w:lineRule="auto"/>
        <w:jc w:val="both"/>
      </w:pPr>
      <w:bookmarkStart w:id="28" w:name="funding-information"/>
      <w:bookmarkEnd w:id="28"/>
      <w:r>
        <w:lastRenderedPageBreak/>
        <w:t>Funding Information</w:t>
      </w:r>
    </w:p>
    <w:p w14:paraId="1DE01954" w14:textId="77777777" w:rsidR="00545250" w:rsidRDefault="00031049" w:rsidP="00031049">
      <w:pPr>
        <w:pStyle w:val="FirstParagraph"/>
        <w:spacing w:line="480" w:lineRule="auto"/>
        <w:jc w:val="both"/>
      </w:pPr>
      <w:r>
        <w:t>GDH was supported in part by the Molecular Mechanisms in Microbial Pathogenesis Training Program (T32 AI007528). GDH and PDS were supported in part by funding from the NIH (P30DK034933, U19AI09087, and U01AI124255).</w:t>
      </w:r>
    </w:p>
    <w:p w14:paraId="39387FE3" w14:textId="77777777" w:rsidR="00545250" w:rsidRDefault="00031049" w:rsidP="00031049">
      <w:pPr>
        <w:pStyle w:val="Heading1"/>
        <w:spacing w:line="480" w:lineRule="auto"/>
        <w:jc w:val="both"/>
      </w:pPr>
      <w:bookmarkStart w:id="29" w:name="disclosure-declaration"/>
      <w:bookmarkEnd w:id="29"/>
      <w:r>
        <w:t>Disclosure Declaration</w:t>
      </w:r>
    </w:p>
    <w:p w14:paraId="478EEF2C" w14:textId="77777777" w:rsidR="00545250" w:rsidRDefault="00031049" w:rsidP="00031049">
      <w:pPr>
        <w:pStyle w:val="FirstParagraph"/>
        <w:spacing w:line="480" w:lineRule="auto"/>
        <w:jc w:val="both"/>
      </w:pPr>
      <w:r>
        <w:t>The authors report no conflicts of interest.</w:t>
      </w:r>
    </w:p>
    <w:p w14:paraId="59B50F93" w14:textId="0509B2F5" w:rsidR="00545250" w:rsidRDefault="00F12DE1" w:rsidP="00F12DE1">
      <w:pPr>
        <w:pStyle w:val="Heading1"/>
        <w:spacing w:line="480" w:lineRule="auto"/>
        <w:jc w:val="both"/>
      </w:pPr>
      <w:bookmarkStart w:id="30" w:name="figures"/>
      <w:bookmarkEnd w:id="30"/>
      <w:r>
        <w:t>Figure Legends</w:t>
      </w:r>
    </w:p>
    <w:p w14:paraId="724F2A14" w14:textId="1FB1F5AB" w:rsidR="00545250" w:rsidRDefault="00F12DE1" w:rsidP="00F12DE1">
      <w:pPr>
        <w:pStyle w:val="ImageCaption"/>
        <w:spacing w:line="480" w:lineRule="auto"/>
        <w:jc w:val="both"/>
      </w:pPr>
      <w:r>
        <w:rPr>
          <w:b/>
        </w:rPr>
        <w:t xml:space="preserve">Figure 1. </w:t>
      </w:r>
      <w:proofErr w:type="gramStart"/>
      <w:r w:rsidR="00031049">
        <w:rPr>
          <w:b/>
        </w:rPr>
        <w:t>Summary of Multi-Study Network Model.</w:t>
      </w:r>
      <w:proofErr w:type="gramEnd"/>
      <w:r w:rsidR="00031049">
        <w:t xml:space="preserve"> (A)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(C) Proportions of samples included (gray) and excluded (red) in the model. Samples were excluded from the model because they did not yield any scores. Those interactions without scores were defined as not having interactions. (D) Bipartite visualization of the resulting phage-bacteria network. This network includes information from all three published studies. (E) Network diameter (measure of graph size; the greatest number of traversed vertices required between two vertices), (F) number of vertices, and (G) number of edges (relationships) for the total network (yellow) and the individual study sub-networks (diet study = red, skin study = green, twin study = orange). </w:t>
      </w:r>
    </w:p>
    <w:p w14:paraId="6162F821" w14:textId="77777777" w:rsidR="00F12DE1" w:rsidRDefault="00F12DE1" w:rsidP="00F12DE1">
      <w:pPr>
        <w:pStyle w:val="ImageCaption"/>
        <w:spacing w:line="480" w:lineRule="auto"/>
        <w:jc w:val="both"/>
      </w:pPr>
    </w:p>
    <w:p w14:paraId="620E32DB" w14:textId="5E0A42DA" w:rsidR="00545250" w:rsidRDefault="00F12DE1" w:rsidP="00031049">
      <w:pPr>
        <w:pStyle w:val="ImageCaption"/>
        <w:spacing w:line="480" w:lineRule="auto"/>
        <w:jc w:val="both"/>
      </w:pPr>
      <w:r>
        <w:rPr>
          <w:b/>
        </w:rPr>
        <w:t xml:space="preserve">Figure 2. </w:t>
      </w:r>
      <w:proofErr w:type="gramStart"/>
      <w:r w:rsidR="00031049">
        <w:rPr>
          <w:b/>
        </w:rPr>
        <w:t>Impact of Diet and Obesity on Gut Network Structure.</w:t>
      </w:r>
      <w:proofErr w:type="gramEnd"/>
      <w:r w:rsidR="00031049">
        <w:t xml:space="preserve"> (A) Quantification of average degree centrality (number of edges per node) and (B) closeness centrality (average distance from each node to every other node) of gut microbiome networks of subjects limited to exclusively high-fat or low-fat diets. Lines represent the mean degree of centrality for each diet. (C) Quantification of average degree centrality and (D) closeness centrality between obese and healthy adult women.</w:t>
      </w:r>
    </w:p>
    <w:p w14:paraId="55C1E37C" w14:textId="063C8A72" w:rsidR="00545250" w:rsidRDefault="00545250" w:rsidP="00031049">
      <w:pPr>
        <w:pStyle w:val="FigurewithCaption"/>
        <w:spacing w:line="480" w:lineRule="auto"/>
        <w:jc w:val="both"/>
      </w:pPr>
    </w:p>
    <w:p w14:paraId="0A40E36B" w14:textId="66C745AA" w:rsidR="00545250" w:rsidRDefault="00F12DE1" w:rsidP="00031049">
      <w:pPr>
        <w:pStyle w:val="ImageCaption"/>
        <w:spacing w:line="480" w:lineRule="auto"/>
        <w:jc w:val="both"/>
      </w:pPr>
      <w:r>
        <w:rPr>
          <w:b/>
        </w:rPr>
        <w:t xml:space="preserve">Figure 3. </w:t>
      </w:r>
      <w:proofErr w:type="gramStart"/>
      <w:r w:rsidR="00031049">
        <w:rPr>
          <w:b/>
        </w:rPr>
        <w:t>Intrapersonal vs Interpersonal Network Dissimilarity Across Different Human Systems.</w:t>
      </w:r>
      <w:proofErr w:type="gramEnd"/>
      <w:r w:rsidR="00031049">
        <w:t xml:space="preserve"> (A) NMDS ordination illustrating network dissimilarity between subjects over time. Each sample is colored by subject, with each sample pair collected 8-10 days apart. Dissimilarity was calculated using the Bray-Curtis metric based on abundance weighted eigenvector centrality signatures, with a greater distance representing greater dissimilarity in bacteria and phage centrality and abundance. (B) Quantification of gut network dissimilarity within the same subject over time (intrapersonal) and the mean dissimilarity between the subject of interest and all other subjects (interpersonal). The p-value is also provided. (C) Quantification of gut network dissimilarity within subjects from the same family (intrafamily) and the mean dissimilarity between subjects within a family and those of other families (interfamily). The p-value is also provided. (D) Quantification of skin network dissimilarity within the same subject and anatomical location over time (intrapersonal) and the mean dissimilarity between the subject of interest and all other subjects at the same time </w:t>
      </w:r>
      <w:r w:rsidR="00031049">
        <w:lastRenderedPageBreak/>
        <w:t>and the same anatomical location (interpersonal). P-value was calculated using a paired Wilcoxon test.</w:t>
      </w:r>
    </w:p>
    <w:p w14:paraId="76612B67" w14:textId="3584575C" w:rsidR="00545250" w:rsidRDefault="00545250" w:rsidP="00031049">
      <w:pPr>
        <w:pStyle w:val="FigurewithCaption"/>
        <w:spacing w:line="480" w:lineRule="auto"/>
        <w:jc w:val="both"/>
      </w:pPr>
    </w:p>
    <w:p w14:paraId="08CAFCB7" w14:textId="306D1F5A" w:rsidR="00545250" w:rsidRDefault="00F12DE1" w:rsidP="00031049">
      <w:pPr>
        <w:pStyle w:val="ImageCaption"/>
        <w:spacing w:line="480" w:lineRule="auto"/>
        <w:jc w:val="both"/>
      </w:pPr>
      <w:r>
        <w:rPr>
          <w:b/>
        </w:rPr>
        <w:t xml:space="preserve">Figure 4. </w:t>
      </w:r>
      <w:r w:rsidR="00031049">
        <w:rPr>
          <w:b/>
        </w:rPr>
        <w:t xml:space="preserve">Impact of Skin </w:t>
      </w:r>
      <w:proofErr w:type="gramStart"/>
      <w:r w:rsidR="00031049">
        <w:rPr>
          <w:b/>
        </w:rPr>
        <w:t>Micro-Environment</w:t>
      </w:r>
      <w:proofErr w:type="gramEnd"/>
      <w:r w:rsidR="00031049">
        <w:rPr>
          <w:b/>
        </w:rPr>
        <w:t xml:space="preserve"> on Microbiome Network Structure.</w:t>
      </w:r>
      <w:r w:rsidR="00031049">
        <w:t xml:space="preserve"> (A)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(C) NMDS ordination depicting the differences in skin microbiome network structure between skin moisture levels and (D) occlusion. Samples are colored by their environment and their dissimilarity to other samples was calculated as described in figure .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14:paraId="319ABA6C" w14:textId="77777777" w:rsidR="00F12DE1" w:rsidRDefault="00F12DE1" w:rsidP="00031049">
      <w:pPr>
        <w:pStyle w:val="ImageCaption"/>
        <w:spacing w:line="480" w:lineRule="auto"/>
        <w:jc w:val="both"/>
      </w:pPr>
    </w:p>
    <w:p w14:paraId="7CBC5BBD" w14:textId="77777777" w:rsidR="00545250" w:rsidRDefault="00031049" w:rsidP="00031049">
      <w:pPr>
        <w:pStyle w:val="Heading1"/>
        <w:spacing w:line="480" w:lineRule="auto"/>
        <w:jc w:val="both"/>
      </w:pPr>
      <w:bookmarkStart w:id="31" w:name="supplemental-figures"/>
      <w:bookmarkStart w:id="32" w:name="references"/>
      <w:bookmarkEnd w:id="31"/>
      <w:bookmarkEnd w:id="32"/>
      <w:r>
        <w:lastRenderedPageBreak/>
        <w:t>References</w:t>
      </w:r>
    </w:p>
    <w:p w14:paraId="611868AE" w14:textId="77777777" w:rsidR="00545250" w:rsidRDefault="00031049" w:rsidP="00031049">
      <w:pPr>
        <w:pStyle w:val="Bibliography"/>
        <w:spacing w:line="480" w:lineRule="auto"/>
        <w:jc w:val="both"/>
      </w:pPr>
      <w:r>
        <w:t xml:space="preserve">1. </w:t>
      </w:r>
      <w:r>
        <w:rPr>
          <w:b/>
        </w:rPr>
        <w:t>Hannigan GD</w:t>
      </w:r>
      <w:r>
        <w:t xml:space="preserve">, </w:t>
      </w:r>
      <w:r>
        <w:rPr>
          <w:b/>
        </w:rPr>
        <w:t>Grice EA</w:t>
      </w:r>
      <w:r>
        <w:t xml:space="preserve">. 2013. Microbial Ecology of the Skin in the Era of Metagenomics and Molecular Microbiology. Cold Spring Harbor Perspectives in Medicine </w:t>
      </w:r>
      <w:r>
        <w:rPr>
          <w:b/>
        </w:rPr>
        <w:t>3</w:t>
      </w:r>
      <w:r>
        <w:t>:a015362–a015362.</w:t>
      </w:r>
    </w:p>
    <w:p w14:paraId="0074C158" w14:textId="77777777" w:rsidR="00545250" w:rsidRDefault="00031049" w:rsidP="00031049">
      <w:pPr>
        <w:pStyle w:val="Bibliography"/>
        <w:spacing w:line="480" w:lineRule="auto"/>
        <w:jc w:val="both"/>
      </w:pPr>
      <w:r>
        <w:t xml:space="preserve">2. </w:t>
      </w:r>
      <w:r>
        <w:rPr>
          <w:b/>
        </w:rPr>
        <w:t>Hannigan GD</w:t>
      </w:r>
      <w:r>
        <w:t xml:space="preserve">, </w:t>
      </w:r>
      <w:r>
        <w:rPr>
          <w:b/>
        </w:rPr>
        <w:t>Hodkinson BP</w:t>
      </w:r>
      <w:r>
        <w:t xml:space="preserve">, </w:t>
      </w:r>
      <w:r>
        <w:rPr>
          <w:b/>
        </w:rPr>
        <w:t>McGinnis K</w:t>
      </w:r>
      <w:r>
        <w:t xml:space="preserve">, </w:t>
      </w:r>
      <w:r>
        <w:rPr>
          <w:b/>
        </w:rPr>
        <w:t>Tyldsley AS</w:t>
      </w:r>
      <w:r>
        <w:t xml:space="preserve">, </w:t>
      </w:r>
      <w:r>
        <w:rPr>
          <w:b/>
        </w:rPr>
        <w:t>Anari JB</w:t>
      </w:r>
      <w:r>
        <w:t xml:space="preserve">, </w:t>
      </w:r>
      <w:r>
        <w:rPr>
          <w:b/>
        </w:rPr>
        <w:t>Horan AD</w:t>
      </w:r>
      <w:r>
        <w:t xml:space="preserve">, </w:t>
      </w:r>
      <w:r>
        <w:rPr>
          <w:b/>
        </w:rPr>
        <w:t>Grice EA</w:t>
      </w:r>
      <w:r>
        <w:t xml:space="preserve">, </w:t>
      </w:r>
      <w:r>
        <w:rPr>
          <w:b/>
        </w:rPr>
        <w:t>Mehta S</w:t>
      </w:r>
      <w:r>
        <w:t>. 2014. Culture-independent pilot study o</w:t>
      </w:r>
      <w:bookmarkStart w:id="33" w:name="_GoBack"/>
      <w:bookmarkEnd w:id="33"/>
      <w:r>
        <w:t xml:space="preserve">f microbiota colonizing open fractures and association with severity, mechanism, location, and complication from presentation to early outpatient follow-up. Journal of Orthopaedic Research </w:t>
      </w:r>
      <w:r>
        <w:rPr>
          <w:b/>
        </w:rPr>
        <w:t>32</w:t>
      </w:r>
      <w:r>
        <w:t>:597–605.</w:t>
      </w:r>
    </w:p>
    <w:p w14:paraId="1A29F030" w14:textId="77777777" w:rsidR="00545250" w:rsidRDefault="00031049" w:rsidP="00031049">
      <w:pPr>
        <w:pStyle w:val="Bibliography"/>
        <w:spacing w:line="480" w:lineRule="auto"/>
        <w:jc w:val="both"/>
      </w:pPr>
      <w:r>
        <w:t xml:space="preserve">3. </w:t>
      </w:r>
      <w:r>
        <w:rPr>
          <w:b/>
        </w:rPr>
        <w:t>Loesche M</w:t>
      </w:r>
      <w:r>
        <w:t xml:space="preserve">, </w:t>
      </w:r>
      <w:r>
        <w:rPr>
          <w:b/>
        </w:rPr>
        <w:t>Gardner SE</w:t>
      </w:r>
      <w:r>
        <w:t xml:space="preserve">, </w:t>
      </w:r>
      <w:r>
        <w:rPr>
          <w:b/>
        </w:rPr>
        <w:t>Kalan L</w:t>
      </w:r>
      <w:r>
        <w:t xml:space="preserve">, </w:t>
      </w:r>
      <w:r>
        <w:rPr>
          <w:b/>
        </w:rPr>
        <w:t>Horwinski J</w:t>
      </w:r>
      <w:r>
        <w:t xml:space="preserve">, </w:t>
      </w:r>
      <w:r>
        <w:rPr>
          <w:b/>
        </w:rPr>
        <w:t>Zheng Q</w:t>
      </w:r>
      <w:r>
        <w:t xml:space="preserve">, </w:t>
      </w:r>
      <w:r>
        <w:rPr>
          <w:b/>
        </w:rPr>
        <w:t>Hodkinson BP</w:t>
      </w:r>
      <w:r>
        <w:t xml:space="preserve">, </w:t>
      </w:r>
      <w:r>
        <w:rPr>
          <w:b/>
        </w:rPr>
        <w:t>Tyldsley AS</w:t>
      </w:r>
      <w:r>
        <w:t xml:space="preserve">, </w:t>
      </w:r>
      <w:r>
        <w:rPr>
          <w:b/>
        </w:rPr>
        <w:t>Franciscus CL</w:t>
      </w:r>
      <w:r>
        <w:t xml:space="preserve">, </w:t>
      </w:r>
      <w:r>
        <w:rPr>
          <w:b/>
        </w:rPr>
        <w:t>Hillis SL</w:t>
      </w:r>
      <w:r>
        <w:t xml:space="preserve">, </w:t>
      </w:r>
      <w:r>
        <w:rPr>
          <w:b/>
        </w:rPr>
        <w:t>Mehta S</w:t>
      </w:r>
      <w:r>
        <w:t xml:space="preserve">, </w:t>
      </w:r>
      <w:r>
        <w:rPr>
          <w:b/>
        </w:rPr>
        <w:t>Margolis DJ</w:t>
      </w:r>
      <w:r>
        <w:t xml:space="preserve">, </w:t>
      </w:r>
      <w:r>
        <w:rPr>
          <w:b/>
        </w:rPr>
        <w:t>Grice EA</w:t>
      </w:r>
      <w:r>
        <w:t>. 2016. Temporal stability in chronic wound microbiota is associated with poor healing. Journal of Investigative Dermatology.</w:t>
      </w:r>
    </w:p>
    <w:p w14:paraId="55F02326" w14:textId="77777777" w:rsidR="00545250" w:rsidRDefault="00031049" w:rsidP="00031049">
      <w:pPr>
        <w:pStyle w:val="Bibliography"/>
        <w:spacing w:line="480" w:lineRule="auto"/>
        <w:jc w:val="both"/>
      </w:pPr>
      <w:r>
        <w:t xml:space="preserve">4. </w:t>
      </w:r>
      <w:r>
        <w:rPr>
          <w:b/>
        </w:rPr>
        <w:t>He Q</w:t>
      </w:r>
      <w:r>
        <w:t xml:space="preserve">, </w:t>
      </w:r>
      <w:r>
        <w:rPr>
          <w:b/>
        </w:rPr>
        <w:t>Li X</w:t>
      </w:r>
      <w:r>
        <w:t xml:space="preserve">, </w:t>
      </w:r>
      <w:r>
        <w:rPr>
          <w:b/>
        </w:rPr>
        <w:t>Liu C</w:t>
      </w:r>
      <w:r>
        <w:t xml:space="preserve">, </w:t>
      </w:r>
      <w:r>
        <w:rPr>
          <w:b/>
        </w:rPr>
        <w:t>Su L</w:t>
      </w:r>
      <w:r>
        <w:t xml:space="preserve">, </w:t>
      </w:r>
      <w:r>
        <w:rPr>
          <w:b/>
        </w:rPr>
        <w:t>Xia Z</w:t>
      </w:r>
      <w:r>
        <w:t xml:space="preserve">, </w:t>
      </w:r>
      <w:r>
        <w:rPr>
          <w:b/>
        </w:rPr>
        <w:t>Li X</w:t>
      </w:r>
      <w:r>
        <w:t xml:space="preserve">, </w:t>
      </w:r>
      <w:r>
        <w:rPr>
          <w:b/>
        </w:rPr>
        <w:t>Li Y</w:t>
      </w:r>
      <w:r>
        <w:t xml:space="preserve">, </w:t>
      </w:r>
      <w:r>
        <w:rPr>
          <w:b/>
        </w:rPr>
        <w:t>Li L</w:t>
      </w:r>
      <w:r>
        <w:t xml:space="preserve">, </w:t>
      </w:r>
      <w:r>
        <w:rPr>
          <w:b/>
        </w:rPr>
        <w:t>Yan T</w:t>
      </w:r>
      <w:r>
        <w:t xml:space="preserve">, </w:t>
      </w:r>
      <w:r>
        <w:rPr>
          <w:b/>
        </w:rPr>
        <w:t>Feng Q</w:t>
      </w:r>
      <w:r>
        <w:t xml:space="preserve">, </w:t>
      </w:r>
      <w:r>
        <w:rPr>
          <w:b/>
        </w:rPr>
        <w:t>Xiao L</w:t>
      </w:r>
      <w:r>
        <w:t>. 2016. Dysbiosis of the fecal microbiota in the TNBS-induced Crohn’s disease mouse model. Applied Microbiology and Biotechnology 1–10.</w:t>
      </w:r>
    </w:p>
    <w:p w14:paraId="7881599B" w14:textId="77777777" w:rsidR="00545250" w:rsidRDefault="00031049" w:rsidP="00031049">
      <w:pPr>
        <w:pStyle w:val="Bibliography"/>
        <w:spacing w:line="480" w:lineRule="auto"/>
        <w:jc w:val="both"/>
      </w:pPr>
      <w:r>
        <w:t xml:space="preserve">5. </w:t>
      </w:r>
      <w:r>
        <w:rPr>
          <w:b/>
        </w:rPr>
        <w:t>Norman JM</w:t>
      </w:r>
      <w:r>
        <w:t xml:space="preserve">, </w:t>
      </w:r>
      <w:r>
        <w:rPr>
          <w:b/>
        </w:rPr>
        <w:t>Handley SA</w:t>
      </w:r>
      <w:r>
        <w:t xml:space="preserve">, </w:t>
      </w:r>
      <w:r>
        <w:rPr>
          <w:b/>
        </w:rPr>
        <w:t>Baldridge MT</w:t>
      </w:r>
      <w:r>
        <w:t xml:space="preserve">, </w:t>
      </w:r>
      <w:r>
        <w:rPr>
          <w:b/>
        </w:rPr>
        <w:t>Droit L</w:t>
      </w:r>
      <w:r>
        <w:t xml:space="preserve">, </w:t>
      </w:r>
      <w:r>
        <w:rPr>
          <w:b/>
        </w:rPr>
        <w:t>Liu CY</w:t>
      </w:r>
      <w:r>
        <w:t xml:space="preserve">, </w:t>
      </w:r>
      <w:r>
        <w:rPr>
          <w:b/>
        </w:rPr>
        <w:t>Keller BC</w:t>
      </w:r>
      <w:r>
        <w:t xml:space="preserve">, </w:t>
      </w:r>
      <w:r>
        <w:rPr>
          <w:b/>
        </w:rPr>
        <w:t>Kambal A</w:t>
      </w:r>
      <w:r>
        <w:t xml:space="preserve">, </w:t>
      </w:r>
      <w:r>
        <w:rPr>
          <w:b/>
        </w:rPr>
        <w:t>Monaco CL</w:t>
      </w:r>
      <w:r>
        <w:t xml:space="preserve">, </w:t>
      </w:r>
      <w:r>
        <w:rPr>
          <w:b/>
        </w:rPr>
        <w:t>Zhao G</w:t>
      </w:r>
      <w:r>
        <w:t xml:space="preserve">, </w:t>
      </w:r>
      <w:r>
        <w:rPr>
          <w:b/>
        </w:rPr>
        <w:t>Fleshner P</w:t>
      </w:r>
      <w:r>
        <w:t xml:space="preserve">, </w:t>
      </w:r>
      <w:r>
        <w:rPr>
          <w:b/>
        </w:rPr>
        <w:t>Stappenbeck TS</w:t>
      </w:r>
      <w:r>
        <w:t xml:space="preserve">, </w:t>
      </w:r>
      <w:r>
        <w:rPr>
          <w:b/>
        </w:rPr>
        <w:t>McGovern DPB</w:t>
      </w:r>
      <w:r>
        <w:t xml:space="preserve">, </w:t>
      </w:r>
      <w:r>
        <w:rPr>
          <w:b/>
        </w:rPr>
        <w:t>Keshavarzian A</w:t>
      </w:r>
      <w:r>
        <w:t xml:space="preserve">, </w:t>
      </w:r>
      <w:r>
        <w:rPr>
          <w:b/>
        </w:rPr>
        <w:t>Mutlu EA</w:t>
      </w:r>
      <w:r>
        <w:t xml:space="preserve">, </w:t>
      </w:r>
      <w:r>
        <w:rPr>
          <w:b/>
        </w:rPr>
        <w:t>Sauk J</w:t>
      </w:r>
      <w:r>
        <w:t xml:space="preserve">, </w:t>
      </w:r>
      <w:r>
        <w:rPr>
          <w:b/>
        </w:rPr>
        <w:t>Gevers D</w:t>
      </w:r>
      <w:r>
        <w:t xml:space="preserve">, </w:t>
      </w:r>
      <w:r>
        <w:rPr>
          <w:b/>
        </w:rPr>
        <w:t>Xavier RJ</w:t>
      </w:r>
      <w:r>
        <w:t xml:space="preserve">, </w:t>
      </w:r>
      <w:r>
        <w:rPr>
          <w:b/>
        </w:rPr>
        <w:t>Wang D</w:t>
      </w:r>
      <w:r>
        <w:t xml:space="preserve">, </w:t>
      </w:r>
      <w:r>
        <w:rPr>
          <w:b/>
        </w:rPr>
        <w:t>Parkes M</w:t>
      </w:r>
      <w:r>
        <w:t xml:space="preserve">, </w:t>
      </w:r>
      <w:r>
        <w:rPr>
          <w:b/>
        </w:rPr>
        <w:t>Virgin HW</w:t>
      </w:r>
      <w:r>
        <w:t xml:space="preserve">. 2015. Disease-specific alterations in the enteric virome in inflammatory bowel disease. Cell </w:t>
      </w:r>
      <w:r>
        <w:rPr>
          <w:b/>
        </w:rPr>
        <w:t>160</w:t>
      </w:r>
      <w:r>
        <w:t>:447–460.</w:t>
      </w:r>
    </w:p>
    <w:p w14:paraId="15578DF1" w14:textId="77777777" w:rsidR="00545250" w:rsidRDefault="00031049" w:rsidP="00031049">
      <w:pPr>
        <w:pStyle w:val="Bibliography"/>
        <w:spacing w:line="480" w:lineRule="auto"/>
        <w:jc w:val="both"/>
      </w:pPr>
      <w:r>
        <w:lastRenderedPageBreak/>
        <w:t xml:space="preserve">6. </w:t>
      </w:r>
      <w:r>
        <w:rPr>
          <w:b/>
        </w:rPr>
        <w:t>Seekatz AM</w:t>
      </w:r>
      <w:r>
        <w:t xml:space="preserve">, </w:t>
      </w:r>
      <w:r>
        <w:rPr>
          <w:b/>
        </w:rPr>
        <w:t>Rao K</w:t>
      </w:r>
      <w:r>
        <w:t xml:space="preserve">, </w:t>
      </w:r>
      <w:r>
        <w:rPr>
          <w:b/>
        </w:rPr>
        <w:t>Santhosh K</w:t>
      </w:r>
      <w:r>
        <w:t xml:space="preserve">, </w:t>
      </w:r>
      <w:r>
        <w:rPr>
          <w:b/>
        </w:rPr>
        <w:t>Young VB</w:t>
      </w:r>
      <w:r>
        <w:t xml:space="preserve">. 2016. Dynamics of the fecal microbiome in patients with recurrent and nonrecurrent Clostridium difficile infection. Genome medicine </w:t>
      </w:r>
      <w:r>
        <w:rPr>
          <w:b/>
        </w:rPr>
        <w:t>8</w:t>
      </w:r>
      <w:r>
        <w:t>:47.</w:t>
      </w:r>
    </w:p>
    <w:p w14:paraId="5AED0920" w14:textId="77777777" w:rsidR="00545250" w:rsidRDefault="00031049" w:rsidP="00031049">
      <w:pPr>
        <w:pStyle w:val="Bibliography"/>
        <w:spacing w:line="480" w:lineRule="auto"/>
        <w:jc w:val="both"/>
      </w:pPr>
      <w:r>
        <w:t xml:space="preserve">7. </w:t>
      </w:r>
      <w:r>
        <w:rPr>
          <w:b/>
        </w:rPr>
        <w:t>Zackular JP</w:t>
      </w:r>
      <w:r>
        <w:t xml:space="preserve">, </w:t>
      </w:r>
      <w:r>
        <w:rPr>
          <w:b/>
        </w:rPr>
        <w:t>Rogers MAM</w:t>
      </w:r>
      <w:r>
        <w:t xml:space="preserve">, </w:t>
      </w:r>
      <w:r>
        <w:rPr>
          <w:b/>
        </w:rPr>
        <w:t>Ruffin MT</w:t>
      </w:r>
      <w:r>
        <w:t xml:space="preserve">, </w:t>
      </w:r>
      <w:r>
        <w:rPr>
          <w:b/>
        </w:rPr>
        <w:t>Schloss PD</w:t>
      </w:r>
      <w:r>
        <w:t xml:space="preserve">. 2014. The human gut microbiome as a screening tool for colorectal cancer. Cancer prevention research (Philadelphia, Pa) </w:t>
      </w:r>
      <w:r>
        <w:rPr>
          <w:b/>
        </w:rPr>
        <w:t>7</w:t>
      </w:r>
      <w:r>
        <w:t>:1112–1121.</w:t>
      </w:r>
    </w:p>
    <w:p w14:paraId="528401C4" w14:textId="77777777" w:rsidR="00545250" w:rsidRDefault="00031049" w:rsidP="00031049">
      <w:pPr>
        <w:pStyle w:val="Bibliography"/>
        <w:spacing w:line="480" w:lineRule="auto"/>
        <w:jc w:val="both"/>
      </w:pPr>
      <w:r>
        <w:t xml:space="preserve">8. </w:t>
      </w:r>
      <w:r>
        <w:rPr>
          <w:b/>
        </w:rPr>
        <w:t>Baxter NT</w:t>
      </w:r>
      <w:r>
        <w:t xml:space="preserve">, </w:t>
      </w:r>
      <w:r>
        <w:rPr>
          <w:b/>
        </w:rPr>
        <w:t>Zackular JP</w:t>
      </w:r>
      <w:r>
        <w:t xml:space="preserve">, </w:t>
      </w:r>
      <w:r>
        <w:rPr>
          <w:b/>
        </w:rPr>
        <w:t>Chen GY</w:t>
      </w:r>
      <w:r>
        <w:t xml:space="preserve">, </w:t>
      </w:r>
      <w:r>
        <w:rPr>
          <w:b/>
        </w:rPr>
        <w:t>Schloss PD</w:t>
      </w:r>
      <w:r>
        <w:t xml:space="preserve">. 2014. Structure of the gut microbiome following colonization with human feces determines colonic tumor burden. Microbiome </w:t>
      </w:r>
      <w:r>
        <w:rPr>
          <w:b/>
        </w:rPr>
        <w:t>2</w:t>
      </w:r>
      <w:r>
        <w:t>:20.</w:t>
      </w:r>
    </w:p>
    <w:p w14:paraId="2D44A0AF" w14:textId="77777777" w:rsidR="00545250" w:rsidRDefault="00031049" w:rsidP="00031049">
      <w:pPr>
        <w:pStyle w:val="Bibliography"/>
        <w:spacing w:line="480" w:lineRule="auto"/>
        <w:jc w:val="both"/>
      </w:pPr>
      <w:r>
        <w:t xml:space="preserve">9. </w:t>
      </w:r>
      <w:r>
        <w:rPr>
          <w:b/>
        </w:rPr>
        <w:t>Manrique P</w:t>
      </w:r>
      <w:r>
        <w:t xml:space="preserve">, </w:t>
      </w:r>
      <w:r>
        <w:rPr>
          <w:b/>
        </w:rPr>
        <w:t>Bolduc B</w:t>
      </w:r>
      <w:r>
        <w:t xml:space="preserve">, </w:t>
      </w:r>
      <w:r>
        <w:rPr>
          <w:b/>
        </w:rPr>
        <w:t>Walk ST</w:t>
      </w:r>
      <w:r>
        <w:t xml:space="preserve">, </w:t>
      </w:r>
      <w:r>
        <w:rPr>
          <w:b/>
        </w:rPr>
        <w:t>Oost J van der</w:t>
      </w:r>
      <w:r>
        <w:t xml:space="preserve">, </w:t>
      </w:r>
      <w:r>
        <w:rPr>
          <w:b/>
        </w:rPr>
        <w:t>Vos WM de</w:t>
      </w:r>
      <w:r>
        <w:t xml:space="preserve">, </w:t>
      </w:r>
      <w:r>
        <w:rPr>
          <w:b/>
        </w:rPr>
        <w:t>Young MJ</w:t>
      </w:r>
      <w:r>
        <w:t>. 2016. Healthy human gut phageome. Proceedings of the National Academy of Sciences of the United States of America 201601060.</w:t>
      </w:r>
    </w:p>
    <w:p w14:paraId="3CD5234E" w14:textId="77777777" w:rsidR="00545250" w:rsidRDefault="00031049" w:rsidP="00031049">
      <w:pPr>
        <w:pStyle w:val="Bibliography"/>
        <w:spacing w:line="480" w:lineRule="auto"/>
        <w:jc w:val="both"/>
      </w:pPr>
      <w:r>
        <w:t xml:space="preserve">10. </w:t>
      </w:r>
      <w:r>
        <w:rPr>
          <w:b/>
        </w:rPr>
        <w:t>Ly M</w:t>
      </w:r>
      <w:r>
        <w:t xml:space="preserve">, </w:t>
      </w:r>
      <w:r>
        <w:rPr>
          <w:b/>
        </w:rPr>
        <w:t>Abeles SR</w:t>
      </w:r>
      <w:r>
        <w:t xml:space="preserve">, </w:t>
      </w:r>
      <w:r>
        <w:rPr>
          <w:b/>
        </w:rPr>
        <w:t>Boehm TK</w:t>
      </w:r>
      <w:r>
        <w:t xml:space="preserve">, </w:t>
      </w:r>
      <w:r>
        <w:rPr>
          <w:b/>
        </w:rPr>
        <w:t>Robles-Sikisaka R</w:t>
      </w:r>
      <w:r>
        <w:t xml:space="preserve">, </w:t>
      </w:r>
      <w:r>
        <w:rPr>
          <w:b/>
        </w:rPr>
        <w:t>Naidu M</w:t>
      </w:r>
      <w:r>
        <w:t xml:space="preserve">, </w:t>
      </w:r>
      <w:r>
        <w:rPr>
          <w:b/>
        </w:rPr>
        <w:t>Santiago-Rodriguez T</w:t>
      </w:r>
      <w:r>
        <w:t xml:space="preserve">, </w:t>
      </w:r>
      <w:r>
        <w:rPr>
          <w:b/>
        </w:rPr>
        <w:t>Pride DT</w:t>
      </w:r>
      <w:r>
        <w:t xml:space="preserve">. 2014. Altered Oral Viral Ecology in Association with Periodontal Disease. mBio </w:t>
      </w:r>
      <w:r>
        <w:rPr>
          <w:b/>
        </w:rPr>
        <w:t>5</w:t>
      </w:r>
      <w:r>
        <w:t>:e01133–14–e01133–14.</w:t>
      </w:r>
    </w:p>
    <w:p w14:paraId="57B836FC" w14:textId="77777777" w:rsidR="00545250" w:rsidRDefault="00031049" w:rsidP="00031049">
      <w:pPr>
        <w:pStyle w:val="Bibliography"/>
        <w:spacing w:line="480" w:lineRule="auto"/>
        <w:jc w:val="both"/>
      </w:pPr>
      <w:r>
        <w:t xml:space="preserve">11. </w:t>
      </w:r>
      <w:r>
        <w:rPr>
          <w:b/>
        </w:rPr>
        <w:t>Modi SR</w:t>
      </w:r>
      <w:r>
        <w:t xml:space="preserve">, </w:t>
      </w:r>
      <w:r>
        <w:rPr>
          <w:b/>
        </w:rPr>
        <w:t>Lee HH</w:t>
      </w:r>
      <w:r>
        <w:t xml:space="preserve">, </w:t>
      </w:r>
      <w:r>
        <w:rPr>
          <w:b/>
        </w:rPr>
        <w:t>Spina CS</w:t>
      </w:r>
      <w:r>
        <w:t xml:space="preserve">, </w:t>
      </w:r>
      <w:r>
        <w:rPr>
          <w:b/>
        </w:rPr>
        <w:t>Collins JJ</w:t>
      </w:r>
      <w:r>
        <w:t xml:space="preserve">. 2013. Antibiotic treatment expands the resistance reservoir and ecological network of the phage metagenome. Nature </w:t>
      </w:r>
      <w:r>
        <w:rPr>
          <w:b/>
        </w:rPr>
        <w:t>499</w:t>
      </w:r>
      <w:r>
        <w:t>:219–222.</w:t>
      </w:r>
    </w:p>
    <w:p w14:paraId="51223E9B" w14:textId="77777777" w:rsidR="00545250" w:rsidRDefault="00031049" w:rsidP="00031049">
      <w:pPr>
        <w:pStyle w:val="Bibliography"/>
        <w:spacing w:line="480" w:lineRule="auto"/>
        <w:jc w:val="both"/>
      </w:pPr>
      <w:r>
        <w:t xml:space="preserve">12. </w:t>
      </w:r>
      <w:r>
        <w:rPr>
          <w:b/>
        </w:rPr>
        <w:t>Monaco CL</w:t>
      </w:r>
      <w:r>
        <w:t xml:space="preserve">, </w:t>
      </w:r>
      <w:r>
        <w:rPr>
          <w:b/>
        </w:rPr>
        <w:t>Gootenberg DB</w:t>
      </w:r>
      <w:r>
        <w:t xml:space="preserve">, </w:t>
      </w:r>
      <w:r>
        <w:rPr>
          <w:b/>
        </w:rPr>
        <w:t>Zhao G</w:t>
      </w:r>
      <w:r>
        <w:t xml:space="preserve">, </w:t>
      </w:r>
      <w:r>
        <w:rPr>
          <w:b/>
        </w:rPr>
        <w:t>Handley SA</w:t>
      </w:r>
      <w:r>
        <w:t xml:space="preserve">, </w:t>
      </w:r>
      <w:r>
        <w:rPr>
          <w:b/>
        </w:rPr>
        <w:t>Ghebremichael MS</w:t>
      </w:r>
      <w:r>
        <w:t xml:space="preserve">, </w:t>
      </w:r>
      <w:r>
        <w:rPr>
          <w:b/>
        </w:rPr>
        <w:t>Lim ES</w:t>
      </w:r>
      <w:r>
        <w:t xml:space="preserve">, </w:t>
      </w:r>
      <w:r>
        <w:rPr>
          <w:b/>
        </w:rPr>
        <w:t>Lankowski A</w:t>
      </w:r>
      <w:r>
        <w:t xml:space="preserve">, </w:t>
      </w:r>
      <w:r>
        <w:rPr>
          <w:b/>
        </w:rPr>
        <w:t>Baldridge MT</w:t>
      </w:r>
      <w:r>
        <w:t xml:space="preserve">, </w:t>
      </w:r>
      <w:r>
        <w:rPr>
          <w:b/>
        </w:rPr>
        <w:t>Wilen CB</w:t>
      </w:r>
      <w:r>
        <w:t xml:space="preserve">, </w:t>
      </w:r>
      <w:r>
        <w:rPr>
          <w:b/>
        </w:rPr>
        <w:t>Flagg M</w:t>
      </w:r>
      <w:r>
        <w:t xml:space="preserve">, </w:t>
      </w:r>
      <w:r>
        <w:rPr>
          <w:b/>
        </w:rPr>
        <w:t>Norman JM</w:t>
      </w:r>
      <w:r>
        <w:t xml:space="preserve">, </w:t>
      </w:r>
      <w:r>
        <w:rPr>
          <w:b/>
        </w:rPr>
        <w:t>Keller BC</w:t>
      </w:r>
      <w:r>
        <w:t xml:space="preserve">, </w:t>
      </w:r>
      <w:r>
        <w:rPr>
          <w:b/>
        </w:rPr>
        <w:t>Luévano JM</w:t>
      </w:r>
      <w:r>
        <w:t xml:space="preserve">, </w:t>
      </w:r>
      <w:r>
        <w:rPr>
          <w:b/>
        </w:rPr>
        <w:t>Wang D</w:t>
      </w:r>
      <w:r>
        <w:t xml:space="preserve">, </w:t>
      </w:r>
      <w:r>
        <w:rPr>
          <w:b/>
        </w:rPr>
        <w:t>Boum Y</w:t>
      </w:r>
      <w:r>
        <w:t xml:space="preserve">, </w:t>
      </w:r>
      <w:r>
        <w:rPr>
          <w:b/>
        </w:rPr>
        <w:t>Martin JN</w:t>
      </w:r>
      <w:r>
        <w:t xml:space="preserve">, </w:t>
      </w:r>
      <w:r>
        <w:rPr>
          <w:b/>
        </w:rPr>
        <w:t>Hunt PW</w:t>
      </w:r>
      <w:r>
        <w:t xml:space="preserve">, </w:t>
      </w:r>
      <w:r>
        <w:rPr>
          <w:b/>
        </w:rPr>
        <w:t>Bangsberg DR</w:t>
      </w:r>
      <w:r>
        <w:t xml:space="preserve">, </w:t>
      </w:r>
      <w:r>
        <w:rPr>
          <w:b/>
        </w:rPr>
        <w:t>Siedner MJ</w:t>
      </w:r>
      <w:r>
        <w:t xml:space="preserve">, </w:t>
      </w:r>
      <w:r>
        <w:rPr>
          <w:b/>
        </w:rPr>
        <w:t>Kwon DS</w:t>
      </w:r>
      <w:r>
        <w:t xml:space="preserve">, </w:t>
      </w:r>
      <w:r>
        <w:rPr>
          <w:b/>
        </w:rPr>
        <w:t>Virgin HW</w:t>
      </w:r>
      <w:r>
        <w:t xml:space="preserve">. </w:t>
      </w:r>
      <w:r>
        <w:lastRenderedPageBreak/>
        <w:t xml:space="preserve">2016. Altered Virome and Bacterial Microbiome in Human Immunodeficiency Virus-Associated Acquired Immunodeficiency Syndrome. Cell Host and Microbe </w:t>
      </w:r>
      <w:r>
        <w:rPr>
          <w:b/>
        </w:rPr>
        <w:t>19</w:t>
      </w:r>
      <w:r>
        <w:t>:311–322.</w:t>
      </w:r>
    </w:p>
    <w:p w14:paraId="29C8B114" w14:textId="77777777" w:rsidR="00545250" w:rsidRDefault="00031049" w:rsidP="00031049">
      <w:pPr>
        <w:pStyle w:val="Bibliography"/>
        <w:spacing w:line="480" w:lineRule="auto"/>
        <w:jc w:val="both"/>
      </w:pPr>
      <w:r>
        <w:t xml:space="preserve">13. </w:t>
      </w:r>
      <w:r>
        <w:rPr>
          <w:b/>
        </w:rPr>
        <w:t>Hannigan GD</w:t>
      </w:r>
      <w:r>
        <w:t xml:space="preserve">, </w:t>
      </w:r>
      <w:r>
        <w:rPr>
          <w:b/>
        </w:rPr>
        <w:t>Meisel JS</w:t>
      </w:r>
      <w:r>
        <w:t xml:space="preserve">, </w:t>
      </w:r>
      <w:r>
        <w:rPr>
          <w:b/>
        </w:rPr>
        <w:t>Tyldsley AS</w:t>
      </w:r>
      <w:r>
        <w:t xml:space="preserve">, </w:t>
      </w:r>
      <w:r>
        <w:rPr>
          <w:b/>
        </w:rPr>
        <w:t>Zheng Q</w:t>
      </w:r>
      <w:r>
        <w:t xml:space="preserve">, </w:t>
      </w:r>
      <w:r>
        <w:rPr>
          <w:b/>
        </w:rPr>
        <w:t>Hodkinson BP</w:t>
      </w:r>
      <w:r>
        <w:t xml:space="preserve">, </w:t>
      </w:r>
      <w:r>
        <w:rPr>
          <w:b/>
        </w:rPr>
        <w:t>SanMiguel AJ</w:t>
      </w:r>
      <w:r>
        <w:t xml:space="preserve">, </w:t>
      </w:r>
      <w:r>
        <w:rPr>
          <w:b/>
        </w:rPr>
        <w:t>Minot S</w:t>
      </w:r>
      <w:r>
        <w:t xml:space="preserve">, </w:t>
      </w:r>
      <w:r>
        <w:rPr>
          <w:b/>
        </w:rPr>
        <w:t>Bushman FD</w:t>
      </w:r>
      <w:r>
        <w:t xml:space="preserve">, </w:t>
      </w:r>
      <w:r>
        <w:rPr>
          <w:b/>
        </w:rPr>
        <w:t>Grice EA</w:t>
      </w:r>
      <w:r>
        <w:t xml:space="preserve">. 2015. The Human Skin Double-Stranded DNA Virome: Topographical and Temporal Diversity, Genetic Enrichment, and Dynamic Associations with the Host Microbiome. mBio </w:t>
      </w:r>
      <w:r>
        <w:rPr>
          <w:b/>
        </w:rPr>
        <w:t>6</w:t>
      </w:r>
      <w:r>
        <w:t>:e01578–15.</w:t>
      </w:r>
    </w:p>
    <w:p w14:paraId="133E0DE8" w14:textId="77777777" w:rsidR="00545250" w:rsidRDefault="00031049" w:rsidP="00031049">
      <w:pPr>
        <w:pStyle w:val="Bibliography"/>
        <w:spacing w:line="480" w:lineRule="auto"/>
        <w:jc w:val="both"/>
      </w:pPr>
      <w:r>
        <w:t xml:space="preserve">14. </w:t>
      </w:r>
      <w:r>
        <w:rPr>
          <w:b/>
        </w:rPr>
        <w:t>Minot S</w:t>
      </w:r>
      <w:r>
        <w:t xml:space="preserve">, </w:t>
      </w:r>
      <w:r>
        <w:rPr>
          <w:b/>
        </w:rPr>
        <w:t>Sinha R</w:t>
      </w:r>
      <w:r>
        <w:t xml:space="preserve">, </w:t>
      </w:r>
      <w:r>
        <w:rPr>
          <w:b/>
        </w:rPr>
        <w:t>Chen J</w:t>
      </w:r>
      <w:r>
        <w:t xml:space="preserve">, </w:t>
      </w:r>
      <w:r>
        <w:rPr>
          <w:b/>
        </w:rPr>
        <w:t>Li H</w:t>
      </w:r>
      <w:r>
        <w:t xml:space="preserve">, </w:t>
      </w:r>
      <w:r>
        <w:rPr>
          <w:b/>
        </w:rPr>
        <w:t>Keilbaugh SA</w:t>
      </w:r>
      <w:r>
        <w:t xml:space="preserve">, </w:t>
      </w:r>
      <w:r>
        <w:rPr>
          <w:b/>
        </w:rPr>
        <w:t>Wu GD</w:t>
      </w:r>
      <w:r>
        <w:t xml:space="preserve">, </w:t>
      </w:r>
      <w:r>
        <w:rPr>
          <w:b/>
        </w:rPr>
        <w:t>Lewis JD</w:t>
      </w:r>
      <w:r>
        <w:t xml:space="preserve">, </w:t>
      </w:r>
      <w:r>
        <w:rPr>
          <w:b/>
        </w:rPr>
        <w:t>Bushman FD</w:t>
      </w:r>
      <w:r>
        <w:t xml:space="preserve">. 2011. The human gut virome: Inter-individual variation and dynamic response to diet. Genome Research </w:t>
      </w:r>
      <w:r>
        <w:rPr>
          <w:b/>
        </w:rPr>
        <w:t>21</w:t>
      </w:r>
      <w:r>
        <w:t>:1616–1625.</w:t>
      </w:r>
    </w:p>
    <w:p w14:paraId="4EA83541" w14:textId="77777777" w:rsidR="00545250" w:rsidRDefault="00031049" w:rsidP="00031049">
      <w:pPr>
        <w:pStyle w:val="Bibliography"/>
        <w:spacing w:line="480" w:lineRule="auto"/>
        <w:jc w:val="both"/>
      </w:pPr>
      <w:r>
        <w:t xml:space="preserve">15. </w:t>
      </w:r>
      <w:r>
        <w:rPr>
          <w:b/>
        </w:rPr>
        <w:t>Santiago-Rodriguez TM</w:t>
      </w:r>
      <w:r>
        <w:t xml:space="preserve">, </w:t>
      </w:r>
      <w:r>
        <w:rPr>
          <w:b/>
        </w:rPr>
        <w:t>Ly M</w:t>
      </w:r>
      <w:r>
        <w:t xml:space="preserve">, </w:t>
      </w:r>
      <w:r>
        <w:rPr>
          <w:b/>
        </w:rPr>
        <w:t>Bonilla N</w:t>
      </w:r>
      <w:r>
        <w:t xml:space="preserve">, </w:t>
      </w:r>
      <w:r>
        <w:rPr>
          <w:b/>
        </w:rPr>
        <w:t>Pride DT</w:t>
      </w:r>
      <w:r>
        <w:t xml:space="preserve">. 2015. The human urine virome in association with urinary tract infections. Frontiers in Microbiology </w:t>
      </w:r>
      <w:r>
        <w:rPr>
          <w:b/>
        </w:rPr>
        <w:t>6</w:t>
      </w:r>
      <w:r>
        <w:t>:14.</w:t>
      </w:r>
    </w:p>
    <w:p w14:paraId="260FCC64" w14:textId="77777777" w:rsidR="00545250" w:rsidRDefault="00031049" w:rsidP="00031049">
      <w:pPr>
        <w:pStyle w:val="Bibliography"/>
        <w:spacing w:line="480" w:lineRule="auto"/>
        <w:jc w:val="both"/>
      </w:pPr>
      <w:r>
        <w:t xml:space="preserve">16. </w:t>
      </w:r>
      <w:r>
        <w:rPr>
          <w:b/>
        </w:rPr>
        <w:t>Abeles SR</w:t>
      </w:r>
      <w:r>
        <w:t xml:space="preserve">, </w:t>
      </w:r>
      <w:r>
        <w:rPr>
          <w:b/>
        </w:rPr>
        <w:t>Ly M</w:t>
      </w:r>
      <w:r>
        <w:t xml:space="preserve">, </w:t>
      </w:r>
      <w:r>
        <w:rPr>
          <w:b/>
        </w:rPr>
        <w:t>Santiago-Rodriguez TM</w:t>
      </w:r>
      <w:r>
        <w:t xml:space="preserve">, </w:t>
      </w:r>
      <w:r>
        <w:rPr>
          <w:b/>
        </w:rPr>
        <w:t>Pride DT</w:t>
      </w:r>
      <w:r>
        <w:t xml:space="preserve">. 2015. Effects of Long Term Antibiotic Therapy on Human Oral and Fecal Viromes. PLOS ONE </w:t>
      </w:r>
      <w:r>
        <w:rPr>
          <w:b/>
        </w:rPr>
        <w:t>10</w:t>
      </w:r>
      <w:r>
        <w:t>:e0134941.</w:t>
      </w:r>
    </w:p>
    <w:p w14:paraId="4720E0A2" w14:textId="77777777" w:rsidR="00545250" w:rsidRDefault="00031049" w:rsidP="00031049">
      <w:pPr>
        <w:pStyle w:val="Bibliography"/>
        <w:spacing w:line="480" w:lineRule="auto"/>
        <w:jc w:val="both"/>
      </w:pPr>
      <w:r>
        <w:t xml:space="preserve">17. </w:t>
      </w:r>
      <w:r>
        <w:rPr>
          <w:b/>
        </w:rPr>
        <w:t>Abeles SR</w:t>
      </w:r>
      <w:r>
        <w:t xml:space="preserve">, </w:t>
      </w:r>
      <w:r>
        <w:rPr>
          <w:b/>
        </w:rPr>
        <w:t>Robles-Sikisaka R</w:t>
      </w:r>
      <w:r>
        <w:t xml:space="preserve">, </w:t>
      </w:r>
      <w:r>
        <w:rPr>
          <w:b/>
        </w:rPr>
        <w:t>Ly M</w:t>
      </w:r>
      <w:r>
        <w:t xml:space="preserve">, </w:t>
      </w:r>
      <w:r>
        <w:rPr>
          <w:b/>
        </w:rPr>
        <w:t>Lum AG</w:t>
      </w:r>
      <w:r>
        <w:t xml:space="preserve">, </w:t>
      </w:r>
      <w:r>
        <w:rPr>
          <w:b/>
        </w:rPr>
        <w:t>Salzman J</w:t>
      </w:r>
      <w:r>
        <w:t xml:space="preserve">, </w:t>
      </w:r>
      <w:r>
        <w:rPr>
          <w:b/>
        </w:rPr>
        <w:t>Boehm TK</w:t>
      </w:r>
      <w:r>
        <w:t xml:space="preserve">, </w:t>
      </w:r>
      <w:r>
        <w:rPr>
          <w:b/>
        </w:rPr>
        <w:t>Pride DT</w:t>
      </w:r>
      <w:r>
        <w:t>. 2014. Human oral viruses are personal, persistent and gender-consistent 1–15.</w:t>
      </w:r>
    </w:p>
    <w:p w14:paraId="53568B8E" w14:textId="77777777" w:rsidR="00545250" w:rsidRDefault="00031049" w:rsidP="00031049">
      <w:pPr>
        <w:pStyle w:val="Bibliography"/>
        <w:spacing w:line="480" w:lineRule="auto"/>
        <w:jc w:val="both"/>
      </w:pPr>
      <w:r>
        <w:t xml:space="preserve">18. </w:t>
      </w:r>
      <w:r>
        <w:rPr>
          <w:b/>
        </w:rPr>
        <w:t>Haerter JO</w:t>
      </w:r>
      <w:r>
        <w:t xml:space="preserve">, </w:t>
      </w:r>
      <w:r>
        <w:rPr>
          <w:b/>
        </w:rPr>
        <w:t>Mitarai N</w:t>
      </w:r>
      <w:r>
        <w:t xml:space="preserve">, </w:t>
      </w:r>
      <w:r>
        <w:rPr>
          <w:b/>
        </w:rPr>
        <w:t>Sneppen K</w:t>
      </w:r>
      <w:r>
        <w:t xml:space="preserve">. 2014. Phage and bacteria support mutual diversity in a narrowing staircase of coexistence. The ISME Journal </w:t>
      </w:r>
      <w:r>
        <w:rPr>
          <w:b/>
        </w:rPr>
        <w:t>8</w:t>
      </w:r>
      <w:r>
        <w:t>:2317–2326.</w:t>
      </w:r>
    </w:p>
    <w:p w14:paraId="3A34A539" w14:textId="77777777" w:rsidR="00545250" w:rsidRDefault="00031049" w:rsidP="00031049">
      <w:pPr>
        <w:pStyle w:val="Bibliography"/>
        <w:spacing w:line="480" w:lineRule="auto"/>
        <w:jc w:val="both"/>
      </w:pPr>
      <w:r>
        <w:t xml:space="preserve">19. </w:t>
      </w:r>
      <w:r>
        <w:rPr>
          <w:b/>
        </w:rPr>
        <w:t>Lindell D</w:t>
      </w:r>
      <w:r>
        <w:t xml:space="preserve">, </w:t>
      </w:r>
      <w:r>
        <w:rPr>
          <w:b/>
        </w:rPr>
        <w:t>Jaffe JD</w:t>
      </w:r>
      <w:r>
        <w:t xml:space="preserve">, </w:t>
      </w:r>
      <w:r>
        <w:rPr>
          <w:b/>
        </w:rPr>
        <w:t>Johnson ZI</w:t>
      </w:r>
      <w:r>
        <w:t xml:space="preserve">, </w:t>
      </w:r>
      <w:r>
        <w:rPr>
          <w:b/>
        </w:rPr>
        <w:t>Church GM</w:t>
      </w:r>
      <w:r>
        <w:t xml:space="preserve">, </w:t>
      </w:r>
      <w:r>
        <w:rPr>
          <w:b/>
        </w:rPr>
        <w:t>Chisholm SW</w:t>
      </w:r>
      <w:r>
        <w:t xml:space="preserve">. 2005. Photosynthesis genes in marine viruses yield proteins during host infection. Nature </w:t>
      </w:r>
      <w:r>
        <w:rPr>
          <w:b/>
        </w:rPr>
        <w:t>438</w:t>
      </w:r>
      <w:r>
        <w:t>:86–89.</w:t>
      </w:r>
    </w:p>
    <w:p w14:paraId="10B33EFF" w14:textId="77777777" w:rsidR="00545250" w:rsidRDefault="00031049" w:rsidP="00031049">
      <w:pPr>
        <w:pStyle w:val="Bibliography"/>
        <w:spacing w:line="480" w:lineRule="auto"/>
        <w:jc w:val="both"/>
      </w:pPr>
      <w:r>
        <w:lastRenderedPageBreak/>
        <w:t xml:space="preserve">20. </w:t>
      </w:r>
      <w:r>
        <w:rPr>
          <w:b/>
        </w:rPr>
        <w:t>Tyler JS</w:t>
      </w:r>
      <w:r>
        <w:t xml:space="preserve">, </w:t>
      </w:r>
      <w:r>
        <w:rPr>
          <w:b/>
        </w:rPr>
        <w:t>Beeri K</w:t>
      </w:r>
      <w:r>
        <w:t xml:space="preserve">, </w:t>
      </w:r>
      <w:r>
        <w:rPr>
          <w:b/>
        </w:rPr>
        <w:t>Reynolds JL</w:t>
      </w:r>
      <w:r>
        <w:t xml:space="preserve">, </w:t>
      </w:r>
      <w:r>
        <w:rPr>
          <w:b/>
        </w:rPr>
        <w:t>Alteri CJ</w:t>
      </w:r>
      <w:r>
        <w:t xml:space="preserve">, </w:t>
      </w:r>
      <w:r>
        <w:rPr>
          <w:b/>
        </w:rPr>
        <w:t>Skinner KG</w:t>
      </w:r>
      <w:r>
        <w:t xml:space="preserve">, </w:t>
      </w:r>
      <w:r>
        <w:rPr>
          <w:b/>
        </w:rPr>
        <w:t>Friedman JH</w:t>
      </w:r>
      <w:r>
        <w:t xml:space="preserve">, </w:t>
      </w:r>
      <w:r>
        <w:rPr>
          <w:b/>
        </w:rPr>
        <w:t>Eaton KA</w:t>
      </w:r>
      <w:r>
        <w:t xml:space="preserve">, </w:t>
      </w:r>
      <w:r>
        <w:rPr>
          <w:b/>
        </w:rPr>
        <w:t>Friedman DI</w:t>
      </w:r>
      <w:r>
        <w:t xml:space="preserve">. 2013. Prophage induction is enhanced and required for renal disease and lethality in an EHEC mouse model. PLoS Pathogens </w:t>
      </w:r>
      <w:r>
        <w:rPr>
          <w:b/>
        </w:rPr>
        <w:t>9</w:t>
      </w:r>
      <w:r>
        <w:t>:e1003236.</w:t>
      </w:r>
    </w:p>
    <w:p w14:paraId="47847475" w14:textId="77777777" w:rsidR="00545250" w:rsidRDefault="00031049" w:rsidP="00031049">
      <w:pPr>
        <w:pStyle w:val="Bibliography"/>
        <w:spacing w:line="480" w:lineRule="auto"/>
        <w:jc w:val="both"/>
      </w:pPr>
      <w:r>
        <w:t xml:space="preserve">21. </w:t>
      </w:r>
      <w:r>
        <w:rPr>
          <w:b/>
        </w:rPr>
        <w:t>Hargreaves KR</w:t>
      </w:r>
      <w:r>
        <w:t xml:space="preserve">, </w:t>
      </w:r>
      <w:r>
        <w:rPr>
          <w:b/>
        </w:rPr>
        <w:t>Kropinski AM</w:t>
      </w:r>
      <w:r>
        <w:t xml:space="preserve">, </w:t>
      </w:r>
      <w:r>
        <w:rPr>
          <w:b/>
        </w:rPr>
        <w:t>Clokie MR</w:t>
      </w:r>
      <w:r>
        <w:t xml:space="preserve">. 2014. Bacteriophage behavioral ecology: How phages alter their bacterial host’s habits. Bacteriophage </w:t>
      </w:r>
      <w:r>
        <w:rPr>
          <w:b/>
        </w:rPr>
        <w:t>4</w:t>
      </w:r>
      <w:r>
        <w:t>:e29866.</w:t>
      </w:r>
    </w:p>
    <w:p w14:paraId="3F7492B5" w14:textId="77777777" w:rsidR="00545250" w:rsidRDefault="00031049" w:rsidP="00031049">
      <w:pPr>
        <w:pStyle w:val="Bibliography"/>
        <w:spacing w:line="480" w:lineRule="auto"/>
        <w:jc w:val="both"/>
      </w:pPr>
      <w:r>
        <w:t xml:space="preserve">22. </w:t>
      </w:r>
      <w:r>
        <w:rPr>
          <w:b/>
        </w:rPr>
        <w:t>Moon BY</w:t>
      </w:r>
      <w:r>
        <w:t xml:space="preserve">, </w:t>
      </w:r>
      <w:r>
        <w:rPr>
          <w:b/>
        </w:rPr>
        <w:t>Park JY</w:t>
      </w:r>
      <w:r>
        <w:t xml:space="preserve">, </w:t>
      </w:r>
      <w:r>
        <w:rPr>
          <w:b/>
        </w:rPr>
        <w:t>Hwang SY</w:t>
      </w:r>
      <w:r>
        <w:t xml:space="preserve">, </w:t>
      </w:r>
      <w:r>
        <w:rPr>
          <w:b/>
        </w:rPr>
        <w:t>Robinson DA</w:t>
      </w:r>
      <w:r>
        <w:t xml:space="preserve">, </w:t>
      </w:r>
      <w:r>
        <w:rPr>
          <w:b/>
        </w:rPr>
        <w:t>Thomas JC</w:t>
      </w:r>
      <w:r>
        <w:t xml:space="preserve">, </w:t>
      </w:r>
      <w:r>
        <w:rPr>
          <w:b/>
        </w:rPr>
        <w:t>Fitzgerald JR</w:t>
      </w:r>
      <w:r>
        <w:t xml:space="preserve">, </w:t>
      </w:r>
      <w:r>
        <w:rPr>
          <w:b/>
        </w:rPr>
        <w:t>Park YH</w:t>
      </w:r>
      <w:r>
        <w:t xml:space="preserve">, </w:t>
      </w:r>
      <w:r>
        <w:rPr>
          <w:b/>
        </w:rPr>
        <w:t>Seo KS</w:t>
      </w:r>
      <w:r>
        <w:t xml:space="preserve">. 2015. Phage-mediated horizontal transfer of a Staphylococcus aureus virulence-associated genomic island. Scientific Reports </w:t>
      </w:r>
      <w:r>
        <w:rPr>
          <w:b/>
        </w:rPr>
        <w:t>5</w:t>
      </w:r>
      <w:r>
        <w:t>:9784.</w:t>
      </w:r>
    </w:p>
    <w:p w14:paraId="762CFA4D" w14:textId="77777777" w:rsidR="00545250" w:rsidRDefault="00031049" w:rsidP="00031049">
      <w:pPr>
        <w:pStyle w:val="Bibliography"/>
        <w:spacing w:line="480" w:lineRule="auto"/>
        <w:jc w:val="both"/>
      </w:pPr>
      <w:r>
        <w:t xml:space="preserve">23. </w:t>
      </w:r>
      <w:r>
        <w:rPr>
          <w:b/>
        </w:rPr>
        <w:t>Modi SR</w:t>
      </w:r>
      <w:r>
        <w:t xml:space="preserve">, </w:t>
      </w:r>
      <w:r>
        <w:rPr>
          <w:b/>
        </w:rPr>
        <w:t>Lee HH</w:t>
      </w:r>
      <w:r>
        <w:t xml:space="preserve">, </w:t>
      </w:r>
      <w:r>
        <w:rPr>
          <w:b/>
        </w:rPr>
        <w:t>Spina CS</w:t>
      </w:r>
      <w:r>
        <w:t xml:space="preserve">, </w:t>
      </w:r>
      <w:r>
        <w:rPr>
          <w:b/>
        </w:rPr>
        <w:t>Collins JJ</w:t>
      </w:r>
      <w:r>
        <w:t xml:space="preserve">. 2013. Antibiotic treatment expands the resistance reservoir and ecological network of the phage metagenome. Nature </w:t>
      </w:r>
      <w:r>
        <w:rPr>
          <w:b/>
        </w:rPr>
        <w:t>499</w:t>
      </w:r>
      <w:r>
        <w:t>:219–222.</w:t>
      </w:r>
    </w:p>
    <w:p w14:paraId="368B3FEE" w14:textId="77777777" w:rsidR="00545250" w:rsidRDefault="00031049" w:rsidP="00031049">
      <w:pPr>
        <w:pStyle w:val="Bibliography"/>
        <w:spacing w:line="480" w:lineRule="auto"/>
        <w:jc w:val="both"/>
      </w:pPr>
      <w:r>
        <w:t xml:space="preserve">24. </w:t>
      </w:r>
      <w:r>
        <w:rPr>
          <w:b/>
        </w:rPr>
        <w:t>Ogg JE</w:t>
      </w:r>
      <w:r>
        <w:t xml:space="preserve">, </w:t>
      </w:r>
      <w:r>
        <w:rPr>
          <w:b/>
        </w:rPr>
        <w:t>Timme TL</w:t>
      </w:r>
      <w:r>
        <w:t xml:space="preserve">, </w:t>
      </w:r>
      <w:r>
        <w:rPr>
          <w:b/>
        </w:rPr>
        <w:t>Alemohammad MM</w:t>
      </w:r>
      <w:r>
        <w:t xml:space="preserve">. 1981. General Transduction in Vibrio cholerae. Infection and Immunity </w:t>
      </w:r>
      <w:r>
        <w:rPr>
          <w:b/>
        </w:rPr>
        <w:t>31</w:t>
      </w:r>
      <w:r>
        <w:t>:737–741.</w:t>
      </w:r>
    </w:p>
    <w:p w14:paraId="17204CEE" w14:textId="77777777" w:rsidR="00545250" w:rsidRDefault="00031049" w:rsidP="00031049">
      <w:pPr>
        <w:pStyle w:val="Bibliography"/>
        <w:spacing w:line="480" w:lineRule="auto"/>
        <w:jc w:val="both"/>
      </w:pPr>
      <w:r>
        <w:t xml:space="preserve">25. </w:t>
      </w:r>
      <w:r>
        <w:rPr>
          <w:b/>
        </w:rPr>
        <w:t>Frost LS</w:t>
      </w:r>
      <w:r>
        <w:t xml:space="preserve">, </w:t>
      </w:r>
      <w:r>
        <w:rPr>
          <w:b/>
        </w:rPr>
        <w:t>Leplae R</w:t>
      </w:r>
      <w:r>
        <w:t xml:space="preserve">, </w:t>
      </w:r>
      <w:r>
        <w:rPr>
          <w:b/>
        </w:rPr>
        <w:t>Summers AO</w:t>
      </w:r>
      <w:r>
        <w:t xml:space="preserve">, </w:t>
      </w:r>
      <w:r>
        <w:rPr>
          <w:b/>
        </w:rPr>
        <w:t>Toussaint A</w:t>
      </w:r>
      <w:r>
        <w:t xml:space="preserve">. 2005. Mobile genetic elements: the agents of open source evolution. Nature Reviews Microbiology </w:t>
      </w:r>
      <w:r>
        <w:rPr>
          <w:b/>
        </w:rPr>
        <w:t>3</w:t>
      </w:r>
      <w:r>
        <w:t>:722–732.</w:t>
      </w:r>
    </w:p>
    <w:p w14:paraId="4D33F42B" w14:textId="77777777" w:rsidR="00545250" w:rsidRDefault="00031049" w:rsidP="00031049">
      <w:pPr>
        <w:pStyle w:val="Bibliography"/>
        <w:spacing w:line="480" w:lineRule="auto"/>
        <w:jc w:val="both"/>
      </w:pPr>
      <w:r>
        <w:t xml:space="preserve">26. </w:t>
      </w:r>
      <w:r>
        <w:rPr>
          <w:b/>
        </w:rPr>
        <w:t>Koskella B</w:t>
      </w:r>
      <w:r>
        <w:t xml:space="preserve">, </w:t>
      </w:r>
      <w:r>
        <w:rPr>
          <w:b/>
        </w:rPr>
        <w:t>Brockhurst MA</w:t>
      </w:r>
      <w:r>
        <w:t xml:space="preserve">. 2014. Bacteria-phage coevolution as a driver of ecological and evolutionary processes in microbial communities. FEMS Microbiology Reviews </w:t>
      </w:r>
      <w:r>
        <w:rPr>
          <w:b/>
        </w:rPr>
        <w:t>38</w:t>
      </w:r>
      <w:r>
        <w:t>:916–931.</w:t>
      </w:r>
    </w:p>
    <w:p w14:paraId="5D2AE7D1" w14:textId="77777777" w:rsidR="00545250" w:rsidRDefault="00031049" w:rsidP="00031049">
      <w:pPr>
        <w:pStyle w:val="Bibliography"/>
        <w:spacing w:line="480" w:lineRule="auto"/>
        <w:jc w:val="both"/>
      </w:pPr>
      <w:r>
        <w:t xml:space="preserve">27. </w:t>
      </w:r>
      <w:r>
        <w:rPr>
          <w:b/>
        </w:rPr>
        <w:t>Jover LF</w:t>
      </w:r>
      <w:r>
        <w:t xml:space="preserve">, </w:t>
      </w:r>
      <w:r>
        <w:rPr>
          <w:b/>
        </w:rPr>
        <w:t>Effler TC</w:t>
      </w:r>
      <w:r>
        <w:t xml:space="preserve">, </w:t>
      </w:r>
      <w:r>
        <w:rPr>
          <w:b/>
        </w:rPr>
        <w:t>Buchan A</w:t>
      </w:r>
      <w:r>
        <w:t xml:space="preserve">, </w:t>
      </w:r>
      <w:r>
        <w:rPr>
          <w:b/>
        </w:rPr>
        <w:t>Wilhelm SW</w:t>
      </w:r>
      <w:r>
        <w:t xml:space="preserve">, </w:t>
      </w:r>
      <w:r>
        <w:rPr>
          <w:b/>
        </w:rPr>
        <w:t>Weitz JS</w:t>
      </w:r>
      <w:r>
        <w:t xml:space="preserve">. 2014. The elemental composition of virus particles: implications for marine biogeochemical cycles. Nature Reviews Microbiology </w:t>
      </w:r>
      <w:r>
        <w:rPr>
          <w:b/>
        </w:rPr>
        <w:t>12</w:t>
      </w:r>
      <w:r>
        <w:t>:519–528.</w:t>
      </w:r>
    </w:p>
    <w:p w14:paraId="520C20BB" w14:textId="77777777" w:rsidR="00545250" w:rsidRDefault="00031049" w:rsidP="00031049">
      <w:pPr>
        <w:pStyle w:val="Bibliography"/>
        <w:spacing w:line="480" w:lineRule="auto"/>
        <w:jc w:val="both"/>
      </w:pPr>
      <w:r>
        <w:lastRenderedPageBreak/>
        <w:t xml:space="preserve">28. </w:t>
      </w:r>
      <w:r>
        <w:rPr>
          <w:b/>
        </w:rPr>
        <w:t>Harcombe WR</w:t>
      </w:r>
      <w:r>
        <w:t xml:space="preserve">, </w:t>
      </w:r>
      <w:r>
        <w:rPr>
          <w:b/>
        </w:rPr>
        <w:t>Bull JJ</w:t>
      </w:r>
      <w:r>
        <w:t xml:space="preserve">. 2005. Impact of phages on two-species bacterial communities. Applied and Environmental Microbiology </w:t>
      </w:r>
      <w:r>
        <w:rPr>
          <w:b/>
        </w:rPr>
        <w:t>71</w:t>
      </w:r>
      <w:r>
        <w:t>:5254–5259.</w:t>
      </w:r>
    </w:p>
    <w:p w14:paraId="36507DAD" w14:textId="77777777" w:rsidR="00545250" w:rsidRDefault="00031049" w:rsidP="00031049">
      <w:pPr>
        <w:pStyle w:val="Bibliography"/>
        <w:spacing w:line="480" w:lineRule="auto"/>
        <w:jc w:val="both"/>
      </w:pPr>
      <w:r>
        <w:t xml:space="preserve">29. </w:t>
      </w:r>
      <w:r>
        <w:rPr>
          <w:b/>
        </w:rPr>
        <w:t>Middelboe M</w:t>
      </w:r>
      <w:r>
        <w:t xml:space="preserve">, </w:t>
      </w:r>
      <w:r>
        <w:rPr>
          <w:b/>
        </w:rPr>
        <w:t>Hagström A</w:t>
      </w:r>
      <w:r>
        <w:t xml:space="preserve">, </w:t>
      </w:r>
      <w:r>
        <w:rPr>
          <w:b/>
        </w:rPr>
        <w:t>Blackburn N</w:t>
      </w:r>
      <w:r>
        <w:t xml:space="preserve">, </w:t>
      </w:r>
      <w:r>
        <w:rPr>
          <w:b/>
        </w:rPr>
        <w:t>Sinn B</w:t>
      </w:r>
      <w:r>
        <w:t xml:space="preserve">, </w:t>
      </w:r>
      <w:r>
        <w:rPr>
          <w:b/>
        </w:rPr>
        <w:t>Fischer U</w:t>
      </w:r>
      <w:r>
        <w:t xml:space="preserve">, </w:t>
      </w:r>
      <w:r>
        <w:rPr>
          <w:b/>
        </w:rPr>
        <w:t>Borch NH</w:t>
      </w:r>
      <w:r>
        <w:t xml:space="preserve">, </w:t>
      </w:r>
      <w:r>
        <w:rPr>
          <w:b/>
        </w:rPr>
        <w:t>Pinhassi J</w:t>
      </w:r>
      <w:r>
        <w:t xml:space="preserve">, </w:t>
      </w:r>
      <w:r>
        <w:rPr>
          <w:b/>
        </w:rPr>
        <w:t>Simu K</w:t>
      </w:r>
      <w:r>
        <w:t xml:space="preserve">, </w:t>
      </w:r>
      <w:r>
        <w:rPr>
          <w:b/>
        </w:rPr>
        <w:t>Lorenz MG</w:t>
      </w:r>
      <w:r>
        <w:t xml:space="preserve">. 2001. Effects of Bacteriophages on the Population Dynamics of Four Strains of Pelagic Marine Bacteria. Microbial Ecology </w:t>
      </w:r>
      <w:r>
        <w:rPr>
          <w:b/>
        </w:rPr>
        <w:t>42</w:t>
      </w:r>
      <w:r>
        <w:t>:395–406.</w:t>
      </w:r>
    </w:p>
    <w:p w14:paraId="48F22439" w14:textId="77777777" w:rsidR="00545250" w:rsidRDefault="00031049" w:rsidP="00031049">
      <w:pPr>
        <w:pStyle w:val="Bibliography"/>
        <w:spacing w:line="480" w:lineRule="auto"/>
        <w:jc w:val="both"/>
      </w:pPr>
      <w:r>
        <w:t xml:space="preserve">30. </w:t>
      </w:r>
      <w:r>
        <w:rPr>
          <w:b/>
        </w:rPr>
        <w:t>Poisot T</w:t>
      </w:r>
      <w:r>
        <w:t xml:space="preserve">, </w:t>
      </w:r>
      <w:r>
        <w:rPr>
          <w:b/>
        </w:rPr>
        <w:t>Lepennetier G</w:t>
      </w:r>
      <w:r>
        <w:t xml:space="preserve">, </w:t>
      </w:r>
      <w:r>
        <w:rPr>
          <w:b/>
        </w:rPr>
        <w:t>Martinez E</w:t>
      </w:r>
      <w:r>
        <w:t xml:space="preserve">, </w:t>
      </w:r>
      <w:r>
        <w:rPr>
          <w:b/>
        </w:rPr>
        <w:t>Ramsayer J</w:t>
      </w:r>
      <w:r>
        <w:t xml:space="preserve">, </w:t>
      </w:r>
      <w:r>
        <w:rPr>
          <w:b/>
        </w:rPr>
        <w:t>Hochberg ME</w:t>
      </w:r>
      <w:r>
        <w:t xml:space="preserve">. 2011. Resource availability affects the structure of a natural bacteriabacteriophage community. Biology letters </w:t>
      </w:r>
      <w:r>
        <w:rPr>
          <w:b/>
        </w:rPr>
        <w:t>7</w:t>
      </w:r>
      <w:r>
        <w:t>:201–204.</w:t>
      </w:r>
    </w:p>
    <w:p w14:paraId="0C647866" w14:textId="77777777" w:rsidR="00545250" w:rsidRDefault="00031049" w:rsidP="00031049">
      <w:pPr>
        <w:pStyle w:val="Bibliography"/>
        <w:spacing w:line="480" w:lineRule="auto"/>
        <w:jc w:val="both"/>
      </w:pPr>
      <w:r>
        <w:t xml:space="preserve">31. </w:t>
      </w:r>
      <w:r>
        <w:rPr>
          <w:b/>
        </w:rPr>
        <w:t>Thompson RM</w:t>
      </w:r>
      <w:r>
        <w:t xml:space="preserve">, </w:t>
      </w:r>
      <w:r>
        <w:rPr>
          <w:b/>
        </w:rPr>
        <w:t>Brose U</w:t>
      </w:r>
      <w:r>
        <w:t xml:space="preserve">, </w:t>
      </w:r>
      <w:r>
        <w:rPr>
          <w:b/>
        </w:rPr>
        <w:t>Dunne JA</w:t>
      </w:r>
      <w:r>
        <w:t xml:space="preserve">, </w:t>
      </w:r>
      <w:r>
        <w:rPr>
          <w:b/>
        </w:rPr>
        <w:t>Hall RO</w:t>
      </w:r>
      <w:r>
        <w:t xml:space="preserve">, </w:t>
      </w:r>
      <w:r>
        <w:rPr>
          <w:b/>
        </w:rPr>
        <w:t>Hladyz S</w:t>
      </w:r>
      <w:r>
        <w:t xml:space="preserve">, </w:t>
      </w:r>
      <w:r>
        <w:rPr>
          <w:b/>
        </w:rPr>
        <w:t>Kitching RL</w:t>
      </w:r>
      <w:r>
        <w:t xml:space="preserve">, </w:t>
      </w:r>
      <w:r>
        <w:rPr>
          <w:b/>
        </w:rPr>
        <w:t>Martinez ND</w:t>
      </w:r>
      <w:r>
        <w:t xml:space="preserve">, </w:t>
      </w:r>
      <w:r>
        <w:rPr>
          <w:b/>
        </w:rPr>
        <w:t>Rantala H</w:t>
      </w:r>
      <w:r>
        <w:t xml:space="preserve">, </w:t>
      </w:r>
      <w:r>
        <w:rPr>
          <w:b/>
        </w:rPr>
        <w:t>Romanuk TN</w:t>
      </w:r>
      <w:r>
        <w:t xml:space="preserve">, </w:t>
      </w:r>
      <w:r>
        <w:rPr>
          <w:b/>
        </w:rPr>
        <w:t>Stouffer DB</w:t>
      </w:r>
      <w:r>
        <w:t xml:space="preserve">, </w:t>
      </w:r>
      <w:r>
        <w:rPr>
          <w:b/>
        </w:rPr>
        <w:t>Tylianakis JM</w:t>
      </w:r>
      <w:r>
        <w:t xml:space="preserve">. 2012. Food webs: reconciling the structure and function of biodiversity. Trends in ecology &amp; evolution </w:t>
      </w:r>
      <w:r>
        <w:rPr>
          <w:b/>
        </w:rPr>
        <w:t>27</w:t>
      </w:r>
      <w:r>
        <w:t>:689–697.</w:t>
      </w:r>
    </w:p>
    <w:p w14:paraId="056BA4CB" w14:textId="77777777" w:rsidR="00545250" w:rsidRDefault="00031049" w:rsidP="00031049">
      <w:pPr>
        <w:pStyle w:val="Bibliography"/>
        <w:spacing w:line="480" w:lineRule="auto"/>
        <w:jc w:val="both"/>
      </w:pPr>
      <w:r>
        <w:t xml:space="preserve">32. </w:t>
      </w:r>
      <w:r>
        <w:rPr>
          <w:b/>
        </w:rPr>
        <w:t>Moebus K</w:t>
      </w:r>
      <w:r>
        <w:t xml:space="preserve">, </w:t>
      </w:r>
      <w:r>
        <w:rPr>
          <w:b/>
        </w:rPr>
        <w:t>Nattkemper H</w:t>
      </w:r>
      <w:r>
        <w:t xml:space="preserve">. 1981. Bacteriophage sensitivity patterns among bacteria isolated from marine waters. Helgoländer Meeresuntersuchungen </w:t>
      </w:r>
      <w:r>
        <w:rPr>
          <w:b/>
        </w:rPr>
        <w:t>34</w:t>
      </w:r>
      <w:r>
        <w:t>:375–385.</w:t>
      </w:r>
    </w:p>
    <w:p w14:paraId="0D9DBB05" w14:textId="77777777" w:rsidR="00545250" w:rsidRDefault="00031049" w:rsidP="00031049">
      <w:pPr>
        <w:pStyle w:val="Bibliography"/>
        <w:spacing w:line="480" w:lineRule="auto"/>
        <w:jc w:val="both"/>
      </w:pPr>
      <w:r>
        <w:t xml:space="preserve">33. </w:t>
      </w:r>
      <w:r>
        <w:rPr>
          <w:b/>
        </w:rPr>
        <w:t>Flores CO</w:t>
      </w:r>
      <w:r>
        <w:t xml:space="preserve">, </w:t>
      </w:r>
      <w:r>
        <w:rPr>
          <w:b/>
        </w:rPr>
        <w:t>Valverde S</w:t>
      </w:r>
      <w:r>
        <w:t xml:space="preserve">, </w:t>
      </w:r>
      <w:r>
        <w:rPr>
          <w:b/>
        </w:rPr>
        <w:t>Weitz JS</w:t>
      </w:r>
      <w:r>
        <w:t xml:space="preserve">. 2013. Multi-scale structure and geographic drivers of cross-infection within marine bacteria and phages. The ISME Journal </w:t>
      </w:r>
      <w:r>
        <w:rPr>
          <w:b/>
        </w:rPr>
        <w:t>7</w:t>
      </w:r>
      <w:r>
        <w:t>:520–532.</w:t>
      </w:r>
    </w:p>
    <w:p w14:paraId="771C55ED" w14:textId="77777777" w:rsidR="00545250" w:rsidRDefault="00031049" w:rsidP="00031049">
      <w:pPr>
        <w:pStyle w:val="Bibliography"/>
        <w:spacing w:line="480" w:lineRule="auto"/>
        <w:jc w:val="both"/>
      </w:pPr>
      <w:r>
        <w:t xml:space="preserve">34. </w:t>
      </w:r>
      <w:r>
        <w:rPr>
          <w:b/>
        </w:rPr>
        <w:t>Poisot T</w:t>
      </w:r>
      <w:r>
        <w:t xml:space="preserve">, </w:t>
      </w:r>
      <w:r>
        <w:rPr>
          <w:b/>
        </w:rPr>
        <w:t>Canard E</w:t>
      </w:r>
      <w:r>
        <w:t xml:space="preserve">, </w:t>
      </w:r>
      <w:r>
        <w:rPr>
          <w:b/>
        </w:rPr>
        <w:t>Mouillot D</w:t>
      </w:r>
      <w:r>
        <w:t xml:space="preserve">, </w:t>
      </w:r>
      <w:r>
        <w:rPr>
          <w:b/>
        </w:rPr>
        <w:t>Mouquet N</w:t>
      </w:r>
      <w:r>
        <w:t xml:space="preserve">, </w:t>
      </w:r>
      <w:r>
        <w:rPr>
          <w:b/>
        </w:rPr>
        <w:t>Gravel D</w:t>
      </w:r>
      <w:r>
        <w:t xml:space="preserve">. 2012. The dissimilarity of species interaction networks. Ecology letters </w:t>
      </w:r>
      <w:r>
        <w:rPr>
          <w:b/>
        </w:rPr>
        <w:t>15</w:t>
      </w:r>
      <w:r>
        <w:t>:1353–1361.</w:t>
      </w:r>
    </w:p>
    <w:p w14:paraId="15195E42" w14:textId="77777777" w:rsidR="00545250" w:rsidRDefault="00031049" w:rsidP="00031049">
      <w:pPr>
        <w:pStyle w:val="Bibliography"/>
        <w:spacing w:line="480" w:lineRule="auto"/>
        <w:jc w:val="both"/>
      </w:pPr>
      <w:r>
        <w:t xml:space="preserve">35. </w:t>
      </w:r>
      <w:r>
        <w:rPr>
          <w:b/>
        </w:rPr>
        <w:t>Poisot T</w:t>
      </w:r>
      <w:r>
        <w:t xml:space="preserve">, </w:t>
      </w:r>
      <w:r>
        <w:rPr>
          <w:b/>
        </w:rPr>
        <w:t>Stouffer D</w:t>
      </w:r>
      <w:r>
        <w:t>. 2016. How ecological networks evolve. bioRxiv.</w:t>
      </w:r>
    </w:p>
    <w:p w14:paraId="0941D8E1" w14:textId="77777777" w:rsidR="00545250" w:rsidRDefault="00031049" w:rsidP="00031049">
      <w:pPr>
        <w:pStyle w:val="Bibliography"/>
        <w:spacing w:line="480" w:lineRule="auto"/>
        <w:jc w:val="both"/>
      </w:pPr>
      <w:r>
        <w:lastRenderedPageBreak/>
        <w:t xml:space="preserve">36. </w:t>
      </w:r>
      <w:r>
        <w:rPr>
          <w:b/>
        </w:rPr>
        <w:t>Flores CO</w:t>
      </w:r>
      <w:r>
        <w:t xml:space="preserve">, </w:t>
      </w:r>
      <w:r>
        <w:rPr>
          <w:b/>
        </w:rPr>
        <w:t>Meyer JR</w:t>
      </w:r>
      <w:r>
        <w:t xml:space="preserve">, </w:t>
      </w:r>
      <w:r>
        <w:rPr>
          <w:b/>
        </w:rPr>
        <w:t>Valverde S</w:t>
      </w:r>
      <w:r>
        <w:t xml:space="preserve">, </w:t>
      </w:r>
      <w:r>
        <w:rPr>
          <w:b/>
        </w:rPr>
        <w:t>Farr L</w:t>
      </w:r>
      <w:r>
        <w:t xml:space="preserve">, </w:t>
      </w:r>
      <w:r>
        <w:rPr>
          <w:b/>
        </w:rPr>
        <w:t>Weitz JS</w:t>
      </w:r>
      <w:r>
        <w:t xml:space="preserve">. 2011. Statistical structure of host-phage interactions. Proceedings of the National Academy of Sciences of the United States of America </w:t>
      </w:r>
      <w:r>
        <w:rPr>
          <w:b/>
        </w:rPr>
        <w:t>108</w:t>
      </w:r>
      <w:r>
        <w:t>:E288–97.</w:t>
      </w:r>
    </w:p>
    <w:p w14:paraId="3E29ED7B" w14:textId="77777777" w:rsidR="00545250" w:rsidRDefault="00031049" w:rsidP="00031049">
      <w:pPr>
        <w:pStyle w:val="Bibliography"/>
        <w:spacing w:line="480" w:lineRule="auto"/>
        <w:jc w:val="both"/>
      </w:pPr>
      <w:r>
        <w:t xml:space="preserve">37. </w:t>
      </w:r>
      <w:r>
        <w:rPr>
          <w:b/>
        </w:rPr>
        <w:t>Jover LF</w:t>
      </w:r>
      <w:r>
        <w:t xml:space="preserve">, </w:t>
      </w:r>
      <w:r>
        <w:rPr>
          <w:b/>
        </w:rPr>
        <w:t>Flores CO</w:t>
      </w:r>
      <w:r>
        <w:t xml:space="preserve">, </w:t>
      </w:r>
      <w:r>
        <w:rPr>
          <w:b/>
        </w:rPr>
        <w:t>Cortez MH</w:t>
      </w:r>
      <w:r>
        <w:t xml:space="preserve">, </w:t>
      </w:r>
      <w:r>
        <w:rPr>
          <w:b/>
        </w:rPr>
        <w:t>Weitz JS</w:t>
      </w:r>
      <w:r>
        <w:t xml:space="preserve">. 2015. Multiple regimes of robust patterns between network structure and biodiversity. Scientific Reports </w:t>
      </w:r>
      <w:r>
        <w:rPr>
          <w:b/>
        </w:rPr>
        <w:t>5</w:t>
      </w:r>
      <w:r>
        <w:t>:17856.</w:t>
      </w:r>
    </w:p>
    <w:p w14:paraId="698854EF" w14:textId="77777777" w:rsidR="00545250" w:rsidRDefault="00031049" w:rsidP="00031049">
      <w:pPr>
        <w:pStyle w:val="Bibliography"/>
        <w:spacing w:line="480" w:lineRule="auto"/>
        <w:jc w:val="both"/>
      </w:pPr>
      <w:r>
        <w:t xml:space="preserve">38. </w:t>
      </w:r>
      <w:r>
        <w:rPr>
          <w:b/>
        </w:rPr>
        <w:t>Reyes A</w:t>
      </w:r>
      <w:r>
        <w:t xml:space="preserve">, </w:t>
      </w:r>
      <w:r>
        <w:rPr>
          <w:b/>
        </w:rPr>
        <w:t>Haynes M</w:t>
      </w:r>
      <w:r>
        <w:t xml:space="preserve">, </w:t>
      </w:r>
      <w:r>
        <w:rPr>
          <w:b/>
        </w:rPr>
        <w:t>Hanson N</w:t>
      </w:r>
      <w:r>
        <w:t xml:space="preserve">, </w:t>
      </w:r>
      <w:r>
        <w:rPr>
          <w:b/>
        </w:rPr>
        <w:t>Angly FE</w:t>
      </w:r>
      <w:r>
        <w:t xml:space="preserve">, </w:t>
      </w:r>
      <w:r>
        <w:rPr>
          <w:b/>
        </w:rPr>
        <w:t>Heath AC</w:t>
      </w:r>
      <w:r>
        <w:t xml:space="preserve">, </w:t>
      </w:r>
      <w:r>
        <w:rPr>
          <w:b/>
        </w:rPr>
        <w:t>Rohwer F</w:t>
      </w:r>
      <w:r>
        <w:t xml:space="preserve">, </w:t>
      </w:r>
      <w:r>
        <w:rPr>
          <w:b/>
        </w:rPr>
        <w:t>Gordon JI</w:t>
      </w:r>
      <w:r>
        <w:t xml:space="preserve">. 2010. Viruses in the faecal microbiota of monozygotic twins and their mothers. Nature </w:t>
      </w:r>
      <w:r>
        <w:rPr>
          <w:b/>
        </w:rPr>
        <w:t>466</w:t>
      </w:r>
      <w:r>
        <w:t>:334–338.</w:t>
      </w:r>
    </w:p>
    <w:p w14:paraId="2E2F3914" w14:textId="77777777" w:rsidR="00545250" w:rsidRDefault="00031049" w:rsidP="00031049">
      <w:pPr>
        <w:pStyle w:val="Bibliography"/>
        <w:spacing w:line="480" w:lineRule="auto"/>
        <w:jc w:val="both"/>
      </w:pPr>
      <w:r>
        <w:t xml:space="preserve">39. </w:t>
      </w:r>
      <w:r>
        <w:rPr>
          <w:b/>
        </w:rPr>
        <w:t>Turnbaugh PJ</w:t>
      </w:r>
      <w:r>
        <w:t xml:space="preserve">, </w:t>
      </w:r>
      <w:r>
        <w:rPr>
          <w:b/>
        </w:rPr>
        <w:t>Hamady M</w:t>
      </w:r>
      <w:r>
        <w:t xml:space="preserve">, </w:t>
      </w:r>
      <w:r>
        <w:rPr>
          <w:b/>
        </w:rPr>
        <w:t>Yatsunenko T</w:t>
      </w:r>
      <w:r>
        <w:t xml:space="preserve">, </w:t>
      </w:r>
      <w:r>
        <w:rPr>
          <w:b/>
        </w:rPr>
        <w:t>Cantarel BL</w:t>
      </w:r>
      <w:r>
        <w:t xml:space="preserve">, </w:t>
      </w:r>
      <w:r>
        <w:rPr>
          <w:b/>
        </w:rPr>
        <w:t>Duncan A</w:t>
      </w:r>
      <w:r>
        <w:t xml:space="preserve">, </w:t>
      </w:r>
      <w:r>
        <w:rPr>
          <w:b/>
        </w:rPr>
        <w:t>Ley RE</w:t>
      </w:r>
      <w:r>
        <w:t xml:space="preserve">, </w:t>
      </w:r>
      <w:r>
        <w:rPr>
          <w:b/>
        </w:rPr>
        <w:t>Sogin ML</w:t>
      </w:r>
      <w:r>
        <w:t xml:space="preserve">, </w:t>
      </w:r>
      <w:r>
        <w:rPr>
          <w:b/>
        </w:rPr>
        <w:t>Jones WJ</w:t>
      </w:r>
      <w:r>
        <w:t xml:space="preserve">, </w:t>
      </w:r>
      <w:r>
        <w:rPr>
          <w:b/>
        </w:rPr>
        <w:t>Roe BA</w:t>
      </w:r>
      <w:r>
        <w:t xml:space="preserve">, </w:t>
      </w:r>
      <w:r>
        <w:rPr>
          <w:b/>
        </w:rPr>
        <w:t>Affourtit JP</w:t>
      </w:r>
      <w:r>
        <w:t xml:space="preserve">, </w:t>
      </w:r>
      <w:r>
        <w:rPr>
          <w:b/>
        </w:rPr>
        <w:t>Egholm M</w:t>
      </w:r>
      <w:r>
        <w:t xml:space="preserve">, </w:t>
      </w:r>
      <w:r>
        <w:rPr>
          <w:b/>
        </w:rPr>
        <w:t>Henrissat B</w:t>
      </w:r>
      <w:r>
        <w:t xml:space="preserve">, </w:t>
      </w:r>
      <w:r>
        <w:rPr>
          <w:b/>
        </w:rPr>
        <w:t>Heath AC</w:t>
      </w:r>
      <w:r>
        <w:t xml:space="preserve">, </w:t>
      </w:r>
      <w:r>
        <w:rPr>
          <w:b/>
        </w:rPr>
        <w:t>Knight R</w:t>
      </w:r>
      <w:r>
        <w:t xml:space="preserve">, </w:t>
      </w:r>
      <w:r>
        <w:rPr>
          <w:b/>
        </w:rPr>
        <w:t>Gordon JI</w:t>
      </w:r>
      <w:r>
        <w:t xml:space="preserve">. 2009. A core gut microbiome in obese and lean twins. Nature </w:t>
      </w:r>
      <w:r>
        <w:rPr>
          <w:b/>
        </w:rPr>
        <w:t>457</w:t>
      </w:r>
      <w:r>
        <w:t>:480–484.</w:t>
      </w:r>
    </w:p>
    <w:p w14:paraId="64AD8F74" w14:textId="77777777" w:rsidR="00545250" w:rsidRDefault="00031049" w:rsidP="00031049">
      <w:pPr>
        <w:pStyle w:val="Bibliography"/>
        <w:spacing w:line="480" w:lineRule="auto"/>
        <w:jc w:val="both"/>
      </w:pPr>
      <w:r>
        <w:t xml:space="preserve">40. </w:t>
      </w:r>
      <w:r>
        <w:rPr>
          <w:b/>
        </w:rPr>
        <w:t>Lima-Mendez G</w:t>
      </w:r>
      <w:r>
        <w:t xml:space="preserve">, </w:t>
      </w:r>
      <w:r>
        <w:rPr>
          <w:b/>
        </w:rPr>
        <w:t>Faust K</w:t>
      </w:r>
      <w:r>
        <w:t xml:space="preserve">, </w:t>
      </w:r>
      <w:r>
        <w:rPr>
          <w:b/>
        </w:rPr>
        <w:t>Henry N</w:t>
      </w:r>
      <w:r>
        <w:t xml:space="preserve">, </w:t>
      </w:r>
      <w:r>
        <w:rPr>
          <w:b/>
        </w:rPr>
        <w:t>Decelle J</w:t>
      </w:r>
      <w:r>
        <w:t xml:space="preserve">, </w:t>
      </w:r>
      <w:r>
        <w:rPr>
          <w:b/>
        </w:rPr>
        <w:t>Colin S</w:t>
      </w:r>
      <w:r>
        <w:t xml:space="preserve">, </w:t>
      </w:r>
      <w:r>
        <w:rPr>
          <w:b/>
        </w:rPr>
        <w:t>Carcillo F</w:t>
      </w:r>
      <w:r>
        <w:t xml:space="preserve">, </w:t>
      </w:r>
      <w:r>
        <w:rPr>
          <w:b/>
        </w:rPr>
        <w:t>Chaffron S</w:t>
      </w:r>
      <w:r>
        <w:t xml:space="preserve">, </w:t>
      </w:r>
      <w:r>
        <w:rPr>
          <w:b/>
        </w:rPr>
        <w:t>Ignacio-Espinosa JC</w:t>
      </w:r>
      <w:r>
        <w:t xml:space="preserve">, </w:t>
      </w:r>
      <w:r>
        <w:rPr>
          <w:b/>
        </w:rPr>
        <w:t>Roux S</w:t>
      </w:r>
      <w:r>
        <w:t xml:space="preserve">, </w:t>
      </w:r>
      <w:r>
        <w:rPr>
          <w:b/>
        </w:rPr>
        <w:t>Vincent F</w:t>
      </w:r>
      <w:r>
        <w:t xml:space="preserve">, </w:t>
      </w:r>
      <w:r>
        <w:rPr>
          <w:b/>
        </w:rPr>
        <w:t>Bittner L</w:t>
      </w:r>
      <w:r>
        <w:t xml:space="preserve">, </w:t>
      </w:r>
      <w:r>
        <w:rPr>
          <w:b/>
        </w:rPr>
        <w:t>Darzi Y</w:t>
      </w:r>
      <w:r>
        <w:t xml:space="preserve">, </w:t>
      </w:r>
      <w:r>
        <w:rPr>
          <w:b/>
        </w:rPr>
        <w:t>Wang J</w:t>
      </w:r>
      <w:r>
        <w:t xml:space="preserve">, </w:t>
      </w:r>
      <w:r>
        <w:rPr>
          <w:b/>
        </w:rPr>
        <w:t>Audic S</w:t>
      </w:r>
      <w:r>
        <w:t xml:space="preserve">, </w:t>
      </w:r>
      <w:r>
        <w:rPr>
          <w:b/>
        </w:rPr>
        <w:t>Berline L</w:t>
      </w:r>
      <w:r>
        <w:t xml:space="preserve">, </w:t>
      </w:r>
      <w:r>
        <w:rPr>
          <w:b/>
        </w:rPr>
        <w:t>Bontempi G</w:t>
      </w:r>
      <w:r>
        <w:t xml:space="preserve">, </w:t>
      </w:r>
      <w:r>
        <w:rPr>
          <w:b/>
        </w:rPr>
        <w:t>Cabello AM</w:t>
      </w:r>
      <w:r>
        <w:t xml:space="preserve">, </w:t>
      </w:r>
      <w:r>
        <w:rPr>
          <w:b/>
        </w:rPr>
        <w:t>Coppola L</w:t>
      </w:r>
      <w:r>
        <w:t xml:space="preserve">, </w:t>
      </w:r>
      <w:r>
        <w:rPr>
          <w:b/>
        </w:rPr>
        <w:t>Cornejo-Castillo FM</w:t>
      </w:r>
      <w:r>
        <w:t xml:space="preserve">, </w:t>
      </w:r>
      <w:r>
        <w:rPr>
          <w:b/>
        </w:rPr>
        <w:t>d’Ovidio F</w:t>
      </w:r>
      <w:r>
        <w:t xml:space="preserve">, </w:t>
      </w:r>
      <w:r>
        <w:rPr>
          <w:b/>
        </w:rPr>
        <w:t>De Meester L</w:t>
      </w:r>
      <w:r>
        <w:t xml:space="preserve">, </w:t>
      </w:r>
      <w:r>
        <w:rPr>
          <w:b/>
        </w:rPr>
        <w:t>Ferrera I</w:t>
      </w:r>
      <w:r>
        <w:t xml:space="preserve">, </w:t>
      </w:r>
      <w:r>
        <w:rPr>
          <w:b/>
        </w:rPr>
        <w:t>Garet-Delmas M-J</w:t>
      </w:r>
      <w:r>
        <w:t xml:space="preserve">, </w:t>
      </w:r>
      <w:r>
        <w:rPr>
          <w:b/>
        </w:rPr>
        <w:t>Guidi L</w:t>
      </w:r>
      <w:r>
        <w:t xml:space="preserve">, </w:t>
      </w:r>
      <w:r>
        <w:rPr>
          <w:b/>
        </w:rPr>
        <w:t>Lara E</w:t>
      </w:r>
      <w:r>
        <w:t xml:space="preserve">, </w:t>
      </w:r>
      <w:r>
        <w:rPr>
          <w:b/>
        </w:rPr>
        <w:t>Pesant S</w:t>
      </w:r>
      <w:r>
        <w:t xml:space="preserve">, </w:t>
      </w:r>
      <w:r>
        <w:rPr>
          <w:b/>
        </w:rPr>
        <w:t>Royo-Llonch M</w:t>
      </w:r>
      <w:r>
        <w:t xml:space="preserve">, </w:t>
      </w:r>
      <w:r>
        <w:rPr>
          <w:b/>
        </w:rPr>
        <w:t>Salazar G</w:t>
      </w:r>
      <w:r>
        <w:t xml:space="preserve">, </w:t>
      </w:r>
      <w:r>
        <w:rPr>
          <w:b/>
        </w:rPr>
        <w:t>Sánchez P</w:t>
      </w:r>
      <w:r>
        <w:t xml:space="preserve">, </w:t>
      </w:r>
      <w:r>
        <w:rPr>
          <w:b/>
        </w:rPr>
        <w:t>Sebastian M</w:t>
      </w:r>
      <w:r>
        <w:t xml:space="preserve">, </w:t>
      </w:r>
      <w:r>
        <w:rPr>
          <w:b/>
        </w:rPr>
        <w:t>Souffreau C</w:t>
      </w:r>
      <w:r>
        <w:t xml:space="preserve">, </w:t>
      </w:r>
      <w:r>
        <w:rPr>
          <w:b/>
        </w:rPr>
        <w:t>Dimier C</w:t>
      </w:r>
      <w:r>
        <w:t xml:space="preserve">, </w:t>
      </w:r>
      <w:r>
        <w:rPr>
          <w:b/>
        </w:rPr>
        <w:t>Picheral M</w:t>
      </w:r>
      <w:r>
        <w:t xml:space="preserve">, </w:t>
      </w:r>
      <w:r>
        <w:rPr>
          <w:b/>
        </w:rPr>
        <w:t>Searson S</w:t>
      </w:r>
      <w:r>
        <w:t xml:space="preserve">, </w:t>
      </w:r>
      <w:r>
        <w:rPr>
          <w:b/>
        </w:rPr>
        <w:t>Kandels-Lewis S</w:t>
      </w:r>
      <w:r>
        <w:t xml:space="preserve">, </w:t>
      </w:r>
      <w:r>
        <w:rPr>
          <w:b/>
        </w:rPr>
        <w:t>Tara Oceans Coordinators</w:t>
      </w:r>
      <w:r>
        <w:t xml:space="preserve">, </w:t>
      </w:r>
      <w:r>
        <w:rPr>
          <w:b/>
        </w:rPr>
        <w:t>Gorsky G</w:t>
      </w:r>
      <w:r>
        <w:t xml:space="preserve">, </w:t>
      </w:r>
      <w:r>
        <w:rPr>
          <w:b/>
        </w:rPr>
        <w:t>Not F</w:t>
      </w:r>
      <w:r>
        <w:t xml:space="preserve">, </w:t>
      </w:r>
      <w:r>
        <w:rPr>
          <w:b/>
        </w:rPr>
        <w:t>Ogata H</w:t>
      </w:r>
      <w:r>
        <w:t xml:space="preserve">, </w:t>
      </w:r>
      <w:r>
        <w:rPr>
          <w:b/>
        </w:rPr>
        <w:t>Speich S</w:t>
      </w:r>
      <w:r>
        <w:t xml:space="preserve">, </w:t>
      </w:r>
      <w:r>
        <w:rPr>
          <w:b/>
        </w:rPr>
        <w:t>Stemmann L</w:t>
      </w:r>
      <w:r>
        <w:t xml:space="preserve">, </w:t>
      </w:r>
      <w:r>
        <w:rPr>
          <w:b/>
        </w:rPr>
        <w:t>Weissenbach J</w:t>
      </w:r>
      <w:r>
        <w:t xml:space="preserve">, </w:t>
      </w:r>
      <w:r>
        <w:rPr>
          <w:b/>
        </w:rPr>
        <w:t>Wincker P</w:t>
      </w:r>
      <w:r>
        <w:t xml:space="preserve">, </w:t>
      </w:r>
      <w:r>
        <w:rPr>
          <w:b/>
        </w:rPr>
        <w:t>Acinas SG</w:t>
      </w:r>
      <w:r>
        <w:t xml:space="preserve">, </w:t>
      </w:r>
      <w:r>
        <w:rPr>
          <w:b/>
        </w:rPr>
        <w:t>Sunagawa S</w:t>
      </w:r>
      <w:r>
        <w:t xml:space="preserve">, </w:t>
      </w:r>
      <w:r>
        <w:rPr>
          <w:b/>
        </w:rPr>
        <w:t>Bork P</w:t>
      </w:r>
      <w:r>
        <w:t xml:space="preserve">, </w:t>
      </w:r>
      <w:r>
        <w:rPr>
          <w:b/>
        </w:rPr>
        <w:t>Sullivan MB</w:t>
      </w:r>
      <w:r>
        <w:t xml:space="preserve">, </w:t>
      </w:r>
      <w:r>
        <w:rPr>
          <w:b/>
        </w:rPr>
        <w:t>Karsenti E</w:t>
      </w:r>
      <w:r>
        <w:t xml:space="preserve">, </w:t>
      </w:r>
      <w:r>
        <w:rPr>
          <w:b/>
        </w:rPr>
        <w:t>Bowler C</w:t>
      </w:r>
      <w:r>
        <w:t xml:space="preserve">, </w:t>
      </w:r>
      <w:r>
        <w:rPr>
          <w:b/>
        </w:rPr>
        <w:t>Vargas C de</w:t>
      </w:r>
      <w:r>
        <w:t xml:space="preserve">, </w:t>
      </w:r>
      <w:r>
        <w:rPr>
          <w:b/>
        </w:rPr>
        <w:t>Raes J</w:t>
      </w:r>
      <w:r>
        <w:t xml:space="preserve">. 2015. Ocean plankton. Determinants of community structure in the global plankton interactome. Science </w:t>
      </w:r>
      <w:r>
        <w:rPr>
          <w:b/>
        </w:rPr>
        <w:t>348</w:t>
      </w:r>
      <w:r>
        <w:t>:1262073–1262073.</w:t>
      </w:r>
    </w:p>
    <w:p w14:paraId="71653126" w14:textId="77777777" w:rsidR="00545250" w:rsidRDefault="00031049" w:rsidP="00031049">
      <w:pPr>
        <w:pStyle w:val="Bibliography"/>
        <w:spacing w:line="480" w:lineRule="auto"/>
        <w:jc w:val="both"/>
      </w:pPr>
      <w:r>
        <w:lastRenderedPageBreak/>
        <w:t xml:space="preserve">41. </w:t>
      </w:r>
      <w:r>
        <w:rPr>
          <w:b/>
        </w:rPr>
        <w:t>Edwards RA</w:t>
      </w:r>
      <w:r>
        <w:t xml:space="preserve">, </w:t>
      </w:r>
      <w:r>
        <w:rPr>
          <w:b/>
        </w:rPr>
        <w:t>McNair K</w:t>
      </w:r>
      <w:r>
        <w:t xml:space="preserve">, </w:t>
      </w:r>
      <w:r>
        <w:rPr>
          <w:b/>
        </w:rPr>
        <w:t>Faust K</w:t>
      </w:r>
      <w:r>
        <w:t xml:space="preserve">, </w:t>
      </w:r>
      <w:r>
        <w:rPr>
          <w:b/>
        </w:rPr>
        <w:t>Raes J</w:t>
      </w:r>
      <w:r>
        <w:t xml:space="preserve">, </w:t>
      </w:r>
      <w:r>
        <w:rPr>
          <w:b/>
        </w:rPr>
        <w:t>Dutilh BE</w:t>
      </w:r>
      <w:r>
        <w:t xml:space="preserve">. 2015. Computational approaches to predict bacteriophage-host relationships. FEMS Microbiology Reviews </w:t>
      </w:r>
      <w:r>
        <w:rPr>
          <w:b/>
        </w:rPr>
        <w:t>40</w:t>
      </w:r>
      <w:r>
        <w:t>:258–272.</w:t>
      </w:r>
    </w:p>
    <w:p w14:paraId="521B811B" w14:textId="77777777" w:rsidR="00545250" w:rsidRDefault="00031049" w:rsidP="00031049">
      <w:pPr>
        <w:pStyle w:val="Bibliography"/>
        <w:spacing w:line="480" w:lineRule="auto"/>
        <w:jc w:val="both"/>
      </w:pPr>
      <w:r>
        <w:t xml:space="preserve">42. </w:t>
      </w:r>
      <w:r>
        <w:rPr>
          <w:b/>
        </w:rPr>
        <w:t>Roux S</w:t>
      </w:r>
      <w:r>
        <w:t xml:space="preserve">, </w:t>
      </w:r>
      <w:r>
        <w:rPr>
          <w:b/>
        </w:rPr>
        <w:t>Brum JR</w:t>
      </w:r>
      <w:r>
        <w:t xml:space="preserve">, </w:t>
      </w:r>
      <w:r>
        <w:rPr>
          <w:b/>
        </w:rPr>
        <w:t>Dutilh BE</w:t>
      </w:r>
      <w:r>
        <w:t xml:space="preserve">, </w:t>
      </w:r>
      <w:r>
        <w:rPr>
          <w:b/>
        </w:rPr>
        <w:t>Sunagawa S</w:t>
      </w:r>
      <w:r>
        <w:t xml:space="preserve">, </w:t>
      </w:r>
      <w:r>
        <w:rPr>
          <w:b/>
        </w:rPr>
        <w:t>Duhaime MB</w:t>
      </w:r>
      <w:r>
        <w:t xml:space="preserve">, </w:t>
      </w:r>
      <w:r>
        <w:rPr>
          <w:b/>
        </w:rPr>
        <w:t>Loy A</w:t>
      </w:r>
      <w:r>
        <w:t xml:space="preserve">, </w:t>
      </w:r>
      <w:r>
        <w:rPr>
          <w:b/>
        </w:rPr>
        <w:t>Poulos BT</w:t>
      </w:r>
      <w:r>
        <w:t xml:space="preserve">, </w:t>
      </w:r>
      <w:r>
        <w:rPr>
          <w:b/>
        </w:rPr>
        <w:t>Solonenko N</w:t>
      </w:r>
      <w:r>
        <w:t xml:space="preserve">, </w:t>
      </w:r>
      <w:r>
        <w:rPr>
          <w:b/>
        </w:rPr>
        <w:t>Lara E</w:t>
      </w:r>
      <w:r>
        <w:t xml:space="preserve">, </w:t>
      </w:r>
      <w:r>
        <w:rPr>
          <w:b/>
        </w:rPr>
        <w:t>Poulain J</w:t>
      </w:r>
      <w:r>
        <w:t xml:space="preserve">, </w:t>
      </w:r>
      <w:r>
        <w:rPr>
          <w:b/>
        </w:rPr>
        <w:t>Pesant S</w:t>
      </w:r>
      <w:r>
        <w:t xml:space="preserve">, </w:t>
      </w:r>
      <w:r>
        <w:rPr>
          <w:b/>
        </w:rPr>
        <w:t>Kandels-Lewis S</w:t>
      </w:r>
      <w:r>
        <w:t xml:space="preserve">, </w:t>
      </w:r>
      <w:r>
        <w:rPr>
          <w:b/>
        </w:rPr>
        <w:t>Dimier C</w:t>
      </w:r>
      <w:r>
        <w:t xml:space="preserve">, </w:t>
      </w:r>
      <w:r>
        <w:rPr>
          <w:b/>
        </w:rPr>
        <w:t>Picheral M</w:t>
      </w:r>
      <w:r>
        <w:t xml:space="preserve">, </w:t>
      </w:r>
      <w:r>
        <w:rPr>
          <w:b/>
        </w:rPr>
        <w:t>Searson S</w:t>
      </w:r>
      <w:r>
        <w:t xml:space="preserve">, </w:t>
      </w:r>
      <w:r>
        <w:rPr>
          <w:b/>
        </w:rPr>
        <w:t>Cruaud C</w:t>
      </w:r>
      <w:r>
        <w:t xml:space="preserve">, </w:t>
      </w:r>
      <w:r>
        <w:rPr>
          <w:b/>
        </w:rPr>
        <w:t>Alberti A</w:t>
      </w:r>
      <w:r>
        <w:t xml:space="preserve">, </w:t>
      </w:r>
      <w:r>
        <w:rPr>
          <w:b/>
        </w:rPr>
        <w:t>Duarte CM</w:t>
      </w:r>
      <w:r>
        <w:t xml:space="preserve">, </w:t>
      </w:r>
      <w:r>
        <w:rPr>
          <w:b/>
        </w:rPr>
        <w:t>Gasol JM</w:t>
      </w:r>
      <w:r>
        <w:t xml:space="preserve">, </w:t>
      </w:r>
      <w:r>
        <w:rPr>
          <w:b/>
        </w:rPr>
        <w:t>Vaqué D</w:t>
      </w:r>
      <w:r>
        <w:t xml:space="preserve">, </w:t>
      </w:r>
      <w:r>
        <w:rPr>
          <w:b/>
        </w:rPr>
        <w:t>Tara Oceans Coordinators</w:t>
      </w:r>
      <w:r>
        <w:t xml:space="preserve">, </w:t>
      </w:r>
      <w:r>
        <w:rPr>
          <w:b/>
        </w:rPr>
        <w:t>Bork P</w:t>
      </w:r>
      <w:r>
        <w:t xml:space="preserve">, </w:t>
      </w:r>
      <w:r>
        <w:rPr>
          <w:b/>
        </w:rPr>
        <w:t>Acinas SG</w:t>
      </w:r>
      <w:r>
        <w:t xml:space="preserve">, </w:t>
      </w:r>
      <w:r>
        <w:rPr>
          <w:b/>
        </w:rPr>
        <w:t>Wincker P</w:t>
      </w:r>
      <w:r>
        <w:t xml:space="preserve">, </w:t>
      </w:r>
      <w:r>
        <w:rPr>
          <w:b/>
        </w:rPr>
        <w:t>Sullivan MB</w:t>
      </w:r>
      <w:r>
        <w:t xml:space="preserve">. 2016. Ecogenomics and potential biogeochemical impacts of globally abundant ocean viruses. Nature </w:t>
      </w:r>
      <w:r>
        <w:rPr>
          <w:b/>
        </w:rPr>
        <w:t>537</w:t>
      </w:r>
      <w:r>
        <w:t>:689–693.</w:t>
      </w:r>
    </w:p>
    <w:p w14:paraId="0434BDDB" w14:textId="77777777" w:rsidR="00545250" w:rsidRDefault="00031049" w:rsidP="00031049">
      <w:pPr>
        <w:pStyle w:val="Bibliography"/>
        <w:spacing w:line="480" w:lineRule="auto"/>
        <w:jc w:val="both"/>
      </w:pPr>
      <w:r>
        <w:t xml:space="preserve">43. </w:t>
      </w:r>
      <w:r>
        <w:rPr>
          <w:b/>
        </w:rPr>
        <w:t>Grice EA</w:t>
      </w:r>
      <w:r>
        <w:t xml:space="preserve">, </w:t>
      </w:r>
      <w:r>
        <w:rPr>
          <w:b/>
        </w:rPr>
        <w:t>Kong HH</w:t>
      </w:r>
      <w:r>
        <w:t xml:space="preserve">, </w:t>
      </w:r>
      <w:r>
        <w:rPr>
          <w:b/>
        </w:rPr>
        <w:t>Conlan S</w:t>
      </w:r>
      <w:r>
        <w:t xml:space="preserve">, </w:t>
      </w:r>
      <w:r>
        <w:rPr>
          <w:b/>
        </w:rPr>
        <w:t>Deming CB</w:t>
      </w:r>
      <w:r>
        <w:t xml:space="preserve">, </w:t>
      </w:r>
      <w:r>
        <w:rPr>
          <w:b/>
        </w:rPr>
        <w:t>Davis J</w:t>
      </w:r>
      <w:r>
        <w:t xml:space="preserve">, </w:t>
      </w:r>
      <w:r>
        <w:rPr>
          <w:b/>
        </w:rPr>
        <w:t>Young AC</w:t>
      </w:r>
      <w:r>
        <w:t xml:space="preserve">, </w:t>
      </w:r>
      <w:r>
        <w:rPr>
          <w:b/>
        </w:rPr>
        <w:t>NISC Comparative Sequencing Program</w:t>
      </w:r>
      <w:r>
        <w:t xml:space="preserve">, </w:t>
      </w:r>
      <w:r>
        <w:rPr>
          <w:b/>
        </w:rPr>
        <w:t>Bouffard GG</w:t>
      </w:r>
      <w:r>
        <w:t xml:space="preserve">, </w:t>
      </w:r>
      <w:r>
        <w:rPr>
          <w:b/>
        </w:rPr>
        <w:t>Blakesley RW</w:t>
      </w:r>
      <w:r>
        <w:t xml:space="preserve">, </w:t>
      </w:r>
      <w:r>
        <w:rPr>
          <w:b/>
        </w:rPr>
        <w:t>Murray PR</w:t>
      </w:r>
      <w:r>
        <w:t xml:space="preserve">, </w:t>
      </w:r>
      <w:r>
        <w:rPr>
          <w:b/>
        </w:rPr>
        <w:t>Green ED</w:t>
      </w:r>
      <w:r>
        <w:t xml:space="preserve">, </w:t>
      </w:r>
      <w:r>
        <w:rPr>
          <w:b/>
        </w:rPr>
        <w:t>Turner ML</w:t>
      </w:r>
      <w:r>
        <w:t xml:space="preserve">, </w:t>
      </w:r>
      <w:r>
        <w:rPr>
          <w:b/>
        </w:rPr>
        <w:t>Segre JA</w:t>
      </w:r>
      <w:r>
        <w:t xml:space="preserve">. 2009. Topographical and Temporal Diversity of the Human Skin Microbiome. Science </w:t>
      </w:r>
      <w:r>
        <w:rPr>
          <w:b/>
        </w:rPr>
        <w:t>324</w:t>
      </w:r>
      <w:r>
        <w:t>:1190–1192.</w:t>
      </w:r>
    </w:p>
    <w:p w14:paraId="76643440" w14:textId="77777777" w:rsidR="00545250" w:rsidRDefault="00031049" w:rsidP="00031049">
      <w:pPr>
        <w:pStyle w:val="Bibliography"/>
        <w:spacing w:line="480" w:lineRule="auto"/>
        <w:jc w:val="both"/>
      </w:pPr>
      <w:r>
        <w:t xml:space="preserve">44. </w:t>
      </w:r>
      <w:r>
        <w:rPr>
          <w:b/>
        </w:rPr>
        <w:t>Findley K</w:t>
      </w:r>
      <w:r>
        <w:t xml:space="preserve">, </w:t>
      </w:r>
      <w:r>
        <w:rPr>
          <w:b/>
        </w:rPr>
        <w:t>Oh J</w:t>
      </w:r>
      <w:r>
        <w:t xml:space="preserve">, </w:t>
      </w:r>
      <w:r>
        <w:rPr>
          <w:b/>
        </w:rPr>
        <w:t>Yang J</w:t>
      </w:r>
      <w:r>
        <w:t xml:space="preserve">, </w:t>
      </w:r>
      <w:r>
        <w:rPr>
          <w:b/>
        </w:rPr>
        <w:t>Conlan S</w:t>
      </w:r>
      <w:r>
        <w:t xml:space="preserve">, </w:t>
      </w:r>
      <w:r>
        <w:rPr>
          <w:b/>
        </w:rPr>
        <w:t>Deming C</w:t>
      </w:r>
      <w:r>
        <w:t xml:space="preserve">, </w:t>
      </w:r>
      <w:r>
        <w:rPr>
          <w:b/>
        </w:rPr>
        <w:t>Meyer JA</w:t>
      </w:r>
      <w:r>
        <w:t xml:space="preserve">, </w:t>
      </w:r>
      <w:r>
        <w:rPr>
          <w:b/>
        </w:rPr>
        <w:t>Schoenfeld D</w:t>
      </w:r>
      <w:r>
        <w:t xml:space="preserve">, </w:t>
      </w:r>
      <w:r>
        <w:rPr>
          <w:b/>
        </w:rPr>
        <w:t>Nomicos E</w:t>
      </w:r>
      <w:r>
        <w:t xml:space="preserve">, </w:t>
      </w:r>
      <w:r>
        <w:rPr>
          <w:b/>
        </w:rPr>
        <w:t>Park M</w:t>
      </w:r>
      <w:r>
        <w:t xml:space="preserve">, </w:t>
      </w:r>
      <w:r>
        <w:rPr>
          <w:b/>
        </w:rPr>
        <w:t>NIH Intramural Sequencing Center Comparative Sequencing Program</w:t>
      </w:r>
      <w:r>
        <w:t xml:space="preserve">, </w:t>
      </w:r>
      <w:r>
        <w:rPr>
          <w:b/>
        </w:rPr>
        <w:t>Kong HH</w:t>
      </w:r>
      <w:r>
        <w:t xml:space="preserve">, </w:t>
      </w:r>
      <w:r>
        <w:rPr>
          <w:b/>
        </w:rPr>
        <w:t>Segre JA</w:t>
      </w:r>
      <w:r>
        <w:t>. 2013. Topographic diversity of fungal and bacterial communities in human skin. Nature 1–6.</w:t>
      </w:r>
    </w:p>
    <w:p w14:paraId="7D357634" w14:textId="77777777" w:rsidR="00545250" w:rsidRDefault="00031049" w:rsidP="00031049">
      <w:pPr>
        <w:pStyle w:val="Bibliography"/>
        <w:spacing w:line="480" w:lineRule="auto"/>
        <w:jc w:val="both"/>
      </w:pPr>
      <w:r>
        <w:t xml:space="preserve">45. </w:t>
      </w:r>
      <w:r>
        <w:rPr>
          <w:b/>
        </w:rPr>
        <w:t>Costello EK</w:t>
      </w:r>
      <w:r>
        <w:t xml:space="preserve">, </w:t>
      </w:r>
      <w:r>
        <w:rPr>
          <w:b/>
        </w:rPr>
        <w:t>Lauber CL</w:t>
      </w:r>
      <w:r>
        <w:t xml:space="preserve">, </w:t>
      </w:r>
      <w:r>
        <w:rPr>
          <w:b/>
        </w:rPr>
        <w:t>Hamady M</w:t>
      </w:r>
      <w:r>
        <w:t xml:space="preserve">, </w:t>
      </w:r>
      <w:r>
        <w:rPr>
          <w:b/>
        </w:rPr>
        <w:t>Fierer N</w:t>
      </w:r>
      <w:r>
        <w:t xml:space="preserve">, </w:t>
      </w:r>
      <w:r>
        <w:rPr>
          <w:b/>
        </w:rPr>
        <w:t>Gordon JI</w:t>
      </w:r>
      <w:r>
        <w:t xml:space="preserve">, </w:t>
      </w:r>
      <w:r>
        <w:rPr>
          <w:b/>
        </w:rPr>
        <w:t>Knight R</w:t>
      </w:r>
      <w:r>
        <w:t xml:space="preserve">. 2009. Bacterial community variation in human body habitats across space and time. Science </w:t>
      </w:r>
      <w:r>
        <w:rPr>
          <w:b/>
        </w:rPr>
        <w:t>326</w:t>
      </w:r>
      <w:r>
        <w:t>:1694–1697.</w:t>
      </w:r>
    </w:p>
    <w:p w14:paraId="0704ABF2" w14:textId="77777777" w:rsidR="00545250" w:rsidRDefault="00031049" w:rsidP="00031049">
      <w:pPr>
        <w:pStyle w:val="Bibliography"/>
        <w:spacing w:line="480" w:lineRule="auto"/>
        <w:jc w:val="both"/>
      </w:pPr>
      <w:r>
        <w:t xml:space="preserve">46. </w:t>
      </w:r>
      <w:r>
        <w:rPr>
          <w:b/>
        </w:rPr>
        <w:t>Consortium THMP</w:t>
      </w:r>
      <w:r>
        <w:t xml:space="preserve">. 2012. A framework for human microbiome research. Nature </w:t>
      </w:r>
      <w:r>
        <w:rPr>
          <w:b/>
        </w:rPr>
        <w:t>486</w:t>
      </w:r>
      <w:r>
        <w:t>:215–221.</w:t>
      </w:r>
    </w:p>
    <w:p w14:paraId="59450A8D" w14:textId="77777777" w:rsidR="00545250" w:rsidRDefault="00031049" w:rsidP="00031049">
      <w:pPr>
        <w:pStyle w:val="Bibliography"/>
        <w:spacing w:line="480" w:lineRule="auto"/>
        <w:jc w:val="both"/>
      </w:pPr>
      <w:r>
        <w:lastRenderedPageBreak/>
        <w:t xml:space="preserve">47. </w:t>
      </w:r>
      <w:r>
        <w:rPr>
          <w:b/>
        </w:rPr>
        <w:t>Jensen EC</w:t>
      </w:r>
      <w:r>
        <w:t xml:space="preserve">, </w:t>
      </w:r>
      <w:r>
        <w:rPr>
          <w:b/>
        </w:rPr>
        <w:t>Schrader HS</w:t>
      </w:r>
      <w:r>
        <w:t xml:space="preserve">, </w:t>
      </w:r>
      <w:r>
        <w:rPr>
          <w:b/>
        </w:rPr>
        <w:t>Rieland B</w:t>
      </w:r>
      <w:r>
        <w:t xml:space="preserve">, </w:t>
      </w:r>
      <w:r>
        <w:rPr>
          <w:b/>
        </w:rPr>
        <w:t>Thompson TL</w:t>
      </w:r>
      <w:r>
        <w:t xml:space="preserve">, </w:t>
      </w:r>
      <w:r>
        <w:rPr>
          <w:b/>
        </w:rPr>
        <w:t>Lee KW</w:t>
      </w:r>
      <w:r>
        <w:t xml:space="preserve">, </w:t>
      </w:r>
      <w:r>
        <w:rPr>
          <w:b/>
        </w:rPr>
        <w:t>Nickerson KW</w:t>
      </w:r>
      <w:r>
        <w:t xml:space="preserve">, </w:t>
      </w:r>
      <w:r>
        <w:rPr>
          <w:b/>
        </w:rPr>
        <w:t>Kokjohn TA</w:t>
      </w:r>
      <w:r>
        <w:t xml:space="preserve">. 1998. Prevalence of broad-host-range lytic bacteriophages of Sphaerotilus natans, Escherichia coli, and Pseudomonas aeruginosa. Applied and Environmental Microbiology </w:t>
      </w:r>
      <w:r>
        <w:rPr>
          <w:b/>
        </w:rPr>
        <w:t>64</w:t>
      </w:r>
      <w:r>
        <w:t>:575–580.</w:t>
      </w:r>
    </w:p>
    <w:p w14:paraId="48B2A06F" w14:textId="77777777" w:rsidR="00545250" w:rsidRDefault="00031049" w:rsidP="00031049">
      <w:pPr>
        <w:pStyle w:val="Bibliography"/>
        <w:spacing w:line="480" w:lineRule="auto"/>
        <w:jc w:val="both"/>
      </w:pPr>
      <w:r>
        <w:t xml:space="preserve">48. </w:t>
      </w:r>
      <w:r>
        <w:rPr>
          <w:b/>
        </w:rPr>
        <w:t>Malki K</w:t>
      </w:r>
      <w:r>
        <w:t xml:space="preserve">, </w:t>
      </w:r>
      <w:r>
        <w:rPr>
          <w:b/>
        </w:rPr>
        <w:t>Kula A</w:t>
      </w:r>
      <w:r>
        <w:t xml:space="preserve">, </w:t>
      </w:r>
      <w:r>
        <w:rPr>
          <w:b/>
        </w:rPr>
        <w:t>Bruder K</w:t>
      </w:r>
      <w:r>
        <w:t xml:space="preserve">, </w:t>
      </w:r>
      <w:r>
        <w:rPr>
          <w:b/>
        </w:rPr>
        <w:t>Sible E</w:t>
      </w:r>
      <w:r>
        <w:t>. 2015. Bacteriophages isolated from Lake Michigan demonstrate broad host-range across several bacterial phyla. Virology.</w:t>
      </w:r>
    </w:p>
    <w:p w14:paraId="07C19AAB" w14:textId="77777777" w:rsidR="00545250" w:rsidRDefault="00031049" w:rsidP="00031049">
      <w:pPr>
        <w:pStyle w:val="Bibliography"/>
        <w:spacing w:line="480" w:lineRule="auto"/>
        <w:jc w:val="both"/>
      </w:pPr>
      <w:r>
        <w:t xml:space="preserve">49. </w:t>
      </w:r>
      <w:r>
        <w:rPr>
          <w:b/>
        </w:rPr>
        <w:t>Schwarzer D</w:t>
      </w:r>
      <w:r>
        <w:t xml:space="preserve">, </w:t>
      </w:r>
      <w:r>
        <w:rPr>
          <w:b/>
        </w:rPr>
        <w:t>Buettner FFR</w:t>
      </w:r>
      <w:r>
        <w:t xml:space="preserve">, </w:t>
      </w:r>
      <w:r>
        <w:rPr>
          <w:b/>
        </w:rPr>
        <w:t>Browning C</w:t>
      </w:r>
      <w:r>
        <w:t xml:space="preserve">, </w:t>
      </w:r>
      <w:r>
        <w:rPr>
          <w:b/>
        </w:rPr>
        <w:t>Nazarov S</w:t>
      </w:r>
      <w:r>
        <w:t xml:space="preserve">, </w:t>
      </w:r>
      <w:r>
        <w:rPr>
          <w:b/>
        </w:rPr>
        <w:t>Rabsch W</w:t>
      </w:r>
      <w:r>
        <w:t xml:space="preserve">, </w:t>
      </w:r>
      <w:r>
        <w:rPr>
          <w:b/>
        </w:rPr>
        <w:t>Bethe A</w:t>
      </w:r>
      <w:r>
        <w:t xml:space="preserve">, </w:t>
      </w:r>
      <w:r>
        <w:rPr>
          <w:b/>
        </w:rPr>
        <w:t>Oberbeck A</w:t>
      </w:r>
      <w:r>
        <w:t xml:space="preserve">, </w:t>
      </w:r>
      <w:r>
        <w:rPr>
          <w:b/>
        </w:rPr>
        <w:t>Bowman VD</w:t>
      </w:r>
      <w:r>
        <w:t xml:space="preserve">, </w:t>
      </w:r>
      <w:r>
        <w:rPr>
          <w:b/>
        </w:rPr>
        <w:t>Stummeyer K</w:t>
      </w:r>
      <w:r>
        <w:t xml:space="preserve">, </w:t>
      </w:r>
      <w:r>
        <w:rPr>
          <w:b/>
        </w:rPr>
        <w:t>Mühlenhoff M</w:t>
      </w:r>
      <w:r>
        <w:t xml:space="preserve">, </w:t>
      </w:r>
      <w:r>
        <w:rPr>
          <w:b/>
        </w:rPr>
        <w:t>Leiman PG</w:t>
      </w:r>
      <w:r>
        <w:t xml:space="preserve">, </w:t>
      </w:r>
      <w:r>
        <w:rPr>
          <w:b/>
        </w:rPr>
        <w:t>Gerardy-Schahn R</w:t>
      </w:r>
      <w:r>
        <w:t xml:space="preserve">. 2012. A multivalent adsorption apparatus explains the broad host range of phage phi92: a comprehensive genomic and structural analysis. Journal of Virology </w:t>
      </w:r>
      <w:r>
        <w:rPr>
          <w:b/>
        </w:rPr>
        <w:t>86</w:t>
      </w:r>
      <w:r>
        <w:t>:10384–10398.</w:t>
      </w:r>
    </w:p>
    <w:p w14:paraId="29574B85" w14:textId="77777777" w:rsidR="00545250" w:rsidRDefault="00031049" w:rsidP="00031049">
      <w:pPr>
        <w:pStyle w:val="Bibliography"/>
        <w:spacing w:line="480" w:lineRule="auto"/>
        <w:jc w:val="both"/>
      </w:pPr>
      <w:r>
        <w:t xml:space="preserve">50. </w:t>
      </w:r>
      <w:r>
        <w:rPr>
          <w:b/>
        </w:rPr>
        <w:t>Kim S</w:t>
      </w:r>
      <w:r>
        <w:t xml:space="preserve">, </w:t>
      </w:r>
      <w:r>
        <w:rPr>
          <w:b/>
        </w:rPr>
        <w:t>Rahman M</w:t>
      </w:r>
      <w:r>
        <w:t xml:space="preserve">, </w:t>
      </w:r>
      <w:r>
        <w:rPr>
          <w:b/>
        </w:rPr>
        <w:t>Seol SY</w:t>
      </w:r>
      <w:r>
        <w:t xml:space="preserve">, </w:t>
      </w:r>
      <w:r>
        <w:rPr>
          <w:b/>
        </w:rPr>
        <w:t>Yoon SS</w:t>
      </w:r>
      <w:r>
        <w:t xml:space="preserve">, </w:t>
      </w:r>
      <w:r>
        <w:rPr>
          <w:b/>
        </w:rPr>
        <w:t>Kim J</w:t>
      </w:r>
      <w:r>
        <w:t xml:space="preserve">. 2012. Pseudomonas aeruginosa bacteriophage PA1Ø requires type IV pili for infection and shows broad bactericidal and biofilm removal activities. Applied and Environmental Microbiology </w:t>
      </w:r>
      <w:r>
        <w:rPr>
          <w:b/>
        </w:rPr>
        <w:t>78</w:t>
      </w:r>
      <w:r>
        <w:t>:6380–6385.</w:t>
      </w:r>
    </w:p>
    <w:p w14:paraId="14F8E60A" w14:textId="77777777" w:rsidR="00545250" w:rsidRDefault="00031049" w:rsidP="00031049">
      <w:pPr>
        <w:pStyle w:val="Bibliography"/>
        <w:spacing w:line="480" w:lineRule="auto"/>
        <w:jc w:val="both"/>
      </w:pPr>
      <w:r>
        <w:t xml:space="preserve">51. </w:t>
      </w:r>
      <w:r>
        <w:rPr>
          <w:b/>
        </w:rPr>
        <w:t>Matsuzaki S</w:t>
      </w:r>
      <w:r>
        <w:t xml:space="preserve">, </w:t>
      </w:r>
      <w:r>
        <w:rPr>
          <w:b/>
        </w:rPr>
        <w:t>Tanaka S</w:t>
      </w:r>
      <w:r>
        <w:t xml:space="preserve">, </w:t>
      </w:r>
      <w:r>
        <w:rPr>
          <w:b/>
        </w:rPr>
        <w:t>Koga T</w:t>
      </w:r>
      <w:r>
        <w:t xml:space="preserve">, </w:t>
      </w:r>
      <w:r>
        <w:rPr>
          <w:b/>
        </w:rPr>
        <w:t>Kawata T</w:t>
      </w:r>
      <w:r>
        <w:t xml:space="preserve">. 1992. A Broad-Host-Range Vibriophage, KVP40, Isolated from Sea Water. Microbiology and Immunology </w:t>
      </w:r>
      <w:r>
        <w:rPr>
          <w:b/>
        </w:rPr>
        <w:t>36</w:t>
      </w:r>
      <w:r>
        <w:t>:93–97.</w:t>
      </w:r>
    </w:p>
    <w:p w14:paraId="2B9DD45E" w14:textId="77777777" w:rsidR="00545250" w:rsidRDefault="00031049" w:rsidP="00031049">
      <w:pPr>
        <w:pStyle w:val="Bibliography"/>
        <w:spacing w:line="480" w:lineRule="auto"/>
        <w:jc w:val="both"/>
      </w:pPr>
      <w:r>
        <w:t xml:space="preserve">52. </w:t>
      </w:r>
      <w:r>
        <w:rPr>
          <w:b/>
        </w:rPr>
        <w:t>Orchard S</w:t>
      </w:r>
      <w:r>
        <w:t xml:space="preserve">, </w:t>
      </w:r>
      <w:r>
        <w:rPr>
          <w:b/>
        </w:rPr>
        <w:t>Ammari M</w:t>
      </w:r>
      <w:r>
        <w:t xml:space="preserve">, </w:t>
      </w:r>
      <w:r>
        <w:rPr>
          <w:b/>
        </w:rPr>
        <w:t>Aranda B</w:t>
      </w:r>
      <w:r>
        <w:t xml:space="preserve">, </w:t>
      </w:r>
      <w:r>
        <w:rPr>
          <w:b/>
        </w:rPr>
        <w:t>Breuza L</w:t>
      </w:r>
      <w:r>
        <w:t xml:space="preserve">, </w:t>
      </w:r>
      <w:r>
        <w:rPr>
          <w:b/>
        </w:rPr>
        <w:t>Briganti L</w:t>
      </w:r>
      <w:r>
        <w:t xml:space="preserve">, </w:t>
      </w:r>
      <w:r>
        <w:rPr>
          <w:b/>
        </w:rPr>
        <w:t>Broackes-Carter F</w:t>
      </w:r>
      <w:r>
        <w:t xml:space="preserve">, </w:t>
      </w:r>
      <w:r>
        <w:rPr>
          <w:b/>
        </w:rPr>
        <w:t>Campbell NH</w:t>
      </w:r>
      <w:r>
        <w:t xml:space="preserve">, </w:t>
      </w:r>
      <w:r>
        <w:rPr>
          <w:b/>
        </w:rPr>
        <w:t>Chavali G</w:t>
      </w:r>
      <w:r>
        <w:t xml:space="preserve">, </w:t>
      </w:r>
      <w:r>
        <w:rPr>
          <w:b/>
        </w:rPr>
        <w:t>Chen C</w:t>
      </w:r>
      <w:r>
        <w:t xml:space="preserve">, </w:t>
      </w:r>
      <w:r>
        <w:rPr>
          <w:b/>
        </w:rPr>
        <w:t>del-Toro N</w:t>
      </w:r>
      <w:r>
        <w:t xml:space="preserve">, </w:t>
      </w:r>
      <w:r>
        <w:rPr>
          <w:b/>
        </w:rPr>
        <w:t>Duesbury M</w:t>
      </w:r>
      <w:r>
        <w:t xml:space="preserve">, </w:t>
      </w:r>
      <w:r>
        <w:rPr>
          <w:b/>
        </w:rPr>
        <w:t>Dumousseau M</w:t>
      </w:r>
      <w:r>
        <w:t xml:space="preserve">, </w:t>
      </w:r>
      <w:r>
        <w:rPr>
          <w:b/>
        </w:rPr>
        <w:t>Galeota E</w:t>
      </w:r>
      <w:r>
        <w:t xml:space="preserve">, </w:t>
      </w:r>
      <w:r>
        <w:rPr>
          <w:b/>
        </w:rPr>
        <w:t>Hinz U</w:t>
      </w:r>
      <w:r>
        <w:t xml:space="preserve">, </w:t>
      </w:r>
      <w:r>
        <w:rPr>
          <w:b/>
        </w:rPr>
        <w:t>Iannuccelli M</w:t>
      </w:r>
      <w:r>
        <w:t xml:space="preserve">, </w:t>
      </w:r>
      <w:r>
        <w:rPr>
          <w:b/>
        </w:rPr>
        <w:t>Jagannathan S</w:t>
      </w:r>
      <w:r>
        <w:t xml:space="preserve">, </w:t>
      </w:r>
      <w:r>
        <w:rPr>
          <w:b/>
        </w:rPr>
        <w:t>Jimenez R</w:t>
      </w:r>
      <w:r>
        <w:t xml:space="preserve">, </w:t>
      </w:r>
      <w:r>
        <w:rPr>
          <w:b/>
        </w:rPr>
        <w:t>Khadake J</w:t>
      </w:r>
      <w:r>
        <w:t xml:space="preserve">, </w:t>
      </w:r>
      <w:r>
        <w:rPr>
          <w:b/>
        </w:rPr>
        <w:t>Lagreid A</w:t>
      </w:r>
      <w:r>
        <w:t xml:space="preserve">, </w:t>
      </w:r>
      <w:r>
        <w:rPr>
          <w:b/>
        </w:rPr>
        <w:t>Licata L</w:t>
      </w:r>
      <w:r>
        <w:t xml:space="preserve">, </w:t>
      </w:r>
      <w:r>
        <w:rPr>
          <w:b/>
        </w:rPr>
        <w:t>Lovering RC</w:t>
      </w:r>
      <w:r>
        <w:t xml:space="preserve">, </w:t>
      </w:r>
      <w:r>
        <w:rPr>
          <w:b/>
        </w:rPr>
        <w:t>Meldal B</w:t>
      </w:r>
      <w:r>
        <w:t xml:space="preserve">, </w:t>
      </w:r>
      <w:r>
        <w:rPr>
          <w:b/>
        </w:rPr>
        <w:t>Melidoni AN</w:t>
      </w:r>
      <w:r>
        <w:t xml:space="preserve">, </w:t>
      </w:r>
      <w:r>
        <w:rPr>
          <w:b/>
        </w:rPr>
        <w:t>Milagros M</w:t>
      </w:r>
      <w:r>
        <w:t xml:space="preserve">, </w:t>
      </w:r>
      <w:r>
        <w:rPr>
          <w:b/>
        </w:rPr>
        <w:t>Peluso D</w:t>
      </w:r>
      <w:r>
        <w:t xml:space="preserve">, </w:t>
      </w:r>
      <w:r>
        <w:rPr>
          <w:b/>
        </w:rPr>
        <w:t>Perfetto L</w:t>
      </w:r>
      <w:r>
        <w:t xml:space="preserve">, </w:t>
      </w:r>
      <w:r>
        <w:rPr>
          <w:b/>
        </w:rPr>
        <w:t>Porras P</w:t>
      </w:r>
      <w:r>
        <w:t xml:space="preserve">, </w:t>
      </w:r>
      <w:r>
        <w:rPr>
          <w:b/>
        </w:rPr>
        <w:t>Raghunath A</w:t>
      </w:r>
      <w:r>
        <w:t xml:space="preserve">, </w:t>
      </w:r>
      <w:r>
        <w:rPr>
          <w:b/>
        </w:rPr>
        <w:t>Ricard-Blum S</w:t>
      </w:r>
      <w:r>
        <w:t xml:space="preserve">, </w:t>
      </w:r>
      <w:r>
        <w:rPr>
          <w:b/>
        </w:rPr>
        <w:t>Roechert B</w:t>
      </w:r>
      <w:r>
        <w:t xml:space="preserve">, </w:t>
      </w:r>
      <w:r>
        <w:rPr>
          <w:b/>
        </w:rPr>
        <w:t>Stutz A</w:t>
      </w:r>
      <w:r>
        <w:t xml:space="preserve">, </w:t>
      </w:r>
      <w:r>
        <w:rPr>
          <w:b/>
        </w:rPr>
        <w:t>Tognolli M</w:t>
      </w:r>
      <w:r>
        <w:t xml:space="preserve">, </w:t>
      </w:r>
      <w:r>
        <w:rPr>
          <w:b/>
        </w:rPr>
        <w:t>Roey K van</w:t>
      </w:r>
      <w:r>
        <w:t xml:space="preserve">, </w:t>
      </w:r>
      <w:r>
        <w:rPr>
          <w:b/>
        </w:rPr>
        <w:t>Cesareni G</w:t>
      </w:r>
      <w:r>
        <w:t xml:space="preserve">, </w:t>
      </w:r>
      <w:r>
        <w:rPr>
          <w:b/>
        </w:rPr>
        <w:t>Hermjakob H</w:t>
      </w:r>
      <w:r>
        <w:t xml:space="preserve">. </w:t>
      </w:r>
      <w:r>
        <w:lastRenderedPageBreak/>
        <w:t xml:space="preserve">2014. The MIntAct project–IntAct as a common curation platform for 11 molecular interaction databases. Nucleic Acids Research </w:t>
      </w:r>
      <w:r>
        <w:rPr>
          <w:b/>
        </w:rPr>
        <w:t>42</w:t>
      </w:r>
      <w:r>
        <w:t>:D358–63.</w:t>
      </w:r>
    </w:p>
    <w:p w14:paraId="60E8DF9B" w14:textId="77777777" w:rsidR="00545250" w:rsidRDefault="00031049" w:rsidP="00031049">
      <w:pPr>
        <w:pStyle w:val="Bibliography"/>
        <w:spacing w:line="480" w:lineRule="auto"/>
        <w:jc w:val="both"/>
      </w:pPr>
      <w:r>
        <w:t xml:space="preserve">53. </w:t>
      </w:r>
      <w:r>
        <w:rPr>
          <w:b/>
        </w:rPr>
        <w:t>Turnbaugh PJ</w:t>
      </w:r>
      <w:r>
        <w:t xml:space="preserve">, </w:t>
      </w:r>
      <w:r>
        <w:rPr>
          <w:b/>
        </w:rPr>
        <w:t>Ridaura VK</w:t>
      </w:r>
      <w:r>
        <w:t xml:space="preserve">, </w:t>
      </w:r>
      <w:r>
        <w:rPr>
          <w:b/>
        </w:rPr>
        <w:t>Faith JJ</w:t>
      </w:r>
      <w:r>
        <w:t xml:space="preserve">, </w:t>
      </w:r>
      <w:r>
        <w:rPr>
          <w:b/>
        </w:rPr>
        <w:t>Rey FE</w:t>
      </w:r>
      <w:r>
        <w:t xml:space="preserve">, </w:t>
      </w:r>
      <w:r>
        <w:rPr>
          <w:b/>
        </w:rPr>
        <w:t>Knight R</w:t>
      </w:r>
      <w:r>
        <w:t xml:space="preserve">, </w:t>
      </w:r>
      <w:r>
        <w:rPr>
          <w:b/>
        </w:rPr>
        <w:t>Gordon JI</w:t>
      </w:r>
      <w:r>
        <w:t xml:space="preserve">. 2009. The effect of diet on the human gut microbiome: a metagenomic analysis in humanized gnotobiotic mice. Science Translational Medicine </w:t>
      </w:r>
      <w:r>
        <w:rPr>
          <w:b/>
        </w:rPr>
        <w:t>1</w:t>
      </w:r>
      <w:r>
        <w:t>:6ra14–6ra14.</w:t>
      </w:r>
    </w:p>
    <w:p w14:paraId="60D725C2" w14:textId="77777777" w:rsidR="00545250" w:rsidRDefault="00031049" w:rsidP="00031049">
      <w:pPr>
        <w:pStyle w:val="Bibliography"/>
        <w:spacing w:line="480" w:lineRule="auto"/>
        <w:jc w:val="both"/>
      </w:pPr>
      <w:r>
        <w:t xml:space="preserve">54. </w:t>
      </w:r>
      <w:r>
        <w:rPr>
          <w:b/>
        </w:rPr>
        <w:t>David LA</w:t>
      </w:r>
      <w:r>
        <w:t xml:space="preserve">, </w:t>
      </w:r>
      <w:r>
        <w:rPr>
          <w:b/>
        </w:rPr>
        <w:t>Maurice CF</w:t>
      </w:r>
      <w:r>
        <w:t xml:space="preserve">, </w:t>
      </w:r>
      <w:r>
        <w:rPr>
          <w:b/>
        </w:rPr>
        <w:t>Carmody RN</w:t>
      </w:r>
      <w:r>
        <w:t xml:space="preserve">, </w:t>
      </w:r>
      <w:r>
        <w:rPr>
          <w:b/>
        </w:rPr>
        <w:t>Gootenberg DB</w:t>
      </w:r>
      <w:r>
        <w:t xml:space="preserve">, </w:t>
      </w:r>
      <w:r>
        <w:rPr>
          <w:b/>
        </w:rPr>
        <w:t>Button JE</w:t>
      </w:r>
      <w:r>
        <w:t xml:space="preserve">, </w:t>
      </w:r>
      <w:r>
        <w:rPr>
          <w:b/>
        </w:rPr>
        <w:t>Wolfe BE</w:t>
      </w:r>
      <w:r>
        <w:t xml:space="preserve">, </w:t>
      </w:r>
      <w:r>
        <w:rPr>
          <w:b/>
        </w:rPr>
        <w:t>Ling AV</w:t>
      </w:r>
      <w:r>
        <w:t xml:space="preserve">, </w:t>
      </w:r>
      <w:r>
        <w:rPr>
          <w:b/>
        </w:rPr>
        <w:t>Devlin AS</w:t>
      </w:r>
      <w:r>
        <w:t xml:space="preserve">, </w:t>
      </w:r>
      <w:r>
        <w:rPr>
          <w:b/>
        </w:rPr>
        <w:t>Varma Y</w:t>
      </w:r>
      <w:r>
        <w:t xml:space="preserve">, </w:t>
      </w:r>
      <w:r>
        <w:rPr>
          <w:b/>
        </w:rPr>
        <w:t>Fischbach MA</w:t>
      </w:r>
      <w:r>
        <w:t xml:space="preserve">, </w:t>
      </w:r>
      <w:r>
        <w:rPr>
          <w:b/>
        </w:rPr>
        <w:t>Biddinger SB</w:t>
      </w:r>
      <w:r>
        <w:t xml:space="preserve">, </w:t>
      </w:r>
      <w:r>
        <w:rPr>
          <w:b/>
        </w:rPr>
        <w:t>Dutton RJ</w:t>
      </w:r>
      <w:r>
        <w:t xml:space="preserve">, </w:t>
      </w:r>
      <w:r>
        <w:rPr>
          <w:b/>
        </w:rPr>
        <w:t>Turnbaugh PJ</w:t>
      </w:r>
      <w:r>
        <w:t xml:space="preserve">. 2014. Diet rapidly and reproducibly alters the human gut microbiome. Nature </w:t>
      </w:r>
      <w:r>
        <w:rPr>
          <w:b/>
        </w:rPr>
        <w:t>505</w:t>
      </w:r>
      <w:r>
        <w:t>:559–563.</w:t>
      </w:r>
    </w:p>
    <w:p w14:paraId="38D06542" w14:textId="77777777" w:rsidR="00545250" w:rsidRDefault="00031049" w:rsidP="00031049">
      <w:pPr>
        <w:pStyle w:val="Bibliography"/>
        <w:spacing w:line="480" w:lineRule="auto"/>
        <w:jc w:val="both"/>
      </w:pPr>
      <w:r>
        <w:t xml:space="preserve">55. </w:t>
      </w:r>
      <w:r>
        <w:rPr>
          <w:b/>
        </w:rPr>
        <w:t>Grice EA</w:t>
      </w:r>
      <w:r>
        <w:t xml:space="preserve">, </w:t>
      </w:r>
      <w:r>
        <w:rPr>
          <w:b/>
        </w:rPr>
        <w:t>Kong HH</w:t>
      </w:r>
      <w:r>
        <w:t xml:space="preserve">, </w:t>
      </w:r>
      <w:r>
        <w:rPr>
          <w:b/>
        </w:rPr>
        <w:t>Conlan S</w:t>
      </w:r>
      <w:r>
        <w:t xml:space="preserve">, </w:t>
      </w:r>
      <w:r>
        <w:rPr>
          <w:b/>
        </w:rPr>
        <w:t>Deming CB</w:t>
      </w:r>
      <w:r>
        <w:t xml:space="preserve">, </w:t>
      </w:r>
      <w:r>
        <w:rPr>
          <w:b/>
        </w:rPr>
        <w:t>Davis J</w:t>
      </w:r>
      <w:r>
        <w:t xml:space="preserve">, </w:t>
      </w:r>
      <w:r>
        <w:rPr>
          <w:b/>
        </w:rPr>
        <w:t>Young AC</w:t>
      </w:r>
      <w:r>
        <w:t xml:space="preserve">, </w:t>
      </w:r>
      <w:r>
        <w:rPr>
          <w:b/>
        </w:rPr>
        <w:t>NISC Comparative Sequencing Program</w:t>
      </w:r>
      <w:r>
        <w:t xml:space="preserve">, </w:t>
      </w:r>
      <w:r>
        <w:rPr>
          <w:b/>
        </w:rPr>
        <w:t>Bouffard GG</w:t>
      </w:r>
      <w:r>
        <w:t xml:space="preserve">, </w:t>
      </w:r>
      <w:r>
        <w:rPr>
          <w:b/>
        </w:rPr>
        <w:t>Blakesley RW</w:t>
      </w:r>
      <w:r>
        <w:t xml:space="preserve">, </w:t>
      </w:r>
      <w:r>
        <w:rPr>
          <w:b/>
        </w:rPr>
        <w:t>Murray PR</w:t>
      </w:r>
      <w:r>
        <w:t xml:space="preserve">, </w:t>
      </w:r>
      <w:r>
        <w:rPr>
          <w:b/>
        </w:rPr>
        <w:t>Green ED</w:t>
      </w:r>
      <w:r>
        <w:t xml:space="preserve">, </w:t>
      </w:r>
      <w:r>
        <w:rPr>
          <w:b/>
        </w:rPr>
        <w:t>Turner ML</w:t>
      </w:r>
      <w:r>
        <w:t xml:space="preserve">, </w:t>
      </w:r>
      <w:r>
        <w:rPr>
          <w:b/>
        </w:rPr>
        <w:t>Segre JA</w:t>
      </w:r>
      <w:r>
        <w:t xml:space="preserve">. 2009. Topographical and Temporal Diversity of the Human Skin Microbiome. Science </w:t>
      </w:r>
      <w:r>
        <w:rPr>
          <w:b/>
        </w:rPr>
        <w:t>324</w:t>
      </w:r>
      <w:r>
        <w:t>:1190–1192.</w:t>
      </w:r>
    </w:p>
    <w:p w14:paraId="2DC97064" w14:textId="77777777" w:rsidR="00545250" w:rsidRDefault="00031049" w:rsidP="00031049">
      <w:pPr>
        <w:pStyle w:val="Bibliography"/>
        <w:spacing w:line="480" w:lineRule="auto"/>
        <w:jc w:val="both"/>
      </w:pPr>
      <w:r>
        <w:t xml:space="preserve">56. </w:t>
      </w:r>
      <w:r>
        <w:rPr>
          <w:b/>
        </w:rPr>
        <w:t>Minot S</w:t>
      </w:r>
      <w:r>
        <w:t xml:space="preserve">, </w:t>
      </w:r>
      <w:r>
        <w:rPr>
          <w:b/>
        </w:rPr>
        <w:t>Bryson A</w:t>
      </w:r>
      <w:r>
        <w:t xml:space="preserve">, </w:t>
      </w:r>
      <w:r>
        <w:rPr>
          <w:b/>
        </w:rPr>
        <w:t>Chehoud C</w:t>
      </w:r>
      <w:r>
        <w:t xml:space="preserve">, </w:t>
      </w:r>
      <w:r>
        <w:rPr>
          <w:b/>
        </w:rPr>
        <w:t>Wu GD</w:t>
      </w:r>
      <w:r>
        <w:t xml:space="preserve">, </w:t>
      </w:r>
      <w:r>
        <w:rPr>
          <w:b/>
        </w:rPr>
        <w:t>Lewis JD</w:t>
      </w:r>
      <w:r>
        <w:t xml:space="preserve">, </w:t>
      </w:r>
      <w:r>
        <w:rPr>
          <w:b/>
        </w:rPr>
        <w:t>Bushman FD</w:t>
      </w:r>
      <w:r>
        <w:t xml:space="preserve">. 2013. Rapid evolution of the human gut virome. Proceedings of the National Academy of Sciences of the United States of America </w:t>
      </w:r>
      <w:r>
        <w:rPr>
          <w:b/>
        </w:rPr>
        <w:t>110</w:t>
      </w:r>
      <w:r>
        <w:t>:12450–12455.</w:t>
      </w:r>
    </w:p>
    <w:p w14:paraId="23E976E2" w14:textId="77777777" w:rsidR="00545250" w:rsidRDefault="00031049" w:rsidP="00031049">
      <w:pPr>
        <w:pStyle w:val="Bibliography"/>
        <w:spacing w:line="480" w:lineRule="auto"/>
        <w:jc w:val="both"/>
      </w:pPr>
      <w:r>
        <w:t xml:space="preserve">57. </w:t>
      </w:r>
      <w:r>
        <w:rPr>
          <w:b/>
        </w:rPr>
        <w:t>Schloss PD</w:t>
      </w:r>
      <w:r>
        <w:t xml:space="preserve">, </w:t>
      </w:r>
      <w:r>
        <w:rPr>
          <w:b/>
        </w:rPr>
        <w:t>Handelsman J</w:t>
      </w:r>
      <w:r>
        <w:t xml:space="preserve">. 2005. Introducing DOTUR, a computer program for defining operational taxonomic units and estimating species richness. Applied and Environmental Microbiology </w:t>
      </w:r>
      <w:r>
        <w:rPr>
          <w:b/>
        </w:rPr>
        <w:t>71</w:t>
      </w:r>
      <w:r>
        <w:t>:1501–1506.</w:t>
      </w:r>
    </w:p>
    <w:p w14:paraId="4E828BAD" w14:textId="77777777" w:rsidR="00545250" w:rsidRDefault="00031049" w:rsidP="00031049">
      <w:pPr>
        <w:pStyle w:val="Bibliography"/>
        <w:spacing w:line="480" w:lineRule="auto"/>
        <w:jc w:val="both"/>
      </w:pPr>
      <w:r>
        <w:t xml:space="preserve">58. </w:t>
      </w:r>
      <w:r>
        <w:rPr>
          <w:b/>
        </w:rPr>
        <w:t>Yilmaz S</w:t>
      </w:r>
      <w:r>
        <w:t xml:space="preserve">, </w:t>
      </w:r>
      <w:r>
        <w:rPr>
          <w:b/>
        </w:rPr>
        <w:t>Allgaier M</w:t>
      </w:r>
      <w:r>
        <w:t xml:space="preserve">, </w:t>
      </w:r>
      <w:r>
        <w:rPr>
          <w:b/>
        </w:rPr>
        <w:t>Hugenholtz P</w:t>
      </w:r>
      <w:r>
        <w:t xml:space="preserve">. 2010. Multiple displacement amplification compromises quantitative analysis of metagenomes. Nature Methods </w:t>
      </w:r>
      <w:r>
        <w:rPr>
          <w:b/>
        </w:rPr>
        <w:t>7</w:t>
      </w:r>
      <w:r>
        <w:t>:943–944.</w:t>
      </w:r>
    </w:p>
    <w:p w14:paraId="013541F2" w14:textId="77777777" w:rsidR="00545250" w:rsidRDefault="00031049" w:rsidP="00031049">
      <w:pPr>
        <w:pStyle w:val="Bibliography"/>
        <w:spacing w:line="480" w:lineRule="auto"/>
        <w:jc w:val="both"/>
      </w:pPr>
      <w:r>
        <w:lastRenderedPageBreak/>
        <w:t xml:space="preserve">59. </w:t>
      </w:r>
      <w:r>
        <w:rPr>
          <w:b/>
        </w:rPr>
        <w:t>Kim KH</w:t>
      </w:r>
      <w:r>
        <w:t xml:space="preserve">, </w:t>
      </w:r>
      <w:r>
        <w:rPr>
          <w:b/>
        </w:rPr>
        <w:t>Chang HW</w:t>
      </w:r>
      <w:r>
        <w:t xml:space="preserve">, </w:t>
      </w:r>
      <w:r>
        <w:rPr>
          <w:b/>
        </w:rPr>
        <w:t>Nam YD</w:t>
      </w:r>
      <w:r>
        <w:t xml:space="preserve">, </w:t>
      </w:r>
      <w:r>
        <w:rPr>
          <w:b/>
        </w:rPr>
        <w:t>Roh SW</w:t>
      </w:r>
      <w:r>
        <w:t>. 2008. Amplification of uncultured single-stranded DNA viruses from rice paddy soil. Applied and ….</w:t>
      </w:r>
    </w:p>
    <w:p w14:paraId="732F8913" w14:textId="77777777" w:rsidR="00545250" w:rsidRDefault="00031049" w:rsidP="00031049">
      <w:pPr>
        <w:pStyle w:val="Bibliography"/>
        <w:spacing w:line="480" w:lineRule="auto"/>
        <w:jc w:val="both"/>
      </w:pPr>
      <w:r>
        <w:t xml:space="preserve">60. </w:t>
      </w:r>
      <w:r>
        <w:rPr>
          <w:b/>
        </w:rPr>
        <w:t>Kim K-H</w:t>
      </w:r>
      <w:r>
        <w:t xml:space="preserve">, </w:t>
      </w:r>
      <w:r>
        <w:rPr>
          <w:b/>
        </w:rPr>
        <w:t>Bae J-W</w:t>
      </w:r>
      <w:r>
        <w:t xml:space="preserve">. 2011. Amplification methods bias metagenomic libraries of uncultured single-stranded and double-stranded DNA viruses. Applied and Environmental Microbiology </w:t>
      </w:r>
      <w:r>
        <w:rPr>
          <w:b/>
        </w:rPr>
        <w:t>77</w:t>
      </w:r>
      <w:r>
        <w:t>:7663–7668.</w:t>
      </w:r>
    </w:p>
    <w:p w14:paraId="01AA8589" w14:textId="77777777" w:rsidR="00545250" w:rsidRDefault="00031049" w:rsidP="00031049">
      <w:pPr>
        <w:pStyle w:val="Bibliography"/>
        <w:spacing w:line="480" w:lineRule="auto"/>
        <w:jc w:val="both"/>
      </w:pPr>
      <w:r>
        <w:t xml:space="preserve">61. </w:t>
      </w:r>
      <w:r>
        <w:rPr>
          <w:b/>
        </w:rPr>
        <w:t>Minot S</w:t>
      </w:r>
      <w:r>
        <w:t xml:space="preserve">, </w:t>
      </w:r>
      <w:r>
        <w:rPr>
          <w:b/>
        </w:rPr>
        <w:t>Wu GD</w:t>
      </w:r>
      <w:r>
        <w:t xml:space="preserve">, </w:t>
      </w:r>
      <w:r>
        <w:rPr>
          <w:b/>
        </w:rPr>
        <w:t>Lewis JD</w:t>
      </w:r>
      <w:r>
        <w:t xml:space="preserve">, </w:t>
      </w:r>
      <w:r>
        <w:rPr>
          <w:b/>
        </w:rPr>
        <w:t>Bushman FD</w:t>
      </w:r>
      <w:r>
        <w:t xml:space="preserve">. 2012. Conservation of gene cassettes among diverse viruses of the human gut. PLOS ONE </w:t>
      </w:r>
      <w:r>
        <w:rPr>
          <w:b/>
        </w:rPr>
        <w:t>7</w:t>
      </w:r>
      <w:r>
        <w:t>:e42342.</w:t>
      </w:r>
    </w:p>
    <w:p w14:paraId="05D17984" w14:textId="77777777" w:rsidR="00545250" w:rsidRDefault="00031049" w:rsidP="00031049">
      <w:pPr>
        <w:pStyle w:val="Bibliography"/>
        <w:spacing w:line="480" w:lineRule="auto"/>
        <w:jc w:val="both"/>
      </w:pPr>
      <w:r>
        <w:t xml:space="preserve">62. </w:t>
      </w:r>
      <w:r>
        <w:rPr>
          <w:b/>
        </w:rPr>
        <w:t>Deng L</w:t>
      </w:r>
      <w:r>
        <w:t xml:space="preserve">, </w:t>
      </w:r>
      <w:r>
        <w:rPr>
          <w:b/>
        </w:rPr>
        <w:t>Ignacio-Espinoza JC</w:t>
      </w:r>
      <w:r>
        <w:t xml:space="preserve">, </w:t>
      </w:r>
      <w:r>
        <w:rPr>
          <w:b/>
        </w:rPr>
        <w:t>Gregory AC</w:t>
      </w:r>
      <w:r>
        <w:t xml:space="preserve">, </w:t>
      </w:r>
      <w:r>
        <w:rPr>
          <w:b/>
        </w:rPr>
        <w:t>Poulos BT</w:t>
      </w:r>
      <w:r>
        <w:t xml:space="preserve">, </w:t>
      </w:r>
      <w:r>
        <w:rPr>
          <w:b/>
        </w:rPr>
        <w:t>Weitz JS</w:t>
      </w:r>
      <w:r>
        <w:t xml:space="preserve">, </w:t>
      </w:r>
      <w:r>
        <w:rPr>
          <w:b/>
        </w:rPr>
        <w:t>Hugenholtz P</w:t>
      </w:r>
      <w:r>
        <w:t xml:space="preserve">, </w:t>
      </w:r>
      <w:r>
        <w:rPr>
          <w:b/>
        </w:rPr>
        <w:t>Sullivan MB</w:t>
      </w:r>
      <w:r>
        <w:t xml:space="preserve">. 2014. Viral tagging reveals discrete populations in Synechococcus viral genome sequence space. Nature </w:t>
      </w:r>
      <w:r>
        <w:rPr>
          <w:b/>
        </w:rPr>
        <w:t>513</w:t>
      </w:r>
      <w:r>
        <w:t>:242–245.</w:t>
      </w:r>
    </w:p>
    <w:p w14:paraId="502F7EE4" w14:textId="77777777" w:rsidR="00545250" w:rsidRDefault="00031049" w:rsidP="00031049">
      <w:pPr>
        <w:pStyle w:val="Bibliography"/>
        <w:spacing w:line="480" w:lineRule="auto"/>
        <w:jc w:val="both"/>
      </w:pPr>
      <w:r>
        <w:t xml:space="preserve">63. </w:t>
      </w:r>
      <w:r>
        <w:rPr>
          <w:b/>
        </w:rPr>
        <w:t>Brum JR</w:t>
      </w:r>
      <w:r>
        <w:t xml:space="preserve">, </w:t>
      </w:r>
      <w:r>
        <w:rPr>
          <w:b/>
        </w:rPr>
        <w:t>Ignacio-Espinoza JC</w:t>
      </w:r>
      <w:r>
        <w:t xml:space="preserve">, </w:t>
      </w:r>
      <w:r>
        <w:rPr>
          <w:b/>
        </w:rPr>
        <w:t>Roux S</w:t>
      </w:r>
      <w:r>
        <w:t xml:space="preserve">, </w:t>
      </w:r>
      <w:r>
        <w:rPr>
          <w:b/>
        </w:rPr>
        <w:t>Doulcier G</w:t>
      </w:r>
      <w:r>
        <w:t xml:space="preserve">, </w:t>
      </w:r>
      <w:r>
        <w:rPr>
          <w:b/>
        </w:rPr>
        <w:t>Acinas SG</w:t>
      </w:r>
      <w:r>
        <w:t xml:space="preserve">, </w:t>
      </w:r>
      <w:r>
        <w:rPr>
          <w:b/>
        </w:rPr>
        <w:t>Alberti A</w:t>
      </w:r>
      <w:r>
        <w:t xml:space="preserve">, </w:t>
      </w:r>
      <w:r>
        <w:rPr>
          <w:b/>
        </w:rPr>
        <w:t>Chaffron S</w:t>
      </w:r>
      <w:r>
        <w:t xml:space="preserve">, </w:t>
      </w:r>
      <w:r>
        <w:rPr>
          <w:b/>
        </w:rPr>
        <w:t>Cruaud C</w:t>
      </w:r>
      <w:r>
        <w:t xml:space="preserve">, </w:t>
      </w:r>
      <w:r>
        <w:rPr>
          <w:b/>
        </w:rPr>
        <w:t>Vargas C de</w:t>
      </w:r>
      <w:r>
        <w:t xml:space="preserve">, </w:t>
      </w:r>
      <w:r>
        <w:rPr>
          <w:b/>
        </w:rPr>
        <w:t>Gasol JM</w:t>
      </w:r>
      <w:r>
        <w:t xml:space="preserve">, </w:t>
      </w:r>
      <w:r>
        <w:rPr>
          <w:b/>
        </w:rPr>
        <w:t>Gorsky G</w:t>
      </w:r>
      <w:r>
        <w:t xml:space="preserve">, </w:t>
      </w:r>
      <w:r>
        <w:rPr>
          <w:b/>
        </w:rPr>
        <w:t>Gregory AC</w:t>
      </w:r>
      <w:r>
        <w:t xml:space="preserve">, </w:t>
      </w:r>
      <w:r>
        <w:rPr>
          <w:b/>
        </w:rPr>
        <w:t>Guidi L</w:t>
      </w:r>
      <w:r>
        <w:t xml:space="preserve">, </w:t>
      </w:r>
      <w:r>
        <w:rPr>
          <w:b/>
        </w:rPr>
        <w:t>Hingamp P</w:t>
      </w:r>
      <w:r>
        <w:t xml:space="preserve">, </w:t>
      </w:r>
      <w:r>
        <w:rPr>
          <w:b/>
        </w:rPr>
        <w:t>Iudicone D</w:t>
      </w:r>
      <w:r>
        <w:t xml:space="preserve">, </w:t>
      </w:r>
      <w:r>
        <w:rPr>
          <w:b/>
        </w:rPr>
        <w:t>Not F</w:t>
      </w:r>
      <w:r>
        <w:t xml:space="preserve">, </w:t>
      </w:r>
      <w:r>
        <w:rPr>
          <w:b/>
        </w:rPr>
        <w:t>Ogata H</w:t>
      </w:r>
      <w:r>
        <w:t xml:space="preserve">, </w:t>
      </w:r>
      <w:r>
        <w:rPr>
          <w:b/>
        </w:rPr>
        <w:t>Pesant S</w:t>
      </w:r>
      <w:r>
        <w:t xml:space="preserve">, </w:t>
      </w:r>
      <w:r>
        <w:rPr>
          <w:b/>
        </w:rPr>
        <w:t>Poulos BT</w:t>
      </w:r>
      <w:r>
        <w:t xml:space="preserve">, </w:t>
      </w:r>
      <w:r>
        <w:rPr>
          <w:b/>
        </w:rPr>
        <w:t>Schwenck SM</w:t>
      </w:r>
      <w:r>
        <w:t xml:space="preserve">, </w:t>
      </w:r>
      <w:r>
        <w:rPr>
          <w:b/>
        </w:rPr>
        <w:t>Speich S</w:t>
      </w:r>
      <w:r>
        <w:t xml:space="preserve">, </w:t>
      </w:r>
      <w:r>
        <w:rPr>
          <w:b/>
        </w:rPr>
        <w:t>Dimier C</w:t>
      </w:r>
      <w:r>
        <w:t xml:space="preserve">, </w:t>
      </w:r>
      <w:r>
        <w:rPr>
          <w:b/>
        </w:rPr>
        <w:t>Kandels-Lewis S</w:t>
      </w:r>
      <w:r>
        <w:t xml:space="preserve">, </w:t>
      </w:r>
      <w:r>
        <w:rPr>
          <w:b/>
        </w:rPr>
        <w:t>Picheral M</w:t>
      </w:r>
      <w:r>
        <w:t xml:space="preserve">, </w:t>
      </w:r>
      <w:r>
        <w:rPr>
          <w:b/>
        </w:rPr>
        <w:t>Searson S</w:t>
      </w:r>
      <w:r>
        <w:t xml:space="preserve">, </w:t>
      </w:r>
      <w:r>
        <w:rPr>
          <w:b/>
        </w:rPr>
        <w:t>Tara Oceans Coordinators</w:t>
      </w:r>
      <w:r>
        <w:t xml:space="preserve">, </w:t>
      </w:r>
      <w:r>
        <w:rPr>
          <w:b/>
        </w:rPr>
        <w:t>Bork P</w:t>
      </w:r>
      <w:r>
        <w:t xml:space="preserve">, </w:t>
      </w:r>
      <w:r>
        <w:rPr>
          <w:b/>
        </w:rPr>
        <w:t>Bowler C</w:t>
      </w:r>
      <w:r>
        <w:t xml:space="preserve">, </w:t>
      </w:r>
      <w:r>
        <w:rPr>
          <w:b/>
        </w:rPr>
        <w:t>Sunagawa S</w:t>
      </w:r>
      <w:r>
        <w:t xml:space="preserve">, </w:t>
      </w:r>
      <w:r>
        <w:rPr>
          <w:b/>
        </w:rPr>
        <w:t>Wincker P</w:t>
      </w:r>
      <w:r>
        <w:t xml:space="preserve">, </w:t>
      </w:r>
      <w:r>
        <w:rPr>
          <w:b/>
        </w:rPr>
        <w:t>Karsenti E</w:t>
      </w:r>
      <w:r>
        <w:t xml:space="preserve">, </w:t>
      </w:r>
      <w:r>
        <w:rPr>
          <w:b/>
        </w:rPr>
        <w:t>Sullivan MB</w:t>
      </w:r>
      <w:r>
        <w:t xml:space="preserve">. 2015. Ocean plankton. Patterns and ecological drivers of ocean viral communities. Science </w:t>
      </w:r>
      <w:r>
        <w:rPr>
          <w:b/>
        </w:rPr>
        <w:t>348</w:t>
      </w:r>
      <w:r>
        <w:t>:1261498–1261498.</w:t>
      </w:r>
    </w:p>
    <w:p w14:paraId="4923DBAB" w14:textId="77777777" w:rsidR="00545250" w:rsidRDefault="00031049" w:rsidP="00031049">
      <w:pPr>
        <w:pStyle w:val="Bibliography"/>
        <w:spacing w:line="480" w:lineRule="auto"/>
        <w:jc w:val="both"/>
      </w:pPr>
      <w:r>
        <w:t xml:space="preserve">64. </w:t>
      </w:r>
      <w:r>
        <w:rPr>
          <w:b/>
        </w:rPr>
        <w:t>Polz MF</w:t>
      </w:r>
      <w:r>
        <w:t xml:space="preserve">, </w:t>
      </w:r>
      <w:r>
        <w:rPr>
          <w:b/>
        </w:rPr>
        <w:t>Hunt DE</w:t>
      </w:r>
      <w:r>
        <w:t xml:space="preserve">, </w:t>
      </w:r>
      <w:r>
        <w:rPr>
          <w:b/>
        </w:rPr>
        <w:t>Preheim SP</w:t>
      </w:r>
      <w:r>
        <w:t xml:space="preserve">, </w:t>
      </w:r>
      <w:r>
        <w:rPr>
          <w:b/>
        </w:rPr>
        <w:t>Weinreich DM</w:t>
      </w:r>
      <w:r>
        <w:t xml:space="preserve">. 2006. Patterns and mechanisms of genetic and phenotypic differentiation in marine microbes. Philosophical Transactions of the Royal Society B: Biological Sciences </w:t>
      </w:r>
      <w:r>
        <w:rPr>
          <w:b/>
        </w:rPr>
        <w:t>361</w:t>
      </w:r>
      <w:r>
        <w:t>:2009–2021.</w:t>
      </w:r>
    </w:p>
    <w:p w14:paraId="7FAEFA6C" w14:textId="77777777" w:rsidR="00545250" w:rsidRDefault="00031049" w:rsidP="00031049">
      <w:pPr>
        <w:pStyle w:val="Bibliography"/>
        <w:spacing w:line="480" w:lineRule="auto"/>
        <w:jc w:val="both"/>
      </w:pPr>
      <w:r>
        <w:t xml:space="preserve">65. </w:t>
      </w:r>
      <w:r>
        <w:rPr>
          <w:b/>
        </w:rPr>
        <w:t>Gregory AC</w:t>
      </w:r>
      <w:r>
        <w:t xml:space="preserve">, </w:t>
      </w:r>
      <w:r>
        <w:rPr>
          <w:b/>
        </w:rPr>
        <w:t>Solonenko SA</w:t>
      </w:r>
      <w:r>
        <w:t xml:space="preserve">, </w:t>
      </w:r>
      <w:r>
        <w:rPr>
          <w:b/>
        </w:rPr>
        <w:t>Ignacio-Espinoza JC</w:t>
      </w:r>
      <w:r>
        <w:t xml:space="preserve">, </w:t>
      </w:r>
      <w:r>
        <w:rPr>
          <w:b/>
        </w:rPr>
        <w:t>LaButti K</w:t>
      </w:r>
      <w:r>
        <w:t xml:space="preserve">, </w:t>
      </w:r>
      <w:r>
        <w:rPr>
          <w:b/>
        </w:rPr>
        <w:t>Copeland A</w:t>
      </w:r>
      <w:r>
        <w:t xml:space="preserve">, </w:t>
      </w:r>
      <w:r>
        <w:rPr>
          <w:b/>
        </w:rPr>
        <w:t>Sudek S</w:t>
      </w:r>
      <w:r>
        <w:t xml:space="preserve">, </w:t>
      </w:r>
      <w:r>
        <w:rPr>
          <w:b/>
        </w:rPr>
        <w:t>Maitland A</w:t>
      </w:r>
      <w:r>
        <w:t xml:space="preserve">, </w:t>
      </w:r>
      <w:r>
        <w:rPr>
          <w:b/>
        </w:rPr>
        <w:t>Chittick L</w:t>
      </w:r>
      <w:r>
        <w:t xml:space="preserve">, </w:t>
      </w:r>
      <w:r>
        <w:rPr>
          <w:b/>
        </w:rPr>
        <w:t>Dos Santos F</w:t>
      </w:r>
      <w:r>
        <w:t xml:space="preserve">, </w:t>
      </w:r>
      <w:r>
        <w:rPr>
          <w:b/>
        </w:rPr>
        <w:t>Weitz JS</w:t>
      </w:r>
      <w:r>
        <w:t xml:space="preserve">, </w:t>
      </w:r>
      <w:r>
        <w:rPr>
          <w:b/>
        </w:rPr>
        <w:t>Worden AZ</w:t>
      </w:r>
      <w:r>
        <w:t xml:space="preserve">, </w:t>
      </w:r>
      <w:r>
        <w:rPr>
          <w:b/>
        </w:rPr>
        <w:t>Woyke T</w:t>
      </w:r>
      <w:r>
        <w:t xml:space="preserve">, </w:t>
      </w:r>
      <w:r>
        <w:rPr>
          <w:b/>
        </w:rPr>
        <w:t>Sullivan MB</w:t>
      </w:r>
      <w:r>
        <w:t xml:space="preserve">. 2016. </w:t>
      </w:r>
      <w:r>
        <w:lastRenderedPageBreak/>
        <w:t xml:space="preserve">Genomic differentiation among wild cyanophages despite widespread horizontal gene transfer. BMC Genomics </w:t>
      </w:r>
      <w:r>
        <w:rPr>
          <w:b/>
        </w:rPr>
        <w:t>17</w:t>
      </w:r>
      <w:r>
        <w:t>:930.</w:t>
      </w:r>
    </w:p>
    <w:p w14:paraId="76C9F020" w14:textId="77777777" w:rsidR="00545250" w:rsidRDefault="00031049" w:rsidP="00031049">
      <w:pPr>
        <w:pStyle w:val="Bibliography"/>
        <w:spacing w:line="480" w:lineRule="auto"/>
        <w:jc w:val="both"/>
      </w:pPr>
      <w:r>
        <w:t xml:space="preserve">66. </w:t>
      </w:r>
      <w:r>
        <w:rPr>
          <w:b/>
        </w:rPr>
        <w:t>Grice EA</w:t>
      </w:r>
      <w:r>
        <w:t xml:space="preserve">, </w:t>
      </w:r>
      <w:r>
        <w:rPr>
          <w:b/>
        </w:rPr>
        <w:t>Segre JA</w:t>
      </w:r>
      <w:r>
        <w:t xml:space="preserve">. 2011. The skin microbiome. Nature Reviews Microbiology </w:t>
      </w:r>
      <w:r>
        <w:rPr>
          <w:b/>
        </w:rPr>
        <w:t>9</w:t>
      </w:r>
      <w:r>
        <w:t>:244–253.</w:t>
      </w:r>
    </w:p>
    <w:p w14:paraId="3C0DF53C" w14:textId="77777777" w:rsidR="00545250" w:rsidRDefault="00031049" w:rsidP="00031049">
      <w:pPr>
        <w:pStyle w:val="Bibliography"/>
        <w:spacing w:line="480" w:lineRule="auto"/>
        <w:jc w:val="both"/>
      </w:pPr>
      <w:r>
        <w:t xml:space="preserve">67. </w:t>
      </w:r>
      <w:r>
        <w:rPr>
          <w:b/>
        </w:rPr>
        <w:t>Round JL</w:t>
      </w:r>
      <w:r>
        <w:t xml:space="preserve">, </w:t>
      </w:r>
      <w:r>
        <w:rPr>
          <w:b/>
        </w:rPr>
        <w:t>Mazmanian SK</w:t>
      </w:r>
      <w:r>
        <w:t xml:space="preserve">. 2009. The gut microbiota shapes intestinal immune responses during health and disease. Nature reviews Immunology </w:t>
      </w:r>
      <w:r>
        <w:rPr>
          <w:b/>
        </w:rPr>
        <w:t>9</w:t>
      </w:r>
      <w:r>
        <w:t>:313–323.</w:t>
      </w:r>
    </w:p>
    <w:p w14:paraId="7E85D124" w14:textId="77777777" w:rsidR="00545250" w:rsidRDefault="00031049" w:rsidP="00031049">
      <w:pPr>
        <w:pStyle w:val="Bibliography"/>
        <w:spacing w:line="480" w:lineRule="auto"/>
        <w:jc w:val="both"/>
      </w:pPr>
      <w:r>
        <w:t xml:space="preserve">68. </w:t>
      </w:r>
      <w:r>
        <w:rPr>
          <w:b/>
        </w:rPr>
        <w:t>Hannon GJ</w:t>
      </w:r>
      <w:r>
        <w:t>. FASTX-Toolkit GNU Affero General Public License.</w:t>
      </w:r>
    </w:p>
    <w:p w14:paraId="6EB543D1" w14:textId="77777777" w:rsidR="00545250" w:rsidRDefault="00031049" w:rsidP="00031049">
      <w:pPr>
        <w:pStyle w:val="Bibliography"/>
        <w:spacing w:line="480" w:lineRule="auto"/>
        <w:jc w:val="both"/>
      </w:pPr>
      <w:r>
        <w:t xml:space="preserve">69. </w:t>
      </w:r>
      <w:r>
        <w:rPr>
          <w:b/>
        </w:rPr>
        <w:t>Li D</w:t>
      </w:r>
      <w:r>
        <w:t xml:space="preserve">, </w:t>
      </w:r>
      <w:r>
        <w:rPr>
          <w:b/>
        </w:rPr>
        <w:t>Luo R</w:t>
      </w:r>
      <w:r>
        <w:t xml:space="preserve">, </w:t>
      </w:r>
      <w:r>
        <w:rPr>
          <w:b/>
        </w:rPr>
        <w:t>Liu C-M</w:t>
      </w:r>
      <w:r>
        <w:t xml:space="preserve">, </w:t>
      </w:r>
      <w:r>
        <w:rPr>
          <w:b/>
        </w:rPr>
        <w:t>Leung C-M</w:t>
      </w:r>
      <w:r>
        <w:t xml:space="preserve">, </w:t>
      </w:r>
      <w:r>
        <w:rPr>
          <w:b/>
        </w:rPr>
        <w:t>Ting H-F</w:t>
      </w:r>
      <w:r>
        <w:t xml:space="preserve">, </w:t>
      </w:r>
      <w:r>
        <w:rPr>
          <w:b/>
        </w:rPr>
        <w:t>Sadakane K</w:t>
      </w:r>
      <w:r>
        <w:t xml:space="preserve">, </w:t>
      </w:r>
      <w:r>
        <w:rPr>
          <w:b/>
        </w:rPr>
        <w:t>Yamashita H</w:t>
      </w:r>
      <w:r>
        <w:t xml:space="preserve">, </w:t>
      </w:r>
      <w:r>
        <w:rPr>
          <w:b/>
        </w:rPr>
        <w:t>Lam T-W</w:t>
      </w:r>
      <w:r>
        <w:t xml:space="preserve">. 2016. MEGAHIT v1.0: A fast and scalable metagenome assembler driven by advanced methodologies and community practices. METHODS </w:t>
      </w:r>
      <w:r>
        <w:rPr>
          <w:b/>
        </w:rPr>
        <w:t>102</w:t>
      </w:r>
      <w:r>
        <w:t>:3–11.</w:t>
      </w:r>
    </w:p>
    <w:p w14:paraId="3AF79EF0" w14:textId="77777777" w:rsidR="00545250" w:rsidRDefault="00031049" w:rsidP="00031049">
      <w:pPr>
        <w:pStyle w:val="Bibliography"/>
        <w:spacing w:line="480" w:lineRule="auto"/>
        <w:jc w:val="both"/>
      </w:pPr>
      <w:r>
        <w:t xml:space="preserve">70. </w:t>
      </w:r>
      <w:r>
        <w:rPr>
          <w:b/>
        </w:rPr>
        <w:t>Langmead B</w:t>
      </w:r>
      <w:r>
        <w:t xml:space="preserve">, </w:t>
      </w:r>
      <w:r>
        <w:rPr>
          <w:b/>
        </w:rPr>
        <w:t>Salzberg SL</w:t>
      </w:r>
      <w:r>
        <w:t xml:space="preserve">. 2012. Fast gapped-read alignment with Bowtie 2. Nature Methods </w:t>
      </w:r>
      <w:r>
        <w:rPr>
          <w:b/>
        </w:rPr>
        <w:t>9</w:t>
      </w:r>
      <w:r>
        <w:t>:357–359.</w:t>
      </w:r>
    </w:p>
    <w:p w14:paraId="48993A53" w14:textId="77777777" w:rsidR="00545250" w:rsidRDefault="00031049" w:rsidP="00031049">
      <w:pPr>
        <w:pStyle w:val="Bibliography"/>
        <w:spacing w:line="480" w:lineRule="auto"/>
        <w:jc w:val="both"/>
      </w:pPr>
      <w:r>
        <w:t xml:space="preserve">71. </w:t>
      </w:r>
      <w:r>
        <w:rPr>
          <w:b/>
        </w:rPr>
        <w:t>Alneberg J</w:t>
      </w:r>
      <w:r>
        <w:t xml:space="preserve">, </w:t>
      </w:r>
      <w:r>
        <w:rPr>
          <w:b/>
        </w:rPr>
        <w:t>Bjarnason BS aacute ri</w:t>
      </w:r>
      <w:r>
        <w:t xml:space="preserve">, </w:t>
      </w:r>
      <w:r>
        <w:rPr>
          <w:b/>
        </w:rPr>
        <w:t>Bruijn I de</w:t>
      </w:r>
      <w:r>
        <w:t xml:space="preserve">, </w:t>
      </w:r>
      <w:r>
        <w:rPr>
          <w:b/>
        </w:rPr>
        <w:t>Schirmer M</w:t>
      </w:r>
      <w:r>
        <w:t xml:space="preserve">, </w:t>
      </w:r>
      <w:r>
        <w:rPr>
          <w:b/>
        </w:rPr>
        <w:t>Quick J</w:t>
      </w:r>
      <w:r>
        <w:t xml:space="preserve">, </w:t>
      </w:r>
      <w:r>
        <w:rPr>
          <w:b/>
        </w:rPr>
        <w:t>Ijaz UZ</w:t>
      </w:r>
      <w:r>
        <w:t xml:space="preserve">, </w:t>
      </w:r>
      <w:r>
        <w:rPr>
          <w:b/>
        </w:rPr>
        <w:t>Lahti L</w:t>
      </w:r>
      <w:r>
        <w:t xml:space="preserve">, </w:t>
      </w:r>
      <w:r>
        <w:rPr>
          <w:b/>
        </w:rPr>
        <w:t>Loman NJ</w:t>
      </w:r>
      <w:r>
        <w:t xml:space="preserve">, </w:t>
      </w:r>
      <w:r>
        <w:rPr>
          <w:b/>
        </w:rPr>
        <w:t>Andersson AF</w:t>
      </w:r>
      <w:r>
        <w:t xml:space="preserve">, </w:t>
      </w:r>
      <w:r>
        <w:rPr>
          <w:b/>
        </w:rPr>
        <w:t>Quince C</w:t>
      </w:r>
      <w:r>
        <w:t>. 2014. Binning metagenomic contigs by coverage and composition. Nature Methods 1–7.</w:t>
      </w:r>
    </w:p>
    <w:p w14:paraId="395F5386" w14:textId="77777777" w:rsidR="00545250" w:rsidRDefault="00031049" w:rsidP="00031049">
      <w:pPr>
        <w:pStyle w:val="Bibliography"/>
        <w:spacing w:line="480" w:lineRule="auto"/>
        <w:jc w:val="both"/>
      </w:pPr>
      <w:r>
        <w:t xml:space="preserve">72. </w:t>
      </w:r>
      <w:r>
        <w:rPr>
          <w:b/>
        </w:rPr>
        <w:t>Hyatt D</w:t>
      </w:r>
      <w:r>
        <w:t xml:space="preserve">, </w:t>
      </w:r>
      <w:r>
        <w:rPr>
          <w:b/>
        </w:rPr>
        <w:t>LoCascio PF</w:t>
      </w:r>
      <w:r>
        <w:t xml:space="preserve">, </w:t>
      </w:r>
      <w:r>
        <w:rPr>
          <w:b/>
        </w:rPr>
        <w:t>Hauser LJ</w:t>
      </w:r>
      <w:r>
        <w:t xml:space="preserve">, </w:t>
      </w:r>
      <w:r>
        <w:rPr>
          <w:b/>
        </w:rPr>
        <w:t>Uberbacher EC</w:t>
      </w:r>
      <w:r>
        <w:t xml:space="preserve">. 2012. Gene and translation initiation site prediction in metagenomic sequences. Bioinformatics </w:t>
      </w:r>
      <w:r>
        <w:rPr>
          <w:b/>
        </w:rPr>
        <w:t>28</w:t>
      </w:r>
      <w:r>
        <w:t>:2223–2230.</w:t>
      </w:r>
    </w:p>
    <w:p w14:paraId="19141F90" w14:textId="77777777" w:rsidR="00545250" w:rsidRDefault="00031049" w:rsidP="00031049">
      <w:pPr>
        <w:pStyle w:val="Bibliography"/>
        <w:spacing w:line="480" w:lineRule="auto"/>
        <w:jc w:val="both"/>
      </w:pPr>
      <w:r>
        <w:t xml:space="preserve">73. </w:t>
      </w:r>
      <w:r>
        <w:rPr>
          <w:b/>
        </w:rPr>
        <w:t>Kuhn M</w:t>
      </w:r>
      <w:r>
        <w:t>. caret: Classification and Regression Training.</w:t>
      </w:r>
    </w:p>
    <w:p w14:paraId="340B8FA9" w14:textId="77777777" w:rsidR="00545250" w:rsidRDefault="00031049" w:rsidP="00031049">
      <w:pPr>
        <w:pStyle w:val="Bibliography"/>
        <w:spacing w:line="480" w:lineRule="auto"/>
        <w:jc w:val="both"/>
      </w:pPr>
      <w:r>
        <w:t xml:space="preserve">74. </w:t>
      </w:r>
      <w:r>
        <w:rPr>
          <w:b/>
        </w:rPr>
        <w:t>Edgar RC</w:t>
      </w:r>
      <w:r>
        <w:t xml:space="preserve">. 2007. PILER-CR: fast and accurate identification of CRISPR repeats. BMC Bioinformatics </w:t>
      </w:r>
      <w:r>
        <w:rPr>
          <w:b/>
        </w:rPr>
        <w:t>8</w:t>
      </w:r>
      <w:r>
        <w:t>:18.</w:t>
      </w:r>
    </w:p>
    <w:p w14:paraId="3A9310A6" w14:textId="77777777" w:rsidR="00545250" w:rsidRDefault="00031049" w:rsidP="00031049">
      <w:pPr>
        <w:pStyle w:val="Bibliography"/>
        <w:spacing w:line="480" w:lineRule="auto"/>
        <w:jc w:val="both"/>
      </w:pPr>
      <w:r>
        <w:lastRenderedPageBreak/>
        <w:t xml:space="preserve">75. </w:t>
      </w:r>
      <w:r>
        <w:rPr>
          <w:b/>
        </w:rPr>
        <w:t>Camacho C</w:t>
      </w:r>
      <w:r>
        <w:t xml:space="preserve">, </w:t>
      </w:r>
      <w:r>
        <w:rPr>
          <w:b/>
        </w:rPr>
        <w:t>Coulouris G</w:t>
      </w:r>
      <w:r>
        <w:t xml:space="preserve">, </w:t>
      </w:r>
      <w:r>
        <w:rPr>
          <w:b/>
        </w:rPr>
        <w:t>Avagyan V</w:t>
      </w:r>
      <w:r>
        <w:t xml:space="preserve">, </w:t>
      </w:r>
      <w:r>
        <w:rPr>
          <w:b/>
        </w:rPr>
        <w:t>Ma N</w:t>
      </w:r>
      <w:r>
        <w:t xml:space="preserve">, </w:t>
      </w:r>
      <w:r>
        <w:rPr>
          <w:b/>
        </w:rPr>
        <w:t>Papadopoulos J</w:t>
      </w:r>
      <w:r>
        <w:t xml:space="preserve">, </w:t>
      </w:r>
      <w:r>
        <w:rPr>
          <w:b/>
        </w:rPr>
        <w:t>Bealer K</w:t>
      </w:r>
      <w:r>
        <w:t xml:space="preserve">, </w:t>
      </w:r>
      <w:r>
        <w:rPr>
          <w:b/>
        </w:rPr>
        <w:t>Madden TL</w:t>
      </w:r>
      <w:r>
        <w:t xml:space="preserve">. 2009. BLAST+: architecture and applications. BMC Bioinformatics </w:t>
      </w:r>
      <w:r>
        <w:rPr>
          <w:b/>
        </w:rPr>
        <w:t>10</w:t>
      </w:r>
      <w:r>
        <w:t>:1.</w:t>
      </w:r>
    </w:p>
    <w:p w14:paraId="36F28A5F" w14:textId="77777777" w:rsidR="00545250" w:rsidRDefault="00031049" w:rsidP="00031049">
      <w:pPr>
        <w:pStyle w:val="Bibliography"/>
        <w:spacing w:line="480" w:lineRule="auto"/>
        <w:jc w:val="both"/>
      </w:pPr>
      <w:r>
        <w:t xml:space="preserve">76. </w:t>
      </w:r>
      <w:r>
        <w:rPr>
          <w:b/>
        </w:rPr>
        <w:t>Buchfink B</w:t>
      </w:r>
      <w:r>
        <w:t xml:space="preserve">, </w:t>
      </w:r>
      <w:r>
        <w:rPr>
          <w:b/>
        </w:rPr>
        <w:t>Xie C</w:t>
      </w:r>
      <w:r>
        <w:t xml:space="preserve">, </w:t>
      </w:r>
      <w:r>
        <w:rPr>
          <w:b/>
        </w:rPr>
        <w:t>Huson DH</w:t>
      </w:r>
      <w:r>
        <w:t xml:space="preserve">. 2015. Fast and sensitive protein alignment using DIAMOND. Nature Methods </w:t>
      </w:r>
      <w:r>
        <w:rPr>
          <w:b/>
        </w:rPr>
        <w:t>12</w:t>
      </w:r>
      <w:r>
        <w:t>:59–60.</w:t>
      </w:r>
    </w:p>
    <w:p w14:paraId="11B31EBA" w14:textId="77777777" w:rsidR="00545250" w:rsidRDefault="00031049" w:rsidP="00031049">
      <w:pPr>
        <w:pStyle w:val="Bibliography"/>
        <w:spacing w:line="480" w:lineRule="auto"/>
        <w:jc w:val="both"/>
      </w:pPr>
      <w:r>
        <w:t>77. Neo4j.</w:t>
      </w:r>
    </w:p>
    <w:p w14:paraId="1FAE9299" w14:textId="77777777" w:rsidR="00545250" w:rsidRDefault="00031049" w:rsidP="00031049">
      <w:pPr>
        <w:pStyle w:val="Bibliography"/>
        <w:spacing w:line="480" w:lineRule="auto"/>
        <w:jc w:val="both"/>
      </w:pPr>
      <w:r>
        <w:t xml:space="preserve">78. </w:t>
      </w:r>
      <w:r>
        <w:rPr>
          <w:b/>
        </w:rPr>
        <w:t>Csardi G</w:t>
      </w:r>
      <w:r>
        <w:t xml:space="preserve">, </w:t>
      </w:r>
      <w:r>
        <w:rPr>
          <w:b/>
        </w:rPr>
        <w:t>Nepusz T</w:t>
      </w:r>
      <w:r>
        <w:t>. The igraph software package for complex network research.</w:t>
      </w:r>
    </w:p>
    <w:sectPr w:rsidR="00545250" w:rsidSect="0003104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9C7A6" w14:textId="77777777" w:rsidR="00031049" w:rsidRDefault="00031049">
      <w:pPr>
        <w:spacing w:after="0"/>
      </w:pPr>
      <w:r>
        <w:separator/>
      </w:r>
    </w:p>
  </w:endnote>
  <w:endnote w:type="continuationSeparator" w:id="0">
    <w:p w14:paraId="7F5306A0" w14:textId="77777777" w:rsidR="00031049" w:rsidRDefault="000310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9A678D" w14:textId="77777777" w:rsidR="00031049" w:rsidRDefault="00031049">
      <w:r>
        <w:separator/>
      </w:r>
    </w:p>
  </w:footnote>
  <w:footnote w:type="continuationSeparator" w:id="0">
    <w:p w14:paraId="70097B56" w14:textId="77777777" w:rsidR="00031049" w:rsidRDefault="000310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CEAA4C"/>
    <w:multiLevelType w:val="multilevel"/>
    <w:tmpl w:val="522CB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08A1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1049"/>
    <w:rsid w:val="004A0E5A"/>
    <w:rsid w:val="004E29B3"/>
    <w:rsid w:val="00545250"/>
    <w:rsid w:val="00590D07"/>
    <w:rsid w:val="007635E0"/>
    <w:rsid w:val="00784D58"/>
    <w:rsid w:val="008D6863"/>
    <w:rsid w:val="00B86B75"/>
    <w:rsid w:val="00BC48D5"/>
    <w:rsid w:val="00C36279"/>
    <w:rsid w:val="00E315A3"/>
    <w:rsid w:val="00F12D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6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31049"/>
    <w:pPr>
      <w:spacing w:after="0"/>
    </w:pPr>
    <w:rPr>
      <w:rFonts w:ascii="Lucida Grande" w:hAnsi="Lucida Grande"/>
      <w:sz w:val="18"/>
      <w:szCs w:val="18"/>
    </w:rPr>
  </w:style>
  <w:style w:type="character" w:customStyle="1" w:styleId="BalloonTextChar">
    <w:name w:val="Balloon Text Char"/>
    <w:basedOn w:val="DefaultParagraphFont"/>
    <w:link w:val="BalloonText"/>
    <w:rsid w:val="00031049"/>
    <w:rPr>
      <w:rFonts w:ascii="Lucida Grande" w:hAnsi="Lucida Grande"/>
      <w:sz w:val="18"/>
      <w:szCs w:val="18"/>
    </w:rPr>
  </w:style>
  <w:style w:type="character" w:styleId="LineNumber">
    <w:name w:val="line number"/>
    <w:basedOn w:val="DefaultParagraphFont"/>
    <w:rsid w:val="000310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40</Pages>
  <Words>8759</Words>
  <Characters>49929</Characters>
  <Application>Microsoft Macintosh Word</Application>
  <DocSecurity>0</DocSecurity>
  <Lines>416</Lines>
  <Paragraphs>117</Paragraphs>
  <ScaleCrop>false</ScaleCrop>
  <Company/>
  <LinksUpToDate>false</LinksUpToDate>
  <CharactersWithSpaces>58571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lastModifiedBy>Geoffrey Hannigan</cp:lastModifiedBy>
  <cp:revision>4</cp:revision>
  <dcterms:created xsi:type="dcterms:W3CDTF">2017-05-31T22:47:00Z</dcterms:created>
  <dcterms:modified xsi:type="dcterms:W3CDTF">2017-06-01T10:51:00Z</dcterms:modified>
</cp:coreProperties>
</file>