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5E" w:rsidRPr="00A14059" w:rsidRDefault="00500E5E">
      <w:pPr>
        <w:rPr>
          <w:lang w:val="en-US"/>
        </w:rPr>
      </w:pPr>
      <w:r w:rsidRPr="00A14059">
        <w:rPr>
          <w:i/>
          <w:lang w:val="en-US"/>
        </w:rPr>
        <w:t>Method Flow cytometry analyses</w:t>
      </w:r>
    </w:p>
    <w:p w:rsidR="00500E5E" w:rsidRPr="00A14059" w:rsidRDefault="00591CE0" w:rsidP="00500E5E">
      <w:pPr>
        <w:pStyle w:val="Nessunaspaziatura"/>
        <w:spacing w:line="360" w:lineRule="auto"/>
        <w:jc w:val="both"/>
        <w:rPr>
          <w:lang w:val="en-US"/>
        </w:rPr>
      </w:pPr>
      <w:r w:rsidRPr="00A14059">
        <w:rPr>
          <w:lang w:val="en-US"/>
        </w:rPr>
        <w:t xml:space="preserve">For the detection of </w:t>
      </w:r>
      <w:proofErr w:type="spellStart"/>
      <w:r w:rsidRPr="00A14059">
        <w:rPr>
          <w:lang w:val="en-US"/>
        </w:rPr>
        <w:t>autofl</w:t>
      </w:r>
      <w:bookmarkStart w:id="0" w:name="_GoBack"/>
      <w:bookmarkEnd w:id="0"/>
      <w:r w:rsidRPr="00A14059">
        <w:rPr>
          <w:lang w:val="en-US"/>
        </w:rPr>
        <w:t>uorescent</w:t>
      </w:r>
      <w:proofErr w:type="spellEnd"/>
      <w:r w:rsidRPr="00A14059">
        <w:rPr>
          <w:lang w:val="en-US"/>
        </w:rPr>
        <w:t xml:space="preserve"> phototrophic bacteria in the water column, flow cytometry was used to determine chlorophyll/bacteriochlorophyll and phycobilin signatures. We used a BD </w:t>
      </w:r>
      <w:proofErr w:type="spellStart"/>
      <w:r w:rsidRPr="00A14059">
        <w:rPr>
          <w:lang w:val="en-US"/>
        </w:rPr>
        <w:t>Accuri</w:t>
      </w:r>
      <w:proofErr w:type="spellEnd"/>
      <w:r w:rsidRPr="00A14059">
        <w:rPr>
          <w:lang w:val="en-US"/>
        </w:rPr>
        <w:t xml:space="preserve"> C6 cytometer (Becton Dickinson, San José, CA, USA) device equipped with two lasers (</w:t>
      </w:r>
      <w:proofErr w:type="gramStart"/>
      <w:r w:rsidRPr="00A14059">
        <w:rPr>
          <w:lang w:val="en-US"/>
        </w:rPr>
        <w:t>488  nm</w:t>
      </w:r>
      <w:proofErr w:type="gramEnd"/>
      <w:r w:rsidRPr="00A14059">
        <w:rPr>
          <w:lang w:val="en-US"/>
        </w:rPr>
        <w:t>, 680 nm), two scatter detectors, and four fluorescence detectors (lasers 488 nm: FL1 = 533/30, FL2 = 585/40, FL3 = 670; laser 640 nm: FL4 = 670). Two parameters were used for event characterization: forward scatter (FSC) and 90</w:t>
      </w:r>
      <w:r w:rsidR="00837F94" w:rsidRPr="00A14059">
        <w:rPr>
          <w:lang w:val="en-US"/>
        </w:rPr>
        <w:t xml:space="preserve">° light scatter (SSC). </w:t>
      </w:r>
    </w:p>
    <w:p w:rsidR="00837F94" w:rsidRPr="00A14059" w:rsidRDefault="00837F94" w:rsidP="00500E5E">
      <w:pPr>
        <w:pStyle w:val="Nessunaspaziatura"/>
        <w:spacing w:line="360" w:lineRule="auto"/>
        <w:jc w:val="both"/>
        <w:rPr>
          <w:rFonts w:cstheme="minorHAnsi"/>
          <w:lang w:val="en-US"/>
        </w:rPr>
      </w:pPr>
      <w:r w:rsidRPr="00A14059">
        <w:rPr>
          <w:lang w:val="en-US"/>
        </w:rPr>
        <w:t xml:space="preserve">For the identification of phototrophic bacteria, a first forward scatter threshold of FSC-H 10’000 was applied to exclude debris and abiotic particles. Subsequently a FL3-A &gt; 1’100 </w:t>
      </w:r>
      <w:proofErr w:type="gramStart"/>
      <w:r w:rsidRPr="00A14059">
        <w:rPr>
          <w:lang w:val="en-US"/>
        </w:rPr>
        <w:t>threshold</w:t>
      </w:r>
      <w:proofErr w:type="gramEnd"/>
      <w:r w:rsidRPr="00A14059">
        <w:rPr>
          <w:lang w:val="en-US"/>
        </w:rPr>
        <w:t xml:space="preserve"> was applied using FL3 (red fluorescence), to select cells emitting autofluorescence due to chlorophyll and bacteriochlorophyll. For cyanobacteria, the 640-nm red laser was used to excite </w:t>
      </w:r>
      <w:proofErr w:type="spellStart"/>
      <w:r w:rsidRPr="00A14059">
        <w:rPr>
          <w:lang w:val="en-US"/>
        </w:rPr>
        <w:t>phycocyanins</w:t>
      </w:r>
      <w:proofErr w:type="spellEnd"/>
      <w:r w:rsidRPr="00A14059">
        <w:rPr>
          <w:lang w:val="en-US"/>
        </w:rPr>
        <w:t xml:space="preserve"> in the light-harvesting </w:t>
      </w:r>
      <w:proofErr w:type="spellStart"/>
      <w:r w:rsidRPr="00A14059">
        <w:rPr>
          <w:lang w:val="en-US"/>
        </w:rPr>
        <w:t>phycobilisomes</w:t>
      </w:r>
      <w:proofErr w:type="spellEnd"/>
      <w:r w:rsidRPr="00A14059">
        <w:rPr>
          <w:lang w:val="en-US"/>
        </w:rPr>
        <w:t xml:space="preserve"> with emissions detected in FL4 (675 </w:t>
      </w:r>
      <w:r w:rsidRPr="00A14059">
        <w:rPr>
          <w:rFonts w:cstheme="minorHAnsi"/>
          <w:lang w:val="en-US"/>
        </w:rPr>
        <w:t>±</w:t>
      </w:r>
      <w:r w:rsidRPr="00A14059">
        <w:rPr>
          <w:lang w:val="en-US"/>
        </w:rPr>
        <w:t xml:space="preserve"> 12.5 nm). A FL4-A &gt; 1’100 was applied to select cells emitting autofluorescence due to phycocyanin. Sample analysis was limited to 50 </w:t>
      </w:r>
      <w:r w:rsidRPr="00A14059">
        <w:rPr>
          <w:rFonts w:cstheme="minorHAnsi"/>
          <w:lang w:val="en-US"/>
        </w:rPr>
        <w:t>µL with fluidic flow rate of 66 µL min</w:t>
      </w:r>
      <w:r w:rsidRPr="00A14059">
        <w:rPr>
          <w:rFonts w:cstheme="minorHAnsi"/>
          <w:vertAlign w:val="superscript"/>
          <w:lang w:val="en-US"/>
        </w:rPr>
        <w:t>-1</w:t>
      </w:r>
      <w:r w:rsidRPr="00A14059">
        <w:rPr>
          <w:rFonts w:cstheme="minorHAnsi"/>
          <w:lang w:val="en-US"/>
        </w:rPr>
        <w:t xml:space="preserve"> and samples were diluted if necessary in order to achieve a maximum of 1’000 events per </w:t>
      </w:r>
      <w:proofErr w:type="spellStart"/>
      <w:r w:rsidRPr="00A14059">
        <w:rPr>
          <w:rFonts w:cstheme="minorHAnsi"/>
          <w:lang w:val="en-US"/>
        </w:rPr>
        <w:t>mL.</w:t>
      </w:r>
      <w:proofErr w:type="spellEnd"/>
      <w:r w:rsidRPr="00A14059">
        <w:rPr>
          <w:rFonts w:cstheme="minorHAnsi"/>
          <w:lang w:val="en-US"/>
        </w:rPr>
        <w:t xml:space="preserve"> Among phototrophic sulfur bacteria, large-celled PSB </w:t>
      </w:r>
      <w:r w:rsidRPr="00A14059">
        <w:rPr>
          <w:rFonts w:cstheme="minorHAnsi"/>
          <w:i/>
          <w:lang w:val="en-US"/>
        </w:rPr>
        <w:t>C</w:t>
      </w:r>
      <w:r w:rsidRPr="00A14059">
        <w:rPr>
          <w:rFonts w:cstheme="minorHAnsi"/>
          <w:lang w:val="en-US"/>
        </w:rPr>
        <w:t xml:space="preserve">. </w:t>
      </w:r>
      <w:proofErr w:type="spellStart"/>
      <w:r w:rsidRPr="00A14059">
        <w:rPr>
          <w:rFonts w:cstheme="minorHAnsi"/>
          <w:i/>
          <w:lang w:val="en-US"/>
        </w:rPr>
        <w:t>okenii</w:t>
      </w:r>
      <w:proofErr w:type="spellEnd"/>
      <w:r w:rsidR="00D636FA" w:rsidRPr="00A14059">
        <w:rPr>
          <w:rFonts w:cstheme="minorHAnsi"/>
          <w:lang w:val="en-US"/>
        </w:rPr>
        <w:t xml:space="preserve"> (7 µm) and GSB </w:t>
      </w:r>
      <w:proofErr w:type="spellStart"/>
      <w:r w:rsidR="00D636FA" w:rsidRPr="00A14059">
        <w:rPr>
          <w:rFonts w:cstheme="minorHAnsi"/>
          <w:i/>
          <w:lang w:val="en-US"/>
        </w:rPr>
        <w:t>Chlorobium</w:t>
      </w:r>
      <w:proofErr w:type="spellEnd"/>
      <w:r w:rsidR="00D636FA" w:rsidRPr="00A14059">
        <w:rPr>
          <w:rFonts w:cstheme="minorHAnsi"/>
          <w:lang w:val="en-US"/>
        </w:rPr>
        <w:t xml:space="preserve"> spp. (0.8 µm) were </w:t>
      </w:r>
      <w:proofErr w:type="gramStart"/>
      <w:r w:rsidR="00D636FA" w:rsidRPr="00A14059">
        <w:rPr>
          <w:rFonts w:cstheme="minorHAnsi"/>
          <w:lang w:val="en-US"/>
        </w:rPr>
        <w:t>clearly  separated</w:t>
      </w:r>
      <w:proofErr w:type="gramEnd"/>
      <w:r w:rsidR="00D636FA" w:rsidRPr="00A14059">
        <w:rPr>
          <w:rFonts w:cstheme="minorHAnsi"/>
          <w:lang w:val="en-US"/>
        </w:rPr>
        <w:t xml:space="preserve"> from other populations in SSC vs FSC dot-plots. PSB </w:t>
      </w:r>
      <w:r w:rsidR="00D636FA" w:rsidRPr="00A14059">
        <w:rPr>
          <w:rFonts w:cstheme="minorHAnsi"/>
          <w:i/>
          <w:lang w:val="en-US"/>
        </w:rPr>
        <w:t>C</w:t>
      </w:r>
      <w:r w:rsidR="00D636FA" w:rsidRPr="00A14059">
        <w:rPr>
          <w:rFonts w:cstheme="minorHAnsi"/>
          <w:lang w:val="en-US"/>
        </w:rPr>
        <w:t xml:space="preserve">. </w:t>
      </w:r>
      <w:proofErr w:type="spellStart"/>
      <w:r w:rsidR="00D636FA" w:rsidRPr="00A14059">
        <w:rPr>
          <w:rFonts w:cstheme="minorHAnsi"/>
          <w:i/>
          <w:lang w:val="en-US"/>
        </w:rPr>
        <w:t>okenii</w:t>
      </w:r>
      <w:proofErr w:type="spellEnd"/>
      <w:r w:rsidR="00D636FA" w:rsidRPr="00A14059">
        <w:rPr>
          <w:rFonts w:cstheme="minorHAnsi"/>
          <w:lang w:val="en-US"/>
        </w:rPr>
        <w:t xml:space="preserve">, GSB </w:t>
      </w:r>
      <w:proofErr w:type="spellStart"/>
      <w:r w:rsidR="00D636FA" w:rsidRPr="00A14059">
        <w:rPr>
          <w:rFonts w:cstheme="minorHAnsi"/>
          <w:i/>
          <w:lang w:val="en-US"/>
        </w:rPr>
        <w:t>Chlorobium</w:t>
      </w:r>
      <w:proofErr w:type="spellEnd"/>
      <w:r w:rsidR="00D636FA" w:rsidRPr="00A14059">
        <w:rPr>
          <w:rFonts w:cstheme="minorHAnsi"/>
          <w:i/>
          <w:lang w:val="en-US"/>
        </w:rPr>
        <w:t xml:space="preserve"> </w:t>
      </w:r>
      <w:r w:rsidR="00D636FA" w:rsidRPr="00A14059">
        <w:rPr>
          <w:rFonts w:cstheme="minorHAnsi"/>
          <w:lang w:val="en-US"/>
        </w:rPr>
        <w:t xml:space="preserve">and cyanobacteria gating permitted their respective counts. </w:t>
      </w:r>
    </w:p>
    <w:p w:rsidR="00D36DFD" w:rsidRPr="00A14059" w:rsidRDefault="00D36DFD" w:rsidP="00500E5E">
      <w:pPr>
        <w:pStyle w:val="Nessunaspaziatura"/>
        <w:spacing w:line="360" w:lineRule="auto"/>
        <w:jc w:val="both"/>
        <w:rPr>
          <w:lang w:val="en-US"/>
        </w:rPr>
      </w:pPr>
      <w:r w:rsidRPr="00A14059">
        <w:rPr>
          <w:lang w:val="en-US"/>
        </w:rPr>
        <w:t>For estimation of total cell counts</w:t>
      </w:r>
      <w:r w:rsidR="00A14059" w:rsidRPr="00A14059">
        <w:rPr>
          <w:lang w:val="en-US"/>
        </w:rPr>
        <w:t xml:space="preserve">, samples were stained with SYBR green I (Molecular Probes, Eugene, </w:t>
      </w:r>
      <w:proofErr w:type="spellStart"/>
      <w:r w:rsidR="00A14059" w:rsidRPr="00A14059">
        <w:rPr>
          <w:lang w:val="en-US"/>
        </w:rPr>
        <w:t>Oreg</w:t>
      </w:r>
      <w:proofErr w:type="spellEnd"/>
      <w:r w:rsidR="00A14059" w:rsidRPr="00A14059">
        <w:rPr>
          <w:lang w:val="en-US"/>
        </w:rPr>
        <w:t xml:space="preserve">.). Samples were stained with 1:10’000 (vol/vol) SYBR green I, incubated 13 minutes at 37°C in the dark. Histogram of counts vs green fluorescence (FL1 &gt; 1’100) allowed quantifying total cells. </w:t>
      </w:r>
    </w:p>
    <w:p w:rsidR="00500E5E" w:rsidRPr="00500E5E" w:rsidRDefault="00500E5E">
      <w:pPr>
        <w:rPr>
          <w:lang w:val="en-AU"/>
        </w:rPr>
      </w:pPr>
    </w:p>
    <w:sectPr w:rsidR="00500E5E" w:rsidRPr="00500E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5E"/>
    <w:rsid w:val="00500E5E"/>
    <w:rsid w:val="00591CE0"/>
    <w:rsid w:val="00837F94"/>
    <w:rsid w:val="00A14059"/>
    <w:rsid w:val="00D36DFD"/>
    <w:rsid w:val="00D6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BC196"/>
  <w15:chartTrackingRefBased/>
  <w15:docId w15:val="{A6958050-36DE-44F6-B8FA-CDAA2FEB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00E5E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2018-05-18T13:06:00Z</dcterms:created>
  <dcterms:modified xsi:type="dcterms:W3CDTF">2018-05-21T07:55:00Z</dcterms:modified>
</cp:coreProperties>
</file>