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Committee Meeting Report</w:t>
      </w:r>
      <w:r>
        <w:t xml:space="preserve"> </w:t>
      </w:r>
      <w:r>
        <w:rPr>
          <w:b/>
        </w:rPr>
        <w:t xml:space="preserve">Sahar Mozaffari</w:t>
      </w:r>
      <w:r>
        <w:br w:type="textWrapping"/>
      </w:r>
      <w:r>
        <w:t xml:space="preserve">Professor: Carole Ober</w:t>
      </w:r>
      <w:r>
        <w:br w:type="textWrapping"/>
      </w:r>
      <w:r>
        <w:t xml:space="preserve">GGSB Matriculated 2013 Date: 10/02/17</w:t>
      </w:r>
      <w:r>
        <w:br w:type="textWrapping"/>
      </w:r>
    </w:p>
    <w:p>
      <w:pPr>
        <w:pStyle w:val="BodyText"/>
      </w:pPr>
      <w:r>
        <w:br w:type="textWrapping"/>
      </w:r>
      <w:r>
        <w:rPr>
          <w:b/>
        </w:rPr>
        <w:t xml:space="preserve">Progress since last Committee Meeting - September 8, 2016</w:t>
      </w:r>
    </w:p>
    <w:p>
      <w:pPr>
        <w:pStyle w:val="Heading2"/>
      </w:pPr>
      <w:bookmarkStart w:id="21" w:name="awards"/>
      <w:bookmarkEnd w:id="21"/>
      <w:r>
        <w:t xml:space="preserve">Awards</w:t>
      </w:r>
    </w:p>
    <w:p>
      <w:pPr>
        <w:numPr>
          <w:numId w:val="1001"/>
          <w:ilvl w:val="0"/>
        </w:numPr>
      </w:pPr>
      <w:r>
        <w:t xml:space="preserve">ASHG Reviewer’s Choice Abstract Award 2016 &amp; 2017</w:t>
      </w:r>
    </w:p>
    <w:p>
      <w:pPr>
        <w:numPr>
          <w:numId w:val="1001"/>
          <w:ilvl w:val="0"/>
        </w:numPr>
      </w:pPr>
      <w:r>
        <w:t xml:space="preserve">Awarded &amp; Renewed F31 Ruth L. Kirschstein NRSA 9/2016-9/2018</w:t>
      </w:r>
    </w:p>
    <w:p>
      <w:pPr>
        <w:numPr>
          <w:numId w:val="1001"/>
          <w:ilvl w:val="0"/>
        </w:numPr>
      </w:pPr>
      <w:r>
        <w:t xml:space="preserve">FASEB MARC Travel Award to ASHG 2014 &amp; 2015</w:t>
      </w:r>
    </w:p>
    <w:p>
      <w:pPr>
        <w:numPr>
          <w:numId w:val="1001"/>
          <w:ilvl w:val="0"/>
        </w:numPr>
      </w:pPr>
      <w:r>
        <w:t xml:space="preserve">Genetics and Regulation Training Grant 2013-2016</w:t>
      </w:r>
    </w:p>
    <w:p>
      <w:pPr>
        <w:pStyle w:val="Heading2"/>
      </w:pPr>
      <w:bookmarkStart w:id="22" w:name="publications"/>
      <w:bookmarkEnd w:id="22"/>
      <w:r>
        <w:t xml:space="preserve">Publications</w:t>
      </w:r>
    </w:p>
    <w:p>
      <w:pPr>
        <w:numPr>
          <w:numId w:val="1002"/>
          <w:ilvl w:val="0"/>
        </w:numPr>
      </w:pPr>
      <w:r>
        <w:t xml:space="preserve">Submitted to PeerJ:</w:t>
      </w:r>
    </w:p>
    <w:p>
      <w:pPr>
        <w:numPr>
          <w:numId w:val="1002"/>
          <w:ilvl w:val="0"/>
        </w:numPr>
      </w:pPr>
      <w:r>
        <w:t xml:space="preserve">Revising:</w:t>
      </w:r>
    </w:p>
    <w:p>
      <w:pPr>
        <w:numPr>
          <w:numId w:val="1002"/>
          <w:ilvl w:val="0"/>
        </w:numPr>
      </w:pPr>
      <w:r>
        <w:t xml:space="preserve">Under revision Scientific Reports:</w:t>
      </w:r>
    </w:p>
    <w:p>
      <w:pPr>
        <w:pStyle w:val="Heading2"/>
      </w:pPr>
      <w:bookmarkStart w:id="23" w:name="oral-presentations"/>
      <w:bookmarkEnd w:id="23"/>
      <w:r>
        <w:t xml:space="preserve">Oral Presentations</w:t>
      </w:r>
    </w:p>
    <w:p>
      <w:pPr>
        <w:numPr>
          <w:numId w:val="1003"/>
          <w:ilvl w:val="0"/>
        </w:numPr>
      </w:pPr>
      <w:r>
        <w:t xml:space="preserve">GGSB Work in Progress April 2016 &amp; March 2017</w:t>
      </w:r>
      <w:r>
        <w:br w:type="textWrapping"/>
      </w:r>
      <w:r>
        <w:rPr>
          <w:i/>
        </w:rPr>
        <w:t xml:space="preserve">Parent of Origin Effects in the Hutterites</w:t>
      </w:r>
    </w:p>
    <w:p>
      <w:pPr>
        <w:numPr>
          <w:numId w:val="1003"/>
          <w:ilvl w:val="0"/>
        </w:numPr>
      </w:pPr>
      <w:r>
        <w:t xml:space="preserve">Human Genetics Work in Progress January 20, 2016</w:t>
      </w:r>
      <w:r>
        <w:br w:type="textWrapping"/>
      </w:r>
      <w:r>
        <w:rPr>
          <w:i/>
        </w:rPr>
        <w:t xml:space="preserve">Parent of Origin Effects</w:t>
      </w:r>
    </w:p>
    <w:p>
      <w:pPr>
        <w:numPr>
          <w:numId w:val="1003"/>
          <w:ilvl w:val="0"/>
        </w:numPr>
      </w:pPr>
      <w:r>
        <w:t xml:space="preserve">Molecular Biosciences Retreat November 5, 2015</w:t>
      </w:r>
      <w:r>
        <w:br w:type="textWrapping"/>
      </w:r>
      <w:r>
        <w:t xml:space="preserve">Mozaffari SV, DeCara J, Shah S, Herman C, Lang R, Nicolae D, Ober C.,</w:t>
      </w:r>
      <w:r>
        <w:t xml:space="preserve"> </w:t>
      </w:r>
      <w:r>
        <w:rPr>
          <w:i/>
        </w:rPr>
        <w:t xml:space="preserve">Parent of Origin GWAS with Cardiovascular Disease Associated Traits in the Hutterites.</w:t>
      </w:r>
      <w:r>
        <w:t xml:space="preserve"> </w:t>
      </w:r>
      <w:r>
        <w:t xml:space="preserve">2015: Nov 5; Galena, IL.</w:t>
      </w:r>
    </w:p>
    <w:p>
      <w:pPr>
        <w:numPr>
          <w:numId w:val="1003"/>
          <w:ilvl w:val="0"/>
        </w:numPr>
      </w:pPr>
      <w:r>
        <w:t xml:space="preserve">ASHGOctober 9, 2015</w:t>
      </w:r>
      <w:r>
        <w:br w:type="textWrapping"/>
      </w:r>
      <w:r>
        <w:t xml:space="preserve">Mozaffari SV, DeCara J, Shah S, Herman C, Lang R, Nicolae D, Ober C.,</w:t>
      </w:r>
      <w:r>
        <w:t xml:space="preserve"> </w:t>
      </w:r>
      <w:r>
        <w:rPr>
          <w:i/>
        </w:rPr>
        <w:t xml:space="preserve">Parent of Origin GWAS of CVD-Associated Phenotypes in the Hutterites</w:t>
      </w:r>
      <w:r>
        <w:t xml:space="preserve"> </w:t>
      </w:r>
      <w:r>
        <w:t xml:space="preserve">(Abstract Program #310). Presented at the Annual Meeting of The American Society of Human Genetics; 2015: Oct 9; Baltimore, MD.</w:t>
      </w:r>
    </w:p>
    <w:p>
      <w:pPr>
        <w:pStyle w:val="Heading2"/>
      </w:pPr>
      <w:bookmarkStart w:id="24" w:name="posters"/>
      <w:bookmarkEnd w:id="24"/>
      <w:r>
        <w:t xml:space="preserve">Posters</w:t>
      </w:r>
    </w:p>
    <w:p>
      <w:pPr>
        <w:numPr>
          <w:numId w:val="1004"/>
          <w:ilvl w:val="0"/>
        </w:numPr>
      </w:pPr>
      <w:r>
        <w:t xml:space="preserve">Mozaffari SV, Nicolae D, Ober C.</w:t>
      </w:r>
      <w:r>
        <w:t xml:space="preserve"> </w:t>
      </w:r>
      <w:r>
        <w:rPr>
          <w:i/>
        </w:rPr>
        <w:t xml:space="preserve">Opposite Allele Parent of Origin Effects on Cardiovascular and Asthma Associated Traits in the Hutterites</w:t>
      </w:r>
      <w:r>
        <w:t xml:space="preserve">. Poster presented at the Gordon Research Seminar and Conference; 2017: July 8-14; Stowe, VT</w:t>
      </w:r>
    </w:p>
    <w:p>
      <w:pPr>
        <w:numPr>
          <w:numId w:val="1004"/>
          <w:ilvl w:val="0"/>
        </w:numPr>
      </w:pPr>
      <w:r>
        <w:t xml:space="preserve">Reviewer’s Choice Abstract Award:</w:t>
      </w:r>
      <w:r>
        <w:br w:type="textWrapping"/>
      </w:r>
      <w:r>
        <w:t xml:space="preserve">Mozaffari SV, Nicolae D, Ober C. Opposite Allele Parent of Origin Effects on Body Mass Index in the Hutterites. Poster presented at the Annual Meeting of The American Society of Human Genetics Conference; 2016: Oct 18-22; Vancouver, Canada</w:t>
      </w:r>
    </w:p>
    <w:p>
      <w:pPr>
        <w:numPr>
          <w:numId w:val="1004"/>
          <w:ilvl w:val="0"/>
        </w:numPr>
      </w:pPr>
      <w:r>
        <w:t xml:space="preserve">Mozaffari SV, Gamazon E, Aquino-Michaels K, Cox NJ, Im HK.</w:t>
      </w:r>
      <w:r>
        <w:t xml:space="preserve"> </w:t>
      </w:r>
      <w:r>
        <w:rPr>
          <w:i/>
        </w:rPr>
        <w:t xml:space="preserve">Quantifying Context Specificity of Gene Regulation using Predicted Gene Expression Levels.</w:t>
      </w:r>
      <w:r>
        <w:t xml:space="preserve"> </w:t>
      </w:r>
      <w:r>
        <w:t xml:space="preserve">Poster presented at the Annual Meeting of The American Society of Human Genetics Conference; 2014: Oct 18-22; San Diego, CA</w:t>
      </w:r>
    </w:p>
    <w:p>
      <w:pPr>
        <w:pStyle w:val="Heading2"/>
      </w:pPr>
      <w:bookmarkStart w:id="25" w:name="teaching-assistantship-requirements-completed"/>
      <w:bookmarkEnd w:id="25"/>
      <w:r>
        <w:t xml:space="preserve">Teaching Assistantship Requirements Completed</w:t>
      </w:r>
    </w:p>
    <w:p>
      <w:pPr>
        <w:numPr>
          <w:numId w:val="1005"/>
          <w:ilvl w:val="0"/>
        </w:numPr>
      </w:pPr>
      <w:r>
        <w:t xml:space="preserve">HGEN 47000</w:t>
      </w:r>
      <w:r>
        <w:t xml:space="preserve"> </w:t>
      </w:r>
      <w:r>
        <w:rPr>
          <w:i/>
        </w:rPr>
        <w:t xml:space="preserve">Human Genetics</w:t>
      </w:r>
      <w:r>
        <w:t xml:space="preserve"> </w:t>
      </w:r>
      <w:r>
        <w:t xml:space="preserve">Fall 2015 &amp; 2017</w:t>
      </w:r>
      <w:r>
        <w:br w:type="textWrapping"/>
      </w:r>
      <w:r>
        <w:t xml:space="preserve">- Graduate Course: Classic and modern approaches to studying cytogenetic, Mendelian, and complex human diseases. Grant proposal writing course.</w:t>
      </w:r>
      <w:r>
        <w:br w:type="textWrapping"/>
      </w:r>
      <w:r>
        <w:t xml:space="preserve">- Fall 2017: Conducting two-day computational workshop on GWAS</w:t>
      </w:r>
    </w:p>
    <w:p>
      <w:pPr>
        <w:numPr>
          <w:numId w:val="1005"/>
          <w:ilvl w:val="0"/>
        </w:numPr>
      </w:pPr>
      <w:r>
        <w:t xml:space="preserve">MGCB 31400 (BIOS 21236)</w:t>
      </w:r>
      <w:r>
        <w:t xml:space="preserve"> </w:t>
      </w:r>
      <w:r>
        <w:rPr>
          <w:i/>
        </w:rPr>
        <w:t xml:space="preserve">Genetic Analysis of Model Organisms</w:t>
      </w:r>
      <w:r>
        <w:t xml:space="preserve">Fall 2014</w:t>
      </w:r>
      <w:r>
        <w:br w:type="textWrapping"/>
      </w:r>
      <w:r>
        <w:t xml:space="preserve">- Graduate &amp; Undergraduate Course: Introduction to genetic tools, experiments, and model organisms</w:t>
      </w:r>
    </w:p>
    <w:p>
      <w:pPr>
        <w:pStyle w:val="Heading2"/>
      </w:pPr>
      <w:bookmarkStart w:id="26" w:name="additional-courses"/>
      <w:bookmarkEnd w:id="26"/>
      <w:r>
        <w:t xml:space="preserve">Additional Courses</w:t>
      </w:r>
    </w:p>
    <w:p>
      <w:pPr>
        <w:numPr>
          <w:numId w:val="1006"/>
          <w:ilvl w:val="0"/>
        </w:numPr>
      </w:pPr>
      <w:r>
        <w:t xml:space="preserve">STAT 24500</w:t>
      </w:r>
      <w:r>
        <w:t xml:space="preserve"> </w:t>
      </w:r>
      <w:r>
        <w:rPr>
          <w:i/>
        </w:rPr>
        <w:t xml:space="preserve">Statistical Theory &amp; Methods II</w:t>
      </w:r>
      <w:r>
        <w:t xml:space="preserve"> </w:t>
      </w:r>
      <w:r>
        <w:t xml:space="preserve">Winter 2015</w:t>
      </w:r>
    </w:p>
    <w:p>
      <w:pPr>
        <w:numPr>
          <w:numId w:val="1006"/>
          <w:ilvl w:val="0"/>
        </w:numPr>
      </w:pPr>
      <w:r>
        <w:t xml:space="preserve">HGEN 46900</w:t>
      </w:r>
      <w:r>
        <w:t xml:space="preserve"> </w:t>
      </w:r>
      <w:r>
        <w:rPr>
          <w:i/>
        </w:rPr>
        <w:t xml:space="preserve">Human Variation &amp; Disease</w:t>
      </w:r>
      <w:r>
        <w:t xml:space="preserve"> </w:t>
      </w:r>
      <w:r>
        <w:t xml:space="preserve">Spring 2015</w:t>
      </w:r>
    </w:p>
    <w:p>
      <w:pPr>
        <w:numPr>
          <w:numId w:val="1006"/>
          <w:ilvl w:val="0"/>
        </w:numPr>
      </w:pPr>
      <w:r>
        <w:t xml:space="preserve">STAT 35500</w:t>
      </w:r>
      <w:r>
        <w:t xml:space="preserve"> </w:t>
      </w:r>
      <w:r>
        <w:rPr>
          <w:i/>
        </w:rPr>
        <w:t xml:space="preserve">Statistical Genetics</w:t>
      </w:r>
      <w:r>
        <w:t xml:space="preserve"> </w:t>
      </w:r>
      <w:r>
        <w:t xml:space="preserve">Spring 2015</w:t>
      </w:r>
    </w:p>
    <w:p>
      <w:pPr>
        <w:numPr>
          <w:numId w:val="1006"/>
          <w:ilvl w:val="0"/>
        </w:numPr>
      </w:pPr>
      <w:r>
        <w:t xml:space="preserve">myChoice Mini-Course:</w:t>
      </w:r>
      <w:r>
        <w:t xml:space="preserve"> </w:t>
      </w:r>
      <w:r>
        <w:rPr>
          <w:i/>
        </w:rPr>
        <w:t xml:space="preserve">Effective Writing in the Biological Sciences</w:t>
      </w:r>
      <w:r>
        <w:t xml:space="preserve"> </w:t>
      </w:r>
      <w:r>
        <w:t xml:space="preserve">Fall 2015</w:t>
      </w:r>
    </w:p>
    <w:p>
      <w:pPr>
        <w:numPr>
          <w:numId w:val="1006"/>
          <w:ilvl w:val="0"/>
        </w:numPr>
      </w:pPr>
      <w:r>
        <w:t xml:space="preserve">HGEN 48600</w:t>
      </w:r>
      <w:r>
        <w:t xml:space="preserve"> </w:t>
      </w:r>
      <w:r>
        <w:rPr>
          <w:i/>
        </w:rPr>
        <w:t xml:space="preserve">Fundamentals of Computational Biology: Models &amp; Inference</w:t>
      </w:r>
      <w:r>
        <w:t xml:space="preserve"> </w:t>
      </w:r>
      <w:r>
        <w:t xml:space="preserve">Winter 2016</w:t>
      </w:r>
    </w:p>
    <w:p>
      <w:pPr>
        <w:numPr>
          <w:numId w:val="1006"/>
          <w:ilvl w:val="0"/>
        </w:numPr>
      </w:pPr>
      <w:r>
        <w:t xml:space="preserve">PBHS 31831</w:t>
      </w:r>
      <w:r>
        <w:t xml:space="preserve"> </w:t>
      </w:r>
      <w:r>
        <w:rPr>
          <w:i/>
        </w:rPr>
        <w:t xml:space="preserve">Genetic &amp; Molecular Epidemiology</w:t>
      </w:r>
      <w:r>
        <w:t xml:space="preserve"> </w:t>
      </w:r>
      <w:r>
        <w:t xml:space="preserve">Spring 2016</w:t>
      </w:r>
    </w:p>
    <w:p>
      <w:pPr>
        <w:pStyle w:val="Heading2"/>
      </w:pPr>
      <w:bookmarkStart w:id="27" w:name="additional-workshops-conferences"/>
      <w:bookmarkEnd w:id="27"/>
      <w:r>
        <w:t xml:space="preserve">Additional Workshops &amp; Conferences</w:t>
      </w:r>
    </w:p>
    <w:p>
      <w:pPr>
        <w:numPr>
          <w:numId w:val="1007"/>
          <w:ilvl w:val="0"/>
        </w:numPr>
      </w:pPr>
      <w:r>
        <w:t xml:space="preserve">ComSciCon Chicago (Communicating Science Conference &amp; Workshop) August 2017</w:t>
      </w:r>
    </w:p>
    <w:p>
      <w:pPr>
        <w:numPr>
          <w:numId w:val="1007"/>
          <w:ilvl w:val="0"/>
        </w:numPr>
      </w:pPr>
      <w:r>
        <w:t xml:space="preserve">Gordon Research Seminar &amp; Conference: Human Genetics &amp; Genomics July 2017</w:t>
      </w:r>
      <w:r>
        <w:br w:type="textWrapping"/>
      </w:r>
      <w:r>
        <w:t xml:space="preserve">Discussion Leader for mentorship session at GRS</w:t>
      </w:r>
    </w:p>
    <w:p>
      <w:pPr>
        <w:numPr>
          <w:numId w:val="1007"/>
          <w:ilvl w:val="0"/>
        </w:numPr>
      </w:pPr>
      <w:r>
        <w:t xml:space="preserve">Summer Institute in Statistical Genetics at the University of Washington July 2016</w:t>
      </w:r>
    </w:p>
    <w:p>
      <w:pPr>
        <w:numPr>
          <w:numId w:val="1007"/>
          <w:ilvl w:val="0"/>
        </w:numPr>
      </w:pPr>
      <w:r>
        <w:t xml:space="preserve">Master R Developer Workshop taught by Hadley Wickham May 2015</w:t>
      </w:r>
    </w:p>
    <w:p>
      <w:pPr>
        <w:pStyle w:val="Heading2"/>
      </w:pPr>
      <w:bookmarkStart w:id="28" w:name="extracurricular"/>
      <w:bookmarkEnd w:id="28"/>
      <w:r>
        <w:t xml:space="preserve">Extracurricular</w:t>
      </w:r>
    </w:p>
    <w:p>
      <w:pPr>
        <w:numPr>
          <w:numId w:val="1008"/>
          <w:ilvl w:val="0"/>
        </w:numPr>
      </w:pPr>
      <w:r>
        <w:t xml:space="preserve">myCHOICE Data Science Trek to San Francisco Bay Area November 2017</w:t>
      </w:r>
    </w:p>
    <w:p>
      <w:pPr>
        <w:numPr>
          <w:numId w:val="1008"/>
          <w:ilvl w:val="0"/>
        </w:numPr>
      </w:pPr>
      <w:r>
        <w:t xml:space="preserve">Museum of Science &amp; Industry: Science Connections volunteer Fall 2014-current</w:t>
      </w:r>
      <w:r>
        <w:br w:type="textWrapping"/>
      </w:r>
      <w:r>
        <w:t xml:space="preserve">Introduce genetic concepts to guests in a fun and engaging way, incorporating hands-on activities.</w:t>
      </w:r>
      <w:r>
        <w:br w:type="textWrapping"/>
      </w:r>
      <w:r>
        <w:t xml:space="preserve">Assist in the Fabrication Lab helping guests design and print custom objects using 3D printers and laser cutters.</w:t>
      </w:r>
    </w:p>
    <w:p>
      <w:pPr>
        <w:numPr>
          <w:numId w:val="1008"/>
          <w:ilvl w:val="0"/>
        </w:numPr>
      </w:pPr>
      <w:r>
        <w:t xml:space="preserve">UChicago Software Carpentry Helper Fall 2015, 2016, &amp; 2017</w:t>
      </w:r>
    </w:p>
    <w:p>
      <w:pPr>
        <w:numPr>
          <w:numId w:val="1008"/>
          <w:ilvl w:val="0"/>
        </w:numPr>
      </w:pPr>
      <w:r>
        <w:t xml:space="preserve">Expanding Your Horizons (EYH) Chicago: volunteer March 2017</w:t>
      </w:r>
      <w:r>
        <w:br w:type="textWrapping"/>
      </w:r>
      <w:r>
        <w:t xml:space="preserve">Engage, inspire, and empower young girls to pursue STEM careers at a one-day STEM symposium where 300 middle school girls participate in hands-on science, technology, engineering and math led by academic and professional women.</w:t>
      </w:r>
    </w:p>
    <w:p>
      <w:pPr>
        <w:numPr>
          <w:numId w:val="1008"/>
          <w:ilvl w:val="0"/>
        </w:numPr>
      </w:pPr>
      <w:r>
        <w:t xml:space="preserve">myCHOICE Internship: Institute of Translational Medicine: writer Summer 2015</w:t>
      </w:r>
      <w:r>
        <w:br w:type="textWrapping"/>
      </w:r>
      <w:r>
        <w:t xml:space="preserve">Translate complex research into dynamic science stories. Share translational research stories in weekly newsletter, ITM website, and social media platforms</w:t>
      </w:r>
    </w:p>
    <w:p>
      <w:pPr>
        <w:pStyle w:val="Heading1"/>
      </w:pPr>
      <w:bookmarkStart w:id="29" w:name="proposal-updates"/>
      <w:bookmarkEnd w:id="29"/>
      <w:r>
        <w:t xml:space="preserve">Proposal Updates:</w:t>
      </w:r>
    </w:p>
    <w:p>
      <w:pPr>
        <w:pStyle w:val="FirstParagraph"/>
      </w:pPr>
      <w:r>
        <w:rPr>
          <w:b/>
        </w:rPr>
        <w:t xml:space="preserve">AIM 1a</w:t>
      </w:r>
      <w:r>
        <w:t xml:space="preserve"> </w:t>
      </w:r>
      <w:r>
        <w:t xml:space="preserve">To identify and characterize parent of origin effects on quantitative traits in the Hutterites.</w:t>
      </w:r>
      <w:r>
        <w:t xml:space="preserve"> </w:t>
      </w:r>
      <w:r>
        <w:br w:type="textWrapping"/>
      </w:r>
      <w:r>
        <w:rPr>
          <w:b/>
        </w:rPr>
        <w:t xml:space="preserve">AIM 1b</w:t>
      </w:r>
      <w:r>
        <w:t xml:space="preserve"> </w:t>
      </w:r>
      <w:r>
        <w:t xml:space="preserve">To estimate maternal and paternal heritability measures on quantitative traits in the Hutterites.</w:t>
      </w:r>
      <w:r>
        <w:br w:type="textWrapping"/>
      </w:r>
      <w:r>
        <w:br w:type="textWrapping"/>
      </w:r>
      <w:r>
        <w:rPr>
          <w:b/>
        </w:rPr>
        <w:t xml:space="preserve">AIM 2a</w:t>
      </w:r>
      <w:r>
        <w:t xml:space="preserve"> </w:t>
      </w:r>
      <w:r>
        <w:t xml:space="preserve">To identify and characterize parent of origin effects on gene expression in 430 Hutterites.</w:t>
      </w:r>
      <w:r>
        <w:br w:type="textWrapping"/>
      </w:r>
      <w:r>
        <w:rPr>
          <w:b/>
        </w:rPr>
        <w:t xml:space="preserve">AIM 2b</w:t>
      </w:r>
      <w:r>
        <w:t xml:space="preserve"> </w:t>
      </w:r>
      <w:r>
        <w:t xml:space="preserve">To identify and characterize parent of origin and allele specific effects on gene expression in 430 Hutterites.</w:t>
      </w:r>
      <w:r>
        <w:br w:type="textWrapping"/>
      </w:r>
      <w:r>
        <w:br w:type="textWrapping"/>
      </w:r>
      <w:r>
        <w:rPr>
          <w:b/>
        </w:rPr>
        <w:t xml:space="preserve">Since my last Committee Meetng</w:t>
      </w:r>
      <w:r>
        <w:t xml:space="preserve"> </w:t>
      </w:r>
      <w:r>
        <w:br w:type="textWrapping"/>
      </w:r>
      <w:r>
        <w:rPr>
          <w:b/>
        </w:rPr>
        <w:t xml:space="preserve">AIM 1a</w:t>
      </w:r>
      <w:r>
        <w:br w:type="textWrapping"/>
      </w:r>
      <w:r>
        <w:t xml:space="preserve">Completed with preprint on bioRxiv</w:t>
      </w:r>
      <w:r>
        <w:t xml:space="preserve"> </w:t>
      </w:r>
      <w:r>
        <w:t xml:space="preserve">(Mozaffari et al. 2017)</w:t>
      </w:r>
      <w:r>
        <w:t xml:space="preserve">, working on revising and resubmitting. We are trying to replicate the significant opposite effects of SNPs in birth weight in the Hutterites.</w:t>
      </w:r>
      <w:r>
        <w:t xml:space="preserve"> </w:t>
      </w:r>
      <w:r>
        <w:br w:type="textWrapping"/>
      </w:r>
      <w:r>
        <w:rPr>
          <w:b/>
        </w:rPr>
        <w:t xml:space="preserve">AIM 1b</w:t>
      </w:r>
      <w:r>
        <w:br w:type="textWrapping"/>
      </w:r>
      <w:r>
        <w:t xml:space="preserve">Currently working on, adapting methods published in Mott</w:t>
      </w:r>
      <w:r>
        <w:t xml:space="preserve"> </w:t>
      </w:r>
      <w:r>
        <w:rPr>
          <w:i/>
        </w:rPr>
        <w:t xml:space="preserve">et al.</w:t>
      </w:r>
      <w:r>
        <w:t xml:space="preserve"> </w:t>
      </w:r>
      <w:r>
        <w:t xml:space="preserve">(Mott et al. 2014)</w:t>
      </w:r>
      <w:r>
        <w:t xml:space="preserve">. Last committee meeting, it was established this would be the last aim I work on .</w:t>
      </w:r>
      <w:r>
        <w:t xml:space="preserve"> </w:t>
      </w:r>
      <w:r>
        <w:br w:type="textWrapping"/>
      </w:r>
      <w:r>
        <w:rPr>
          <w:b/>
        </w:rPr>
        <w:t xml:space="preserve">AIM 2a</w:t>
      </w:r>
      <w:r>
        <w:br w:type="textWrapping"/>
      </w:r>
      <w:r>
        <w:t xml:space="preserve">I have remapped the LCL RNA-seq data (and whole blood data for replication) using STAR</w:t>
      </w:r>
      <w:r>
        <w:t xml:space="preserve">(Dobin et al. 2012)</w:t>
      </w:r>
      <w:r>
        <w:t xml:space="preserve"> </w:t>
      </w:r>
      <w:r>
        <w:t xml:space="preserve">and corrected sample swaps using verifyBamID.</w:t>
      </w:r>
      <w:r>
        <w:t xml:space="preserve">(Jun et al. 2012)</w:t>
      </w:r>
      <w:r>
        <w:t xml:space="preserve"> </w:t>
      </w:r>
      <w:r>
        <w:t xml:space="preserve">I used WASP</w:t>
      </w:r>
      <w:r>
        <w:t xml:space="preserve">(Geijn et al. 2015)</w:t>
      </w:r>
      <w:r>
        <w:t xml:space="preserve"> </w:t>
      </w:r>
      <w:r>
        <w:t xml:space="preserve">to remove mapping bias and remove duplicate reads. I then mapped reads to the maternal (</w:t>
      </w:r>
      <m:oMath>
        <m:sSub>
          <m:e>
            <m:r>
              <m:t>Y</m:t>
            </m:r>
          </m:e>
          <m:sub>
            <m:r>
              <m:t>m</m:t>
            </m:r>
          </m:sub>
        </m:sSub>
      </m:oMath>
      <w:r>
        <w:t xml:space="preserve">) and paternal (</w:t>
      </w:r>
      <m:oMath>
        <m:sSub>
          <m:e>
            <m:r>
              <m:t>Y</m:t>
            </m:r>
          </m:e>
          <m:sub>
            <m:r>
              <m:t>p</m:t>
            </m:r>
          </m:sub>
        </m:sSub>
      </m:oMath>
      <w:r>
        <w:t xml:space="preserve">) haplotypes. I used STAR to measure gene count from reads. I removed lowly expressed genes but did not normalize gene expression or remove covariates since comparing maternal and paternal expression is done in the same sample under the same conditions.</w:t>
      </w:r>
      <w:r>
        <w:br w:type="textWrapping"/>
      </w:r>
      <w:r>
        <w:br w:type="textWrapping"/>
      </w:r>
      <w:r>
        <w:t xml:space="preserve">For this aim I am using simple binomial tests to detect patterns of parent of origin effects (i.e. imprinting) using maternal and paternal gene expression but not any SNPs (no POeQTL). (Removed duplicate reads so no need to model overdispersion).</w:t>
      </w:r>
      <w:r>
        <w:t xml:space="preserve"> </w:t>
      </w:r>
      <w:r>
        <w:t xml:space="preserve">First, I can test for directional asymmetry to test if any genes have maternal or paternal effects by generating a binomial Z-score for each subject for each gene. I only use individuals where</w:t>
      </w:r>
      <w:r>
        <w:t xml:space="preserve"> </w:t>
      </w:r>
      <m:oMath>
        <m:sSub>
          <m:e>
            <m:r>
              <m:t>Y</m:t>
            </m:r>
          </m:e>
          <m:sub>
            <m:r>
              <m:t>p</m:t>
            </m:r>
          </m:sub>
        </m:sSub>
        <m:r>
          <m:t>+</m:t>
        </m:r>
        <m:sSub>
          <m:e>
            <m:r>
              <m:t>Y</m:t>
            </m:r>
          </m:e>
          <m:sub>
            <m:r>
              <m:t>m</m:t>
            </m:r>
          </m:sub>
        </m:sSub>
        <m:r>
          <m:t>=</m:t>
        </m:r>
        <m:r>
          <m:t>5</m:t>
        </m:r>
      </m:oMath>
      <w:r>
        <w:t xml:space="preserve"> </w:t>
      </w:r>
      <w:r>
        <w:t xml:space="preserve">and</w:t>
      </w:r>
      <w:r>
        <w:t xml:space="preserve"> </w:t>
      </w:r>
      <m:oMath>
        <m:sSub>
          <m:e>
            <m:r>
              <m:t>Z</m:t>
            </m:r>
          </m:e>
          <m:sub>
            <m:r>
              <m:t>i</m:t>
            </m:r>
          </m:sub>
        </m:sSub>
        <m:r>
          <m:t>≠</m:t>
        </m:r>
        <m:r>
          <m:t>0</m:t>
        </m:r>
      </m:oMath>
      <w:r>
        <w:t xml:space="preserve"> </w:t>
      </w:r>
      <w:r>
        <w:t xml:space="preserve">to get a statistic of how skewed the gene expression is for each gene using a binomial test.</w:t>
      </w:r>
    </w:p>
    <w:p>
      <w:pPr>
        <w:pStyle w:val="BodyText"/>
      </w:pPr>
      <m:oMathPara>
        <m:oMathParaPr>
          <m:jc m:val="center"/>
        </m:oMathParaPr>
        <m:oMath>
          <m:sSub>
            <m:e>
              <m:r>
                <m:t>Z</m:t>
              </m:r>
            </m:e>
            <m:sub>
              <m:r>
                <m:t>i</m:t>
              </m:r>
            </m:sub>
          </m:sSub>
          <m:r>
            <m:t>=</m:t>
          </m:r>
          <m:f>
            <m:fPr>
              <m:type m:val="bar"/>
            </m:fPr>
            <m:num>
              <m:r>
                <m:t>(</m:t>
              </m:r>
              <m:sSubSup>
                <m:e>
                  <m:r>
                    <m:t>Y</m:t>
                  </m:r>
                </m:e>
                <m:sub>
                  <m:r>
                    <m:t>p</m:t>
                  </m:r>
                </m:sub>
                <m:sup>
                  <m:r>
                    <m:t>i</m:t>
                  </m:r>
                </m:sup>
              </m:sSubSup>
              <m:r>
                <m:t>−</m:t>
              </m:r>
              <m:sSubSup>
                <m:e>
                  <m:r>
                    <m:t>Y</m:t>
                  </m:r>
                </m:e>
                <m:sub>
                  <m:r>
                    <m:t>m</m:t>
                  </m:r>
                </m:sub>
                <m:sup>
                  <m:r>
                    <m:t>i</m:t>
                  </m:r>
                </m:sup>
              </m:sSubSup>
              <m:r>
                <m:t>)</m:t>
              </m:r>
            </m:num>
            <m:den>
              <m:rad>
                <m:radPr>
                  <m:degHide m:val="1"/>
                </m:radPr>
                <m:deg/>
                <m:e>
                  <m:r>
                    <m:t>(</m:t>
                  </m:r>
                </m:e>
              </m:rad>
              <m:sSubSup>
                <m:e>
                  <m:r>
                    <m:t>Y</m:t>
                  </m:r>
                </m:e>
                <m:sub>
                  <m:r>
                    <m:t>p</m:t>
                  </m:r>
                </m:sub>
                <m:sup>
                  <m:r>
                    <m:t>i</m:t>
                  </m:r>
                </m:sup>
              </m:sSubSup>
              <m:r>
                <m:t>+</m:t>
              </m:r>
              <m:sSubSup>
                <m:e>
                  <m:r>
                    <m:t>Y</m:t>
                  </m:r>
                </m:e>
                <m:sub>
                  <m:r>
                    <m:t>m</m:t>
                  </m:r>
                </m:sub>
                <m:sup>
                  <m:r>
                    <m:t>i</m:t>
                  </m:r>
                </m:sup>
              </m:sSubSup>
              <m:r>
                <m:t>)</m:t>
              </m:r>
            </m:den>
          </m:f>
        </m:oMath>
      </m:oMathPara>
    </w:p>
    <w:p>
      <w:pPr>
        <w:pStyle w:val="FirstParagraph"/>
      </w:pPr>
      <m:oMathPara>
        <m:oMathParaPr>
          <m:jc m:val="center"/>
        </m:oMathParaPr>
        <m:oMath>
          <m:r>
            <m:t>S</m:t>
          </m:r>
          <m:r>
            <m:t>∼</m:t>
          </m:r>
          <m:r>
            <m:t>B</m:t>
          </m:r>
          <m:r>
            <m:t>i</m:t>
          </m:r>
          <m:r>
            <m:t>n</m:t>
          </m:r>
          <m:r>
            <m:t>(</m:t>
          </m:r>
          <m:r>
            <m:t>#</m:t>
          </m:r>
          <m:r>
            <m:t>s</m:t>
          </m:r>
          <m:r>
            <m:t>u</m:t>
          </m:r>
          <m:r>
            <m:t>b</m:t>
          </m:r>
          <m:r>
            <m:t>j</m:t>
          </m:r>
          <m:r>
            <m:t>e</m:t>
          </m:r>
          <m:r>
            <m:t>c</m:t>
          </m:r>
          <m:r>
            <m:t>t</m:t>
          </m:r>
          <m:r>
            <m:t>s</m:t>
          </m:r>
          <m:r>
            <m:t>,</m:t>
          </m:r>
          <m:f>
            <m:fPr>
              <m:type m:val="bar"/>
            </m:fPr>
            <m:num>
              <m:r>
                <m:t>1</m:t>
              </m:r>
            </m:num>
            <m:den>
              <m:r>
                <m:t>2</m:t>
              </m:r>
            </m:den>
          </m:f>
          <m:r>
            <m:t>)</m:t>
          </m:r>
        </m:oMath>
      </m:oMathPara>
    </w:p>
    <w:p>
      <w:pPr>
        <w:pStyle w:val="FirstParagraph"/>
      </w:pPr>
      <w:r>
        <w:t xml:space="preserve">Second, I test for asymmetry in maternal and paternal gene expression by genes and weighing by library size where</w:t>
      </w:r>
      <w:r>
        <w:t xml:space="preserve"> </w:t>
      </w:r>
      <m:oMath>
        <m:sSub>
          <m:e>
            <m:r>
              <m:t>w</m:t>
            </m:r>
          </m:e>
          <m:sub>
            <m:r>
              <m:t>i</m:t>
            </m:r>
          </m:sub>
        </m:sSub>
        <m:r>
          <m:t>∝</m:t>
        </m:r>
        <m:f>
          <m:fPr>
            <m:type m:val="bar"/>
          </m:fPr>
          <m:num>
            <m:r>
              <m:t>1</m:t>
            </m:r>
          </m:num>
          <m:den>
            <m:r>
              <m:t>l</m:t>
            </m:r>
            <m:r>
              <m:t>i</m:t>
            </m:r>
            <m:r>
              <m:t>b</m:t>
            </m:r>
            <m:r>
              <m:t>r</m:t>
            </m:r>
            <m:r>
              <m:t>a</m:t>
            </m:r>
            <m:r>
              <m:t>r</m:t>
            </m:r>
            <m:r>
              <m:t>y</m:t>
            </m:r>
            <m:r>
              <m:t>s</m:t>
            </m:r>
            <m:r>
              <m:t>i</m:t>
            </m:r>
            <m:r>
              <m:t>z</m:t>
            </m:r>
            <m:sSub>
              <m:e>
                <m:r>
                  <m:t>e</m:t>
                </m:r>
              </m:e>
              <m:sub>
                <m:r>
                  <m:t>i</m:t>
                </m:r>
              </m:sub>
            </m:sSub>
          </m:den>
        </m:f>
      </m:oMath>
      <w:r>
        <w:t xml:space="preserve"> </w:t>
      </w:r>
      <w:r>
        <w:t xml:space="preserve">and</w:t>
      </w:r>
      <w:r>
        <w:t xml:space="preserve"> </w:t>
      </w:r>
      <m:oMath>
        <m:sSub>
          <m:e>
            <m:r>
              <m:t>w</m:t>
            </m:r>
          </m:e>
          <m:sub>
            <m:r>
              <m:t>i</m:t>
            </m:r>
          </m:sub>
        </m:sSub>
        <m:r>
          <m:t>=</m:t>
        </m:r>
        <m:f>
          <m:fPr>
            <m:type m:val="bar"/>
          </m:fPr>
          <m:num>
            <m:r>
              <m:t>10</m:t>
            </m:r>
            <m:r>
              <m:t>m</m:t>
            </m:r>
            <m:r>
              <m:t>i</m:t>
            </m:r>
            <m:r>
              <m:t>l</m:t>
            </m:r>
            <m:r>
              <m:t>l</m:t>
            </m:r>
            <m:r>
              <m:t>i</m:t>
            </m:r>
            <m:r>
              <m:t>o</m:t>
            </m:r>
            <m:r>
              <m:t>n</m:t>
            </m:r>
            <m:r>
              <m:t>r</m:t>
            </m:r>
            <m:r>
              <m:t>e</m:t>
            </m:r>
            <m:r>
              <m:t>a</m:t>
            </m:r>
            <m:r>
              <m:t>d</m:t>
            </m:r>
            <m:r>
              <m:t>s</m:t>
            </m:r>
          </m:num>
          <m:den>
            <m:r>
              <m:t>#</m:t>
            </m:r>
            <m:r>
              <m:t>o</m:t>
            </m:r>
            <m:r>
              <m:t>f</m:t>
            </m:r>
            <m:r>
              <m:t>r</m:t>
            </m:r>
            <m:r>
              <m:t>e</m:t>
            </m:r>
            <m:r>
              <m:t>a</m:t>
            </m:r>
            <m:r>
              <m:t>d</m:t>
            </m:r>
            <m:sSub>
              <m:e>
                <m:r>
                  <m:t>s</m:t>
                </m:r>
              </m:e>
              <m:sub>
                <m:r>
                  <m:t>i</m:t>
                </m:r>
              </m:sub>
            </m:sSub>
          </m:den>
        </m:f>
      </m:oMath>
      <w:r>
        <w:br w:type="textWrapping"/>
      </w:r>
    </w:p>
    <w:p>
      <w:pPr>
        <w:pStyle w:val="BodyText"/>
      </w:pPr>
      <m:oMathPara>
        <m:oMathParaPr>
          <m:jc m:val="center"/>
        </m:oMathParaPr>
        <m:oMath>
          <m:sSub>
            <m:e>
              <m:r>
                <m:t>Z</m:t>
              </m:r>
            </m:e>
            <m:sub>
              <m:r>
                <m:t>g</m:t>
              </m:r>
            </m:sub>
          </m:sSub>
          <m:r>
            <m:t>=</m:t>
          </m:r>
          <m:f>
            <m:fPr>
              <m:type m:val="bar"/>
            </m:fPr>
            <m:num>
              <m:nary>
                <m:naryPr>
                  <m:chr m:val="∑"/>
                  <m:limLoc m:val="undOvr"/>
                  <m:subHide m:val="0"/>
                  <m:supHide m:val="0"/>
                </m:naryPr>
                <m:sub>
                  <m:r>
                    <m:t>i</m:t>
                  </m:r>
                  <m:r>
                    <m:t>=</m:t>
                  </m:r>
                  <m:r>
                    <m:t>1</m:t>
                  </m:r>
                </m:sub>
                <m:sup>
                  <m:r>
                    <m:t>n</m:t>
                  </m:r>
                </m:sup>
                <m:e>
                  <m:sSub>
                    <m:e>
                      <m:r>
                        <m:t>w</m:t>
                      </m:r>
                    </m:e>
                    <m:sub>
                      <m:r>
                        <m:t>i</m:t>
                      </m:r>
                    </m:sub>
                  </m:sSub>
                </m:e>
              </m:nary>
              <m:r>
                <m:t>(</m:t>
              </m:r>
              <m:sSubSup>
                <m:e>
                  <m:r>
                    <m:t>Y</m:t>
                  </m:r>
                </m:e>
                <m:sub>
                  <m:r>
                    <m:t>p</m:t>
                  </m:r>
                </m:sub>
                <m:sup>
                  <m:r>
                    <m:t>i</m:t>
                  </m:r>
                </m:sup>
              </m:sSubSup>
              <m:r>
                <m:t>−</m:t>
              </m:r>
              <m:sSubSup>
                <m:e>
                  <m:r>
                    <m:t>Y</m:t>
                  </m:r>
                </m:e>
                <m:sub>
                  <m:r>
                    <m:t>m</m:t>
                  </m:r>
                </m:sub>
                <m:sup>
                  <m:r>
                    <m:t>i</m:t>
                  </m:r>
                </m:sup>
              </m:sSubSup>
              <m:r>
                <m:t>)</m:t>
              </m:r>
            </m:num>
            <m:den>
              <m:rad>
                <m:radPr>
                  <m:degHide m:val="1"/>
                </m:radPr>
                <m:deg/>
                <m:e>
                  <m:r>
                    <m:t>(</m:t>
                  </m:r>
                </m:e>
              </m:rad>
              <m:nary>
                <m:naryPr>
                  <m:chr m:val="∑"/>
                  <m:limLoc m:val="undOvr"/>
                  <m:subHide m:val="0"/>
                  <m:supHide m:val="0"/>
                </m:naryPr>
                <m:sub>
                  <m:r>
                    <m:t>i</m:t>
                  </m:r>
                  <m:r>
                    <m:t>=</m:t>
                  </m:r>
                  <m:r>
                    <m:t>1</m:t>
                  </m:r>
                </m:sub>
                <m:sup>
                  <m:r>
                    <m:t>n</m:t>
                  </m:r>
                </m:sup>
                <m:e>
                  <m:sSubSup>
                    <m:e>
                      <m:r>
                        <m:t>w</m:t>
                      </m:r>
                    </m:e>
                    <m:sub>
                      <m:r>
                        <m:t>i</m:t>
                      </m:r>
                    </m:sub>
                    <m:sup>
                      <m:r>
                        <m:t>2</m:t>
                      </m:r>
                    </m:sup>
                  </m:sSubSup>
                </m:e>
              </m:nary>
              <m:r>
                <m:t>(</m:t>
              </m:r>
              <m:sSubSup>
                <m:e>
                  <m:r>
                    <m:t>Y</m:t>
                  </m:r>
                </m:e>
                <m:sub>
                  <m:r>
                    <m:t>p</m:t>
                  </m:r>
                </m:sub>
                <m:sup>
                  <m:r>
                    <m:t>i</m:t>
                  </m:r>
                </m:sup>
              </m:sSubSup>
              <m:r>
                <m:t>+</m:t>
              </m:r>
              <m:sSubSup>
                <m:e>
                  <m:r>
                    <m:t>Y</m:t>
                  </m:r>
                </m:e>
                <m:sub>
                  <m:r>
                    <m:t>m</m:t>
                  </m:r>
                </m:sub>
                <m:sup>
                  <m:r>
                    <m:t>i</m:t>
                  </m:r>
                </m:sup>
              </m:sSubSup>
              <m:r>
                <m:t>)</m:t>
              </m:r>
              <m:r>
                <m:t>)</m:t>
              </m:r>
            </m:den>
          </m:f>
        </m:oMath>
      </m:oMathPara>
    </w:p>
    <w:p>
      <w:pPr>
        <w:pStyle w:val="FirstParagraph"/>
      </w:pPr>
      <w:r>
        <w:rPr>
          <w:b/>
        </w:rPr>
        <w:t xml:space="preserve">AIM 2b</w:t>
      </w:r>
      <w:r>
        <w:br w:type="textWrapping"/>
      </w:r>
      <w:r>
        <w:t xml:space="preserve">I will test for POeQTLs in this aim testing maternally inherited SNPs with the maternal gene expression and paternally inherited SNPs with paternal expression. I will combine this with POeQTL results from before using the sum of gene expression, especially for genes which we don’t have maternal or paternal expression.</w:t>
      </w:r>
    </w:p>
    <w:p>
      <w:pPr>
        <w:pStyle w:val="BodyText"/>
      </w:pPr>
      <m:oMathPara>
        <m:oMathParaPr>
          <m:jc m:val="center"/>
        </m:oMathParaPr>
        <m:oMath>
          <m:sSub>
            <m:e>
              <m:r>
                <m:t>Y</m:t>
              </m:r>
            </m:e>
            <m:sub>
              <m:r>
                <m:t>m</m:t>
              </m:r>
            </m:sub>
          </m:sSub>
          <m:r>
            <m:t>∼</m:t>
          </m:r>
          <m:sSub>
            <m:e>
              <m:r>
                <m:t>X</m:t>
              </m:r>
            </m:e>
            <m:sub>
              <m:r>
                <m:t>S</m:t>
              </m:r>
              <m:r>
                <m:t>N</m:t>
              </m:r>
              <m:r>
                <m:t>P</m:t>
              </m:r>
            </m:sub>
          </m:sSub>
          <m:r>
            <m:t>+</m:t>
          </m:r>
          <m:r>
            <m:t>P</m:t>
          </m:r>
          <m:r>
            <m:t>O</m:t>
          </m:r>
          <m:r>
            <m:t>+</m:t>
          </m:r>
          <m:r>
            <m:t>P</m:t>
          </m:r>
          <m:r>
            <m:t>O</m:t>
          </m:r>
          <m:r>
            <m:t>⋅</m:t>
          </m:r>
          <m:sSub>
            <m:e>
              <m:r>
                <m:t>X</m:t>
              </m:r>
            </m:e>
            <m:sub>
              <m:r>
                <m:t>S</m:t>
              </m:r>
              <m:r>
                <m:t>N</m:t>
              </m:r>
              <m:r>
                <m:t>P</m:t>
              </m:r>
            </m:sub>
          </m:sSub>
        </m:oMath>
      </m:oMathPara>
    </w:p>
    <w:p>
      <w:pPr>
        <w:pStyle w:val="FirstParagraph"/>
      </w:pPr>
      <m:oMathPara>
        <m:oMathParaPr>
          <m:jc m:val="center"/>
        </m:oMathParaPr>
        <m:oMath>
          <m:sSub>
            <m:e>
              <m:r>
                <m:t>Y</m:t>
              </m:r>
            </m:e>
            <m:sub>
              <m:r>
                <m:t>p</m:t>
              </m:r>
            </m:sub>
          </m:sSub>
          <m:r>
            <m:t>∼</m:t>
          </m:r>
          <m:sSub>
            <m:e>
              <m:r>
                <m:t>X</m:t>
              </m:r>
            </m:e>
            <m:sub>
              <m:r>
                <m:t>S</m:t>
              </m:r>
              <m:r>
                <m:t>N</m:t>
              </m:r>
              <m:r>
                <m:t>P</m:t>
              </m:r>
            </m:sub>
          </m:sSub>
          <m:r>
            <m:t>+</m:t>
          </m:r>
          <m:r>
            <m:t>P</m:t>
          </m:r>
          <m:r>
            <m:t>O</m:t>
          </m:r>
          <m:r>
            <m:t>+</m:t>
          </m:r>
          <m:r>
            <m:t>P</m:t>
          </m:r>
          <m:r>
            <m:t>O</m:t>
          </m:r>
          <m:r>
            <m:t>⋅</m:t>
          </m:r>
          <m:sSub>
            <m:e>
              <m:r>
                <m:t>X</m:t>
              </m:r>
            </m:e>
            <m:sub>
              <m:r>
                <m:t>S</m:t>
              </m:r>
              <m:r>
                <m:t>N</m:t>
              </m:r>
              <m:r>
                <m:t>P</m:t>
              </m:r>
            </m:sub>
          </m:sSub>
        </m:oMath>
      </m:oMathPara>
    </w:p>
    <w:p>
      <w:pPr>
        <w:pStyle w:val="TableCaption"/>
      </w:pPr>
      <w:r>
        <w:t xml:space="preserve">[tab:Significant Genes] Significant genes from sign test (p-values in column 3) with weighted Z score with corresponding p-values in column 4 and 5, respectively. Imprinted as defined by geneimprint.com database.</w:t>
      </w:r>
      <w:r>
        <w:t xml:space="preserve"> </w:t>
      </w:r>
    </w:p>
    <w:tbl>
      <w:tblPr>
        <w:tblStyle w:val="TableNormal"/>
        <w:tblW w:type="pct" w:w="0.0"/>
        <w:tblLook w:firstRow="1"/>
        <w:tblCaption w:val="[tab:Significant Genes] Significant genes from sign test (p-values in column 3) with weighted Z score with corresponding p-values in column 4 and 5, respectively. Imprinted as defined by geneimprint.com database. "/>
      </w:tblPr>
      <w:tblGrid/>
      <w:tr>
        <w:trPr>
          <w:cnfStyle w:firstRow="1"/>
        </w:trPr>
        <w:tc>
          <w:tcPr>
            <w:tcBorders>
              <w:bottom w:val="single"/>
            </w:tcBorders>
            <w:vAlign w:val="bottom"/>
          </w:tcPr>
          <w:p>
            <w:pPr>
              <w:pStyle w:val="Compact"/>
              <w:jc w:val="center"/>
            </w:pPr>
            <w:r>
              <w:t xml:space="preserve">Gene</w:t>
            </w:r>
          </w:p>
        </w:tc>
        <w:tc>
          <w:tcPr>
            <w:tcBorders>
              <w:bottom w:val="single"/>
            </w:tcBorders>
            <w:vAlign w:val="bottom"/>
          </w:tcPr>
          <w:p>
            <w:pPr>
              <w:pStyle w:val="Compact"/>
              <w:jc w:val="center"/>
            </w:pPr>
            <w:r>
              <w:t xml:space="preserve">Imprinted</w:t>
            </w:r>
          </w:p>
        </w:tc>
        <w:tc>
          <w:tcPr>
            <w:tcBorders>
              <w:bottom w:val="single"/>
            </w:tcBorders>
            <w:vAlign w:val="bottom"/>
          </w:tcPr>
          <w:p>
            <w:pPr>
              <w:pStyle w:val="Compact"/>
              <w:jc w:val="center"/>
            </w:pPr>
            <w:r>
              <w:t xml:space="preserve">Genepvalue</w:t>
            </w:r>
          </w:p>
        </w:tc>
        <w:tc>
          <w:tcPr>
            <w:tcBorders>
              <w:bottom w:val="single"/>
            </w:tcBorders>
            <w:vAlign w:val="bottom"/>
          </w:tcPr>
          <w:p>
            <w:pPr>
              <w:pStyle w:val="Compact"/>
              <w:jc w:val="center"/>
            </w:pPr>
            <w:r>
              <w:t xml:space="preserve">weighted Zscore</w:t>
            </w:r>
          </w:p>
        </w:tc>
        <w:tc>
          <w:tcPr>
            <w:tcBorders>
              <w:bottom w:val="single"/>
            </w:tcBorders>
            <w:vAlign w:val="bottom"/>
          </w:tcPr>
          <w:p>
            <w:pPr>
              <w:pStyle w:val="Compact"/>
              <w:jc w:val="center"/>
            </w:pPr>
            <w:r>
              <w:t xml:space="preserve">weighted pvalue</w:t>
            </w:r>
          </w:p>
        </w:tc>
      </w:tr>
      <w:tr>
        <w:tc>
          <w:p>
            <w:pPr>
              <w:pStyle w:val="Compact"/>
              <w:jc w:val="center"/>
            </w:pPr>
            <w:r>
              <w:rPr>
                <w:i/>
              </w:rPr>
              <w:t xml:space="preserve">ZDBF2</w:t>
            </w:r>
          </w:p>
        </w:tc>
        <w:tc>
          <w:p>
            <w:pPr>
              <w:pStyle w:val="Compact"/>
              <w:jc w:val="center"/>
            </w:pPr>
            <w:r>
              <w:t xml:space="preserve">yes</w:t>
            </w:r>
          </w:p>
        </w:tc>
        <w:tc>
          <w:p>
            <w:pPr>
              <w:pStyle w:val="Compact"/>
              <w:jc w:val="center"/>
            </w:pPr>
            <w:r>
              <w:t xml:space="preserve">7e</w:t>
            </w:r>
            <w:r>
              <w:rPr>
                <w:vertAlign w:val="superscript"/>
              </w:rPr>
              <w:t xml:space="preserve">-37</w:t>
            </w:r>
          </w:p>
        </w:tc>
        <w:tc>
          <w:p>
            <w:pPr>
              <w:pStyle w:val="Compact"/>
              <w:jc w:val="center"/>
            </w:pPr>
            <w:r>
              <w:t xml:space="preserve">45.57</w:t>
            </w:r>
          </w:p>
        </w:tc>
        <w:tc>
          <w:p>
            <w:pPr>
              <w:pStyle w:val="Compact"/>
              <w:jc w:val="center"/>
            </w:pPr>
            <w:r>
              <w:t xml:space="preserve">0</w:t>
            </w:r>
          </w:p>
        </w:tc>
      </w:tr>
      <w:tr>
        <w:tc>
          <w:p>
            <w:pPr>
              <w:pStyle w:val="Compact"/>
              <w:jc w:val="center"/>
            </w:pPr>
            <w:r>
              <w:rPr>
                <w:i/>
              </w:rPr>
              <w:t xml:space="preserve">NHP2L1</w:t>
            </w:r>
          </w:p>
        </w:tc>
        <w:tc>
          <w:p>
            <w:pPr>
              <w:pStyle w:val="Compact"/>
              <w:jc w:val="center"/>
            </w:pPr>
            <w:r>
              <w:t xml:space="preserve">no, Docherty et al.</w:t>
            </w:r>
            <w:r>
              <w:t xml:space="preserve"> </w:t>
            </w:r>
            <w:r>
              <w:t xml:space="preserve">(Docherty et al. 2014)</w:t>
            </w:r>
          </w:p>
        </w:tc>
        <w:tc>
          <w:p>
            <w:pPr>
              <w:pStyle w:val="Compact"/>
              <w:jc w:val="center"/>
            </w:pPr>
            <w:r>
              <w:t xml:space="preserve">7e</w:t>
            </w:r>
            <w:r>
              <w:rPr>
                <w:vertAlign w:val="superscript"/>
              </w:rPr>
              <w:t xml:space="preserve">-31</w:t>
            </w:r>
          </w:p>
        </w:tc>
        <w:tc>
          <w:p>
            <w:pPr>
              <w:pStyle w:val="Compact"/>
              <w:jc w:val="center"/>
            </w:pPr>
            <w:r>
              <w:t xml:space="preserve">18.98</w:t>
            </w:r>
          </w:p>
        </w:tc>
        <w:tc>
          <w:p>
            <w:pPr>
              <w:pStyle w:val="Compact"/>
              <w:jc w:val="center"/>
            </w:pPr>
            <w:r>
              <w:t xml:space="preserve">2e</w:t>
            </w:r>
            <w:r>
              <w:rPr>
                <w:vertAlign w:val="superscript"/>
              </w:rPr>
              <w:t xml:space="preserve">-80</w:t>
            </w:r>
          </w:p>
        </w:tc>
      </w:tr>
      <w:tr>
        <w:tc>
          <w:p>
            <w:pPr>
              <w:pStyle w:val="Compact"/>
              <w:jc w:val="center"/>
            </w:pPr>
            <w:r>
              <w:rPr>
                <w:i/>
              </w:rPr>
              <w:t xml:space="preserve">L3MBTL1</w:t>
            </w:r>
          </w:p>
        </w:tc>
        <w:tc>
          <w:p>
            <w:pPr>
              <w:pStyle w:val="Compact"/>
              <w:jc w:val="center"/>
            </w:pPr>
            <w:r>
              <w:t xml:space="preserve">yes</w:t>
            </w:r>
          </w:p>
        </w:tc>
        <w:tc>
          <w:p>
            <w:pPr>
              <w:pStyle w:val="Compact"/>
              <w:jc w:val="center"/>
            </w:pPr>
            <w:r>
              <w:t xml:space="preserve">2e</w:t>
            </w:r>
            <w:r>
              <w:rPr>
                <w:vertAlign w:val="superscript"/>
              </w:rPr>
              <w:t xml:space="preserve">-29</w:t>
            </w:r>
          </w:p>
        </w:tc>
        <w:tc>
          <w:p>
            <w:pPr>
              <w:pStyle w:val="Compact"/>
              <w:jc w:val="center"/>
            </w:pPr>
            <w:r>
              <w:t xml:space="preserve">35.73</w:t>
            </w:r>
          </w:p>
        </w:tc>
        <w:tc>
          <w:p>
            <w:pPr>
              <w:pStyle w:val="Compact"/>
              <w:jc w:val="center"/>
            </w:pPr>
            <w:r>
              <w:t xml:space="preserve">1e</w:t>
            </w:r>
            <w:r>
              <w:rPr>
                <w:vertAlign w:val="superscript"/>
              </w:rPr>
              <w:t xml:space="preserve">-279</w:t>
            </w:r>
          </w:p>
        </w:tc>
      </w:tr>
      <w:tr>
        <w:tc>
          <w:p>
            <w:pPr>
              <w:pStyle w:val="Compact"/>
              <w:jc w:val="center"/>
            </w:pPr>
            <w:r>
              <w:rPr>
                <w:i/>
              </w:rPr>
              <w:t xml:space="preserve">PEG10</w:t>
            </w:r>
          </w:p>
        </w:tc>
        <w:tc>
          <w:p>
            <w:pPr>
              <w:pStyle w:val="Compact"/>
              <w:jc w:val="center"/>
            </w:pPr>
            <w:r>
              <w:t xml:space="preserve">yes</w:t>
            </w:r>
          </w:p>
        </w:tc>
        <w:tc>
          <w:p>
            <w:pPr>
              <w:pStyle w:val="Compact"/>
              <w:jc w:val="center"/>
            </w:pPr>
            <w:r>
              <w:t xml:space="preserve">2e</w:t>
            </w:r>
            <w:r>
              <w:rPr>
                <w:vertAlign w:val="superscript"/>
              </w:rPr>
              <w:t xml:space="preserve">-29</w:t>
            </w:r>
          </w:p>
        </w:tc>
        <w:tc>
          <w:p>
            <w:pPr>
              <w:pStyle w:val="Compact"/>
              <w:jc w:val="center"/>
            </w:pPr>
            <w:r>
              <w:t xml:space="preserve">51.34</w:t>
            </w:r>
          </w:p>
        </w:tc>
        <w:tc>
          <w:p>
            <w:pPr>
              <w:pStyle w:val="Compact"/>
              <w:jc w:val="center"/>
            </w:pPr>
            <w:r>
              <w:t xml:space="preserve">0</w:t>
            </w:r>
          </w:p>
        </w:tc>
      </w:tr>
      <w:tr>
        <w:tc>
          <w:p>
            <w:pPr>
              <w:pStyle w:val="Compact"/>
              <w:jc w:val="center"/>
            </w:pPr>
            <w:r>
              <w:rPr>
                <w:i/>
              </w:rPr>
              <w:t xml:space="preserve">SNHG14</w:t>
            </w:r>
          </w:p>
        </w:tc>
        <w:tc>
          <w:p>
            <w:pPr>
              <w:pStyle w:val="Compact"/>
              <w:jc w:val="center"/>
            </w:pPr>
            <w:r>
              <w:t xml:space="preserve">no, Baran et. al</w:t>
            </w:r>
            <w:r>
              <w:t xml:space="preserve"> </w:t>
            </w:r>
            <w:r>
              <w:t xml:space="preserve">(Baran et al. 2015)</w:t>
            </w:r>
          </w:p>
        </w:tc>
        <w:tc>
          <w:p>
            <w:pPr>
              <w:pStyle w:val="Compact"/>
              <w:jc w:val="center"/>
            </w:pPr>
            <w:r>
              <w:t xml:space="preserve">8e</w:t>
            </w:r>
            <w:r>
              <w:rPr>
                <w:vertAlign w:val="superscript"/>
              </w:rPr>
              <w:t xml:space="preserve">-27</w:t>
            </w:r>
          </w:p>
        </w:tc>
        <w:tc>
          <w:p>
            <w:pPr>
              <w:pStyle w:val="Compact"/>
              <w:jc w:val="center"/>
            </w:pPr>
            <w:r>
              <w:t xml:space="preserve">41.09</w:t>
            </w:r>
          </w:p>
        </w:tc>
        <w:tc>
          <w:p>
            <w:pPr>
              <w:pStyle w:val="Compact"/>
              <w:jc w:val="center"/>
            </w:pPr>
            <w:r>
              <w:t xml:space="preserve">0</w:t>
            </w:r>
          </w:p>
        </w:tc>
      </w:tr>
      <w:tr>
        <w:tc>
          <w:p>
            <w:pPr>
              <w:pStyle w:val="Compact"/>
              <w:jc w:val="center"/>
            </w:pPr>
            <w:r>
              <w:rPr>
                <w:i/>
              </w:rPr>
              <w:t xml:space="preserve">ZNF331</w:t>
            </w:r>
          </w:p>
        </w:tc>
        <w:tc>
          <w:p>
            <w:pPr>
              <w:pStyle w:val="Compact"/>
              <w:jc w:val="center"/>
            </w:pPr>
            <w:r>
              <w:t xml:space="preserve">no, Baran et. al</w:t>
            </w:r>
            <w:r>
              <w:t xml:space="preserve"> </w:t>
            </w:r>
            <w:r>
              <w:t xml:space="preserve">(Baran et al. 2015)</w:t>
            </w:r>
          </w:p>
        </w:tc>
        <w:tc>
          <w:p>
            <w:pPr>
              <w:pStyle w:val="Compact"/>
              <w:jc w:val="center"/>
            </w:pPr>
            <w:r>
              <w:t xml:space="preserve">3e</w:t>
            </w:r>
            <w:r>
              <w:rPr>
                <w:vertAlign w:val="superscript"/>
              </w:rPr>
              <w:t xml:space="preserve">-23</w:t>
            </w:r>
          </w:p>
        </w:tc>
        <w:tc>
          <w:p>
            <w:pPr>
              <w:pStyle w:val="Compact"/>
              <w:jc w:val="center"/>
            </w:pPr>
            <w:r>
              <w:t xml:space="preserve">30.28</w:t>
            </w:r>
          </w:p>
        </w:tc>
        <w:tc>
          <w:p>
            <w:pPr>
              <w:pStyle w:val="Compact"/>
              <w:jc w:val="center"/>
            </w:pPr>
            <w:r>
              <w:t xml:space="preserve">2e</w:t>
            </w:r>
            <w:r>
              <w:rPr>
                <w:vertAlign w:val="superscript"/>
              </w:rPr>
              <w:t xml:space="preserve">-201</w:t>
            </w:r>
          </w:p>
        </w:tc>
      </w:tr>
      <w:tr>
        <w:tc>
          <w:p>
            <w:pPr>
              <w:pStyle w:val="Compact"/>
              <w:jc w:val="center"/>
            </w:pPr>
            <w:r>
              <w:rPr>
                <w:i/>
              </w:rPr>
              <w:t xml:space="preserve">KCNQ1</w:t>
            </w:r>
          </w:p>
        </w:tc>
        <w:tc>
          <w:p>
            <w:pPr>
              <w:pStyle w:val="Compact"/>
              <w:jc w:val="center"/>
            </w:pPr>
            <w:r>
              <w:t xml:space="preserve">yes</w:t>
            </w:r>
          </w:p>
        </w:tc>
        <w:tc>
          <w:p>
            <w:pPr>
              <w:pStyle w:val="Compact"/>
              <w:jc w:val="center"/>
            </w:pPr>
            <w:r>
              <w:t xml:space="preserve">4e</w:t>
            </w:r>
            <w:r>
              <w:rPr>
                <w:vertAlign w:val="superscript"/>
              </w:rPr>
              <w:t xml:space="preserve">-21</w:t>
            </w:r>
          </w:p>
        </w:tc>
        <w:tc>
          <w:p>
            <w:pPr>
              <w:pStyle w:val="Compact"/>
              <w:jc w:val="center"/>
            </w:pPr>
            <w:r>
              <w:t xml:space="preserve">-28.94</w:t>
            </w:r>
          </w:p>
        </w:tc>
        <w:tc>
          <w:p>
            <w:pPr>
              <w:pStyle w:val="Compact"/>
              <w:jc w:val="center"/>
            </w:pPr>
            <w:r>
              <w:t xml:space="preserve">4e</w:t>
            </w:r>
            <w:r>
              <w:rPr>
                <w:vertAlign w:val="superscript"/>
              </w:rPr>
              <w:t xml:space="preserve">-184</w:t>
            </w:r>
          </w:p>
        </w:tc>
      </w:tr>
      <w:tr>
        <w:tc>
          <w:p>
            <w:pPr>
              <w:pStyle w:val="Compact"/>
              <w:jc w:val="center"/>
            </w:pPr>
            <w:r>
              <w:rPr>
                <w:i/>
              </w:rPr>
              <w:t xml:space="preserve">LPAR6</w:t>
            </w:r>
          </w:p>
        </w:tc>
        <w:tc>
          <w:p>
            <w:pPr>
              <w:pStyle w:val="Compact"/>
              <w:jc w:val="center"/>
            </w:pPr>
            <w:r>
              <w:t xml:space="preserve">no, Baran et. al</w:t>
            </w:r>
            <w:r>
              <w:t xml:space="preserve"> </w:t>
            </w:r>
            <w:r>
              <w:t xml:space="preserve">(Baran et al. 2015)</w:t>
            </w:r>
          </w:p>
        </w:tc>
        <w:tc>
          <w:p>
            <w:pPr>
              <w:pStyle w:val="Compact"/>
              <w:jc w:val="center"/>
            </w:pPr>
            <w:r>
              <w:t xml:space="preserve">7e</w:t>
            </w:r>
            <w:r>
              <w:rPr>
                <w:vertAlign w:val="superscript"/>
              </w:rPr>
              <w:t xml:space="preserve">-21</w:t>
            </w:r>
          </w:p>
        </w:tc>
        <w:tc>
          <w:p>
            <w:pPr>
              <w:pStyle w:val="Compact"/>
              <w:jc w:val="center"/>
            </w:pPr>
            <w:r>
              <w:t xml:space="preserve">33.50</w:t>
            </w:r>
          </w:p>
        </w:tc>
        <w:tc>
          <w:p>
            <w:pPr>
              <w:pStyle w:val="Compact"/>
              <w:jc w:val="center"/>
            </w:pPr>
            <w:r>
              <w:t xml:space="preserve">4e</w:t>
            </w:r>
            <w:r>
              <w:rPr>
                <w:vertAlign w:val="superscript"/>
              </w:rPr>
              <w:t xml:space="preserve">-246</w:t>
            </w:r>
          </w:p>
        </w:tc>
      </w:tr>
      <w:tr>
        <w:tc>
          <w:p>
            <w:pPr>
              <w:pStyle w:val="Compact"/>
              <w:jc w:val="center"/>
            </w:pPr>
            <w:r>
              <w:rPr>
                <w:i/>
              </w:rPr>
              <w:t xml:space="preserve">FAM50B</w:t>
            </w:r>
          </w:p>
        </w:tc>
        <w:tc>
          <w:p>
            <w:pPr>
              <w:pStyle w:val="Compact"/>
              <w:jc w:val="center"/>
            </w:pPr>
            <w:r>
              <w:t xml:space="preserve">yes</w:t>
            </w:r>
          </w:p>
        </w:tc>
        <w:tc>
          <w:p>
            <w:pPr>
              <w:pStyle w:val="Compact"/>
              <w:jc w:val="center"/>
            </w:pPr>
            <w:r>
              <w:t xml:space="preserve">4e</w:t>
            </w:r>
            <w:r>
              <w:rPr>
                <w:vertAlign w:val="superscript"/>
              </w:rPr>
              <w:t xml:space="preserve">-20</w:t>
            </w:r>
          </w:p>
        </w:tc>
        <w:tc>
          <w:p>
            <w:pPr>
              <w:pStyle w:val="Compact"/>
              <w:jc w:val="center"/>
            </w:pPr>
            <w:r>
              <w:t xml:space="preserve">28.89</w:t>
            </w:r>
          </w:p>
        </w:tc>
        <w:tc>
          <w:p>
            <w:pPr>
              <w:pStyle w:val="Compact"/>
              <w:jc w:val="center"/>
            </w:pPr>
            <w:r>
              <w:t xml:space="preserve">2e</w:t>
            </w:r>
            <w:r>
              <w:rPr>
                <w:vertAlign w:val="superscript"/>
              </w:rPr>
              <w:t xml:space="preserve">-183</w:t>
            </w:r>
          </w:p>
        </w:tc>
      </w:tr>
      <w:tr>
        <w:tc>
          <w:p>
            <w:pPr>
              <w:pStyle w:val="Compact"/>
              <w:jc w:val="center"/>
            </w:pPr>
            <w:r>
              <w:rPr>
                <w:i/>
              </w:rPr>
              <w:t xml:space="preserve">PXDC1</w:t>
            </w:r>
          </w:p>
        </w:tc>
        <w:tc>
          <w:p>
            <w:pPr>
              <w:pStyle w:val="Compact"/>
              <w:jc w:val="center"/>
            </w:pPr>
            <w:r>
              <w:t xml:space="preserve">no, neighboring gene of FAM50B</w:t>
            </w:r>
          </w:p>
        </w:tc>
        <w:tc>
          <w:p>
            <w:pPr>
              <w:pStyle w:val="Compact"/>
              <w:jc w:val="center"/>
            </w:pPr>
            <w:r>
              <w:t xml:space="preserve">3e</w:t>
            </w:r>
            <w:r>
              <w:rPr>
                <w:vertAlign w:val="superscript"/>
              </w:rPr>
              <w:t xml:space="preserve">-14</w:t>
            </w:r>
          </w:p>
        </w:tc>
        <w:tc>
          <w:p>
            <w:pPr>
              <w:pStyle w:val="Compact"/>
              <w:jc w:val="center"/>
            </w:pPr>
            <w:r>
              <w:t xml:space="preserve">16.05</w:t>
            </w:r>
          </w:p>
        </w:tc>
        <w:tc>
          <w:p>
            <w:pPr>
              <w:pStyle w:val="Compact"/>
              <w:jc w:val="center"/>
            </w:pPr>
            <w:r>
              <w:t xml:space="preserve">6e</w:t>
            </w:r>
            <w:r>
              <w:rPr>
                <w:vertAlign w:val="superscript"/>
              </w:rPr>
              <w:t xml:space="preserve">-58</w:t>
            </w:r>
          </w:p>
        </w:tc>
      </w:tr>
      <w:tr>
        <w:tc>
          <w:p>
            <w:pPr>
              <w:pStyle w:val="Compact"/>
              <w:jc w:val="center"/>
            </w:pPr>
            <w:r>
              <w:rPr>
                <w:i/>
              </w:rPr>
              <w:t xml:space="preserve">PWAR6</w:t>
            </w:r>
          </w:p>
        </w:tc>
        <w:tc>
          <w:p>
            <w:pPr>
              <w:pStyle w:val="Compact"/>
              <w:jc w:val="center"/>
            </w:pPr>
            <w:r>
              <w:t xml:space="preserve">no, Prader Willi/Angelman Region 6</w:t>
            </w:r>
          </w:p>
        </w:tc>
        <w:tc>
          <w:p>
            <w:pPr>
              <w:pStyle w:val="Compact"/>
              <w:jc w:val="center"/>
            </w:pPr>
            <w:r>
              <w:t xml:space="preserve">1e</w:t>
            </w:r>
            <w:r>
              <w:rPr>
                <w:vertAlign w:val="superscript"/>
              </w:rPr>
              <w:t xml:space="preserve">-09</w:t>
            </w:r>
          </w:p>
        </w:tc>
        <w:tc>
          <w:p>
            <w:pPr>
              <w:pStyle w:val="Compact"/>
              <w:jc w:val="center"/>
            </w:pPr>
            <w:r>
              <w:t xml:space="preserve">25.59</w:t>
            </w:r>
          </w:p>
        </w:tc>
        <w:tc>
          <w:p>
            <w:pPr>
              <w:pStyle w:val="Compact"/>
              <w:jc w:val="center"/>
            </w:pPr>
            <w:r>
              <w:t xml:space="preserve">2e</w:t>
            </w:r>
            <w:r>
              <w:rPr>
                <w:vertAlign w:val="superscript"/>
              </w:rPr>
              <w:t xml:space="preserve">-144</w:t>
            </w:r>
          </w:p>
        </w:tc>
      </w:tr>
      <w:tr>
        <w:tc>
          <w:p>
            <w:pPr>
              <w:pStyle w:val="Compact"/>
              <w:jc w:val="center"/>
            </w:pPr>
            <w:r>
              <w:rPr>
                <w:i/>
              </w:rPr>
              <w:t xml:space="preserve">NAP1L5</w:t>
            </w:r>
          </w:p>
        </w:tc>
        <w:tc>
          <w:p>
            <w:pPr>
              <w:pStyle w:val="Compact"/>
              <w:jc w:val="center"/>
            </w:pPr>
            <w:r>
              <w:t xml:space="preserve">yes</w:t>
            </w:r>
          </w:p>
        </w:tc>
        <w:tc>
          <w:p>
            <w:pPr>
              <w:pStyle w:val="Compact"/>
              <w:jc w:val="center"/>
            </w:pPr>
            <w:r>
              <w:t xml:space="preserve">3e</w:t>
            </w:r>
            <w:r>
              <w:rPr>
                <w:vertAlign w:val="superscript"/>
              </w:rPr>
              <w:t xml:space="preserve">-07</w:t>
            </w:r>
          </w:p>
        </w:tc>
        <w:tc>
          <w:p>
            <w:pPr>
              <w:pStyle w:val="Compact"/>
              <w:jc w:val="center"/>
            </w:pPr>
            <w:r>
              <w:t xml:space="preserve">21.05</w:t>
            </w:r>
          </w:p>
        </w:tc>
        <w:tc>
          <w:p>
            <w:pPr>
              <w:pStyle w:val="Compact"/>
              <w:jc w:val="center"/>
            </w:pPr>
            <w:r>
              <w:t xml:space="preserve">3e</w:t>
            </w:r>
            <w:r>
              <w:rPr>
                <w:vertAlign w:val="superscript"/>
              </w:rPr>
              <w:t xml:space="preserve">-98</w:t>
            </w:r>
          </w:p>
        </w:tc>
      </w:tr>
      <w:tr>
        <w:tc>
          <w:p>
            <w:pPr>
              <w:pStyle w:val="Compact"/>
              <w:jc w:val="center"/>
            </w:pPr>
            <w:r>
              <w:rPr>
                <w:i/>
              </w:rPr>
              <w:t xml:space="preserve">ATP6V0D1</w:t>
            </w:r>
          </w:p>
        </w:tc>
        <w:tc>
          <w:p>
            <w:pPr>
              <w:pStyle w:val="Compact"/>
              <w:jc w:val="center"/>
            </w:pPr>
            <w:r>
              <w:t xml:space="preserve">no</w:t>
            </w:r>
          </w:p>
        </w:tc>
        <w:tc>
          <w:p>
            <w:pPr>
              <w:pStyle w:val="Compact"/>
              <w:jc w:val="center"/>
            </w:pPr>
            <w:r>
              <w:t xml:space="preserve">1e</w:t>
            </w:r>
            <w:r>
              <w:rPr>
                <w:vertAlign w:val="superscript"/>
              </w:rPr>
              <w:t xml:space="preserve">-06</w:t>
            </w:r>
          </w:p>
        </w:tc>
        <w:tc>
          <w:p>
            <w:pPr>
              <w:pStyle w:val="Compact"/>
              <w:jc w:val="center"/>
            </w:pPr>
            <w:r>
              <w:t xml:space="preserve">-5.40</w:t>
            </w:r>
          </w:p>
        </w:tc>
        <w:tc>
          <w:p>
            <w:pPr>
              <w:pStyle w:val="Compact"/>
              <w:jc w:val="center"/>
            </w:pPr>
            <w:r>
              <w:t xml:space="preserve">7e</w:t>
            </w:r>
            <w:r>
              <w:rPr>
                <w:vertAlign w:val="superscript"/>
              </w:rPr>
              <w:t xml:space="preserve">-8</w:t>
            </w:r>
          </w:p>
        </w:tc>
      </w:tr>
    </w:tbl>
    <w:p>
      <w:pPr>
        <w:pStyle w:val="Bibliography"/>
      </w:pPr>
      <w:r>
        <w:t xml:space="preserve">Baran, Yael, Meena Subramaniam, Anne Biton, Taru Tukiainen, Emily K Tsang, Manuel A Rivas, Matti Pirinen, et al. 2015. “The landscape of genomic imprinting across diverse adult human tissues.”</w:t>
      </w:r>
      <w:r>
        <w:t xml:space="preserve"> </w:t>
      </w:r>
      <w:r>
        <w:rPr>
          <w:i/>
        </w:rPr>
        <w:t xml:space="preserve">Genome Research</w:t>
      </w:r>
      <w:r>
        <w:t xml:space="preserve"> </w:t>
      </w:r>
      <w:r>
        <w:t xml:space="preserve">25 (7): 927–36.</w:t>
      </w:r>
    </w:p>
    <w:p>
      <w:pPr>
        <w:pStyle w:val="Bibliography"/>
      </w:pPr>
      <w:r>
        <w:t xml:space="preserve">Dobin, Alexander, Carrie A Davis, Felix Schlesinger, Jorg Drenkow, Chris Zaleski, Sonali Jha, Philippe Batut, Mark Chaisson, and Thomas R Gingeras. 2012. “STAR: ultrafast universal RNA-seq aligner.”</w:t>
      </w:r>
      <w:r>
        <w:t xml:space="preserve"> </w:t>
      </w:r>
      <w:r>
        <w:rPr>
          <w:i/>
        </w:rPr>
        <w:t xml:space="preserve">Bioinformatics</w:t>
      </w:r>
      <w:r>
        <w:t xml:space="preserve"> </w:t>
      </w:r>
      <w:r>
        <w:t xml:space="preserve">29 (1): 15–21.</w:t>
      </w:r>
    </w:p>
    <w:p>
      <w:pPr>
        <w:pStyle w:val="Bibliography"/>
      </w:pPr>
      <w:r>
        <w:t xml:space="preserve">Docherty, Louise E, Faisal I Rezwan, Rebecca L Poole, Hannah Jagoe, Hannah Lake, Gabrielle A Lockett, Hasan Arshad, et al. 2014. “Genome-wide DNA methylation analysis of patients with imprinting disorders identifies differentially methylated regions associated with novel candidate imprinted genes.”</w:t>
      </w:r>
      <w:r>
        <w:t xml:space="preserve"> </w:t>
      </w:r>
      <w:r>
        <w:rPr>
          <w:i/>
        </w:rPr>
        <w:t xml:space="preserve">Journal of Medical Genetics</w:t>
      </w:r>
      <w:r>
        <w:t xml:space="preserve"> </w:t>
      </w:r>
      <w:r>
        <w:t xml:space="preserve">51 (4): 229–38.</w:t>
      </w:r>
    </w:p>
    <w:p>
      <w:pPr>
        <w:pStyle w:val="Bibliography"/>
      </w:pPr>
      <w:r>
        <w:t xml:space="preserve">Geijn, Bryce van de, Graham McVicker, Yoav Gilad, and Jonathan K Pritchard. 2015. “WASP: allele-specific software for robust molecular quantitative trait locus discovery.”</w:t>
      </w:r>
      <w:r>
        <w:t xml:space="preserve"> </w:t>
      </w:r>
      <w:r>
        <w:rPr>
          <w:i/>
        </w:rPr>
        <w:t xml:space="preserve">Nature Methods</w:t>
      </w:r>
      <w:r>
        <w:t xml:space="preserve"> </w:t>
      </w:r>
      <w:r>
        <w:t xml:space="preserve">12 (11): 1061–3.</w:t>
      </w:r>
    </w:p>
    <w:p>
      <w:pPr>
        <w:pStyle w:val="Bibliography"/>
      </w:pPr>
      <w:r>
        <w:t xml:space="preserve">Jun, Goo, Matthew Flickinger, Kurt N Hetrick, Jane M Romm, Kimberly F Doheny, Goncalo R Abecasis, Michael Boehnke, and Hyun Min Kang. 2012. “Detecting and Estimating Contamination of Human DNA Samples in Sequencing and Array-Based Genotype Data.”</w:t>
      </w:r>
      <w:r>
        <w:t xml:space="preserve"> </w:t>
      </w:r>
      <w:r>
        <w:rPr>
          <w:i/>
        </w:rPr>
        <w:t xml:space="preserve">The American Journal of Human Genetics</w:t>
      </w:r>
      <w:r>
        <w:t xml:space="preserve"> </w:t>
      </w:r>
      <w:r>
        <w:t xml:space="preserve">91 (5): 839–48.</w:t>
      </w:r>
    </w:p>
    <w:p>
      <w:pPr>
        <w:pStyle w:val="Bibliography"/>
      </w:pPr>
      <w:r>
        <w:t xml:space="preserve">Mott, Richard, Wei Yuan, Pamela Kaisaki, Xiangchao Gan, James Cleak, Andrew Edwards, Amelie Baud, and Jonathan Flint. 2014. “The Architecture of Parent-of-Origin Effects in Mice.”</w:t>
      </w:r>
      <w:r>
        <w:t xml:space="preserve"> </w:t>
      </w:r>
      <w:r>
        <w:rPr>
          <w:i/>
        </w:rPr>
        <w:t xml:space="preserve">Cell</w:t>
      </w:r>
      <w:r>
        <w:t xml:space="preserve"> </w:t>
      </w:r>
      <w:r>
        <w:t xml:space="preserve">156 (1-2): 332–42.</w:t>
      </w:r>
    </w:p>
    <w:p>
      <w:pPr>
        <w:pStyle w:val="Bibliography"/>
      </w:pPr>
      <w:r>
        <w:t xml:space="preserve">Mozaffari, S V, J M DeCara, S J Shah, R M Lang, Dan L Nicolae, and Carole Ober. 2017. “Parent of Origin Effects on Quantitative Phenotypes in a Founder Population.”</w:t>
      </w:r>
      <w:r>
        <w:t xml:space="preserve"> </w:t>
      </w:r>
      <w:r>
        <w:rPr>
          <w:i/>
        </w:rPr>
        <w:t xml:space="preserve">bioRxiv</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1236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50f8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2018-06-11T18:25:15Z</dcterms:created>
  <dcterms:modified xsi:type="dcterms:W3CDTF">2018-06-11T18:25:15Z</dcterms:modified>
</cp:coreProperties>
</file>