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Long-Term Capital Market Assumptions — 2026 Edition</w:t>
      </w:r>
    </w:p>
    <w:p>
      <w:r>
        <w:rPr>
          <w:b/>
        </w:rPr>
        <w:t>A proprietary 12-year forward outlook for global asset classes</w:t>
      </w:r>
    </w:p>
    <w:p>
      <w:pPr>
        <w:pStyle w:val="ListBullet"/>
      </w:pPr>
      <w:r>
        <w:rPr>
          <w:b/>
        </w:rPr>
        <w:t>As-of date:</w:t>
      </w:r>
      <w:r>
        <w:t xml:space="preserve"> 18 May 2026</w:t>
      </w:r>
    </w:p>
    <w:p>
      <w:pPr>
        <w:pStyle w:val="ListBullet"/>
      </w:pPr>
      <w:r>
        <w:rPr>
          <w:b/>
        </w:rPr>
        <w:t>Base currency:</w:t>
      </w:r>
      <w:r>
        <w:t xml:space="preserve"> USD</w:t>
      </w:r>
    </w:p>
    <w:p>
      <w:pPr>
        <w:pStyle w:val="ListBullet"/>
      </w:pPr>
      <w:r>
        <w:rPr>
          <w:b/>
        </w:rPr>
        <w:t>Horizon:</w:t>
      </w:r>
      <w:r>
        <w:t xml:space="preserve"> 12 years (midpoint of a 10–15-year window)</w:t>
      </w:r>
    </w:p>
    <w:p>
      <w:pPr>
        <w:pStyle w:val="ListBullet"/>
      </w:pPr>
      <w:r>
        <w:rPr>
          <w:b/>
        </w:rPr>
        <w:t>Universe:</w:t>
      </w:r>
      <w:r>
        <w:t xml:space="preserve"> 24 asset classes spanning global equities, fixed income, and real assets</w:t>
      </w:r>
    </w:p>
    <w:p>
      <w:pPr>
        <w:pStyle w:val="ListBullet"/>
      </w:pPr>
      <w:r>
        <w:rPr>
          <w:b/>
        </w:rPr>
        <w:t>Engine:</w:t>
      </w:r>
      <w:r>
        <w:t xml:space="preserve"> building-block returns + Ledoit-Wolf shrinkage + regime-switching GPU Monte Carlo</w:t>
      </w:r>
    </w:p>
    <w:p>
      <w:pPr>
        <w:pStyle w:val="ListBullet"/>
      </w:pPr>
      <w:r>
        <w:rPr>
          <w:b/>
        </w:rPr>
        <w:t>Data:</w:t>
      </w:r>
      <w:r>
        <w:t xml:space="preserve"> free public sources — Yahoo Finance, FRED, Damodaran (1928+),</w:t>
      </w:r>
    </w:p>
    <w:p>
      <w:r>
        <w:t xml:space="preserve">  Shiller (1871+), Ken French (1990+), Siblis Research, the GPR and EPU</w:t>
      </w:r>
    </w:p>
    <w:p>
      <w:r>
        <w:t xml:space="preserve">  uncertainty indices, central banks</w:t>
      </w:r>
    </w:p>
    <w:p>
      <w:pPr>
        <w:pStyle w:val="IntenseQuote"/>
      </w:pPr>
      <w:r>
        <w:t xml:space="preserve">This document is the </w:t>
      </w:r>
      <w:r>
        <w:rPr>
          <w:i/>
        </w:rPr>
        <w:t>strategic</w:t>
      </w:r>
      <w:r>
        <w:t xml:space="preserve"> layer (Step 1) of a three-step allocation</w:t>
      </w:r>
    </w:p>
    <w:p>
      <w:pPr>
        <w:pStyle w:val="IntenseQuote"/>
      </w:pPr>
      <w:r>
        <w:t>process: (1) LTCMA 10–15-year assumptions → (2) normalize to a 3–5-year</w:t>
      </w:r>
    </w:p>
    <w:p>
      <w:pPr>
        <w:pStyle w:val="IntenseQuote"/>
      </w:pPr>
      <w:r>
        <w:t>cycle-aware forecast → (3) overlay current macro indicators. Reviewed annually.</w:t>
      </w:r>
    </w:p>
    <w:p>
      <w:pPr>
        <w:pStyle w:val="Heading1"/>
      </w:pPr>
      <w:r>
        <w:rPr>
          <w:color w:val="1A3A5C"/>
        </w:rPr>
        <w:t>1. Executive Summary</w:t>
      </w:r>
    </w:p>
    <w:p>
      <w:r>
        <w:t>After a long US-led bull market, **the starting point for the next decade is one</w:t>
      </w:r>
    </w:p>
    <w:p>
      <w:r>
        <w:t>of extreme valuation dispersion.** The US trades at a CAPE of ~35 and Japan ~29,</w:t>
      </w:r>
    </w:p>
    <w:p>
      <w:r>
        <w:t>while Mexico, Brazil, and China trade at 12–18× earnings. That gap drives four</w:t>
      </w:r>
    </w:p>
    <w:p>
      <w:r>
        <w:t>strategic conclusions:</w:t>
      </w:r>
    </w:p>
    <w:p>
      <w:pPr>
        <w:pStyle w:val="ListNumber"/>
      </w:pPr>
      <w:r>
        <w:t>**US large-cap equity has the lowest expected return of any equity market</w:t>
      </w:r>
    </w:p>
    <w:p>
      <w:r>
        <w:t xml:space="preserve">   in the universe (~6.6% base case)*</w:t>
      </w:r>
      <w:r>
        <w:rPr>
          <w:i/>
        </w:rPr>
        <w:t xml:space="preserve"> — and the </w:t>
      </w:r>
      <w:r>
        <w:t>highest* sensitivity to the</w:t>
      </w:r>
    </w:p>
    <w:p>
      <w:r>
        <w:t xml:space="preserve">   valuation assumption. A 2.4-percentage-point swing separates the optimistic and</w:t>
      </w:r>
    </w:p>
    <w:p>
      <w:r>
        <w:t xml:space="preserve">   pessimistic scenarios. Owning US equity at today's multiple is, mathematically,</w:t>
      </w:r>
    </w:p>
    <w:p>
      <w:r>
        <w:t xml:space="preserve">   a bet that rich valuations persist.</w:t>
      </w:r>
    </w:p>
    <w:p>
      <w:pPr>
        <w:pStyle w:val="ListNumber"/>
      </w:pPr>
      <w:r>
        <w:t>**Emerging and Latin American equity offer the highest expected returns</w:t>
      </w:r>
    </w:p>
    <w:p>
      <w:r>
        <w:t xml:space="preserve">   (~8.0–8.8%)*</w:t>
      </w:r>
      <w:r>
        <w:rPr>
          <w:i/>
        </w:rPr>
        <w:t xml:space="preserve"> and the </w:t>
      </w:r>
      <w:r>
        <w:t>smallest* valuation bet — their return is carried by</w:t>
      </w:r>
    </w:p>
    <w:p>
      <w:r>
        <w:t xml:space="preserve">   income and growth, not multiple expansion.</w:t>
      </w:r>
    </w:p>
    <w:p>
      <w:pPr>
        <w:pStyle w:val="ListNumber"/>
      </w:pPr>
      <w:r>
        <w:rPr>
          <w:b/>
        </w:rPr>
        <w:t>The richest fixed-income edge is in EM local and USD sovereign debt.</w:t>
      </w:r>
    </w:p>
    <w:p>
      <w:r>
        <w:t xml:space="preserve">   Mexican local government bonds offer ~6.3% in USD at one of the best downside</w:t>
      </w:r>
    </w:p>
    <w:p>
      <w:r>
        <w:t xml:space="preserve">   profiles in the universe; EM USD sovereigns ~6.0%. Both beat US investment-grade</w:t>
      </w:r>
    </w:p>
    <w:p>
      <w:r>
        <w:t xml:space="preserve">   and high-yield credit, which sit at multi-year-tight spreads.</w:t>
      </w:r>
    </w:p>
    <w:p>
      <w:pPr>
        <w:pStyle w:val="ListNumber"/>
      </w:pPr>
      <w:r>
        <w:rPr>
          <w:b/>
        </w:rPr>
        <w:t>Bonds still diversify, but less reliably than the pre-2021 era.</w:t>
      </w:r>
      <w:r>
        <w:t xml:space="preserve"> The</w:t>
      </w:r>
    </w:p>
    <w:p>
      <w:r>
        <w:t xml:space="preserve">   trailing stock/long-Treasury correlation is ~0.00. Gold (0.12 vs US equity)</w:t>
      </w:r>
    </w:p>
    <w:p>
      <w:r>
        <w:t xml:space="preserve">   and the Treasury/commodity pairing (−0.35) now do more genuine diversification</w:t>
      </w:r>
    </w:p>
    <w:p>
      <w:r>
        <w:t xml:space="preserve">   work than nominal bonds alone.</w:t>
      </w:r>
    </w:p>
    <w:p>
      <w:r>
        <w:rPr>
          <w:b/>
        </w:rPr>
        <w:t>Two cross-checks against the live market</w:t>
      </w:r>
      <w:r>
        <w:t xml:space="preserve"> sharpen the picture:</w:t>
      </w:r>
    </w:p>
    <w:p>
      <w:pPr>
        <w:pStyle w:val="ListBullet"/>
      </w:pPr>
      <w:r>
        <w:rPr>
          <w:b/>
        </w:rPr>
        <w:t>What's priced in (Section 4):</w:t>
      </w:r>
      <w:r>
        <w:t xml:space="preserve"> the Treasury curve says the market expects</w:t>
      </w:r>
    </w:p>
    <w:p>
      <w:r>
        <w:t xml:space="preserve">  </w:t>
      </w:r>
      <w:r>
        <w:rPr>
          <w:b/>
        </w:rPr>
        <w:t>no further rate cuts</w:t>
      </w:r>
      <w:r>
        <w:t xml:space="preserve"> — short-rate forwards rise, not fall. Inflation</w:t>
      </w:r>
    </w:p>
    <w:p>
      <w:r>
        <w:t xml:space="preserve">  expectations (2.5%) sit right on the LTCMA assumption. Credit is priced for</w:t>
      </w:r>
    </w:p>
    <w:p>
      <w:r>
        <w:t xml:space="preserve">  perfection. The LTCMA's </w:t>
      </w:r>
      <w:r>
        <w:rPr>
          <w:i/>
        </w:rPr>
        <w:t>active bets</w:t>
      </w:r>
      <w:r>
        <w:t xml:space="preserve"> are exactly where it diverges from this.</w:t>
      </w:r>
    </w:p>
    <w:p>
      <w:pPr>
        <w:pStyle w:val="ListBullet"/>
      </w:pPr>
      <w:r>
        <w:rPr>
          <w:b/>
        </w:rPr>
        <w:t>News and regime risk (Section 7):</w:t>
      </w:r>
      <w:r>
        <w:t xml:space="preserve"> geopolitical and policy uncertainty</w:t>
      </w:r>
    </w:p>
    <w:p>
      <w:r>
        <w:t xml:space="preserve">  (GPR, EPU indices) are **elevated, and the market is currently in a "stress"</w:t>
      </w:r>
    </w:p>
    <w:p>
      <w:r>
        <w:t xml:space="preserve">  regime.** Quantified, that history shows stress periods amplify volatility</w:t>
      </w:r>
    </w:p>
    <w:p>
      <w:r>
        <w:t xml:space="preserve">  (1.2–2.2×) and cross-correlations (0.66→0.74) — but, tellingly, did </w:t>
      </w:r>
      <w:r>
        <w:rPr>
          <w:i/>
        </w:rPr>
        <w:t>not</w:t>
      </w:r>
    </w:p>
    <w:p>
      <w:r>
        <w:t xml:space="preserve">  reliably depress returns over 2013–2026.</w:t>
      </w:r>
    </w:p>
    <w:p>
      <w:r>
        <w:rPr>
          <w:b/>
        </w:rPr>
        <w:t>Headline expected returns (USD, 12-year, base case):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Point estimate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Simulated 12y median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Volatility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US large-cap equity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6.6%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5.7%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13.6%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EM equity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6.4%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18.8%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Brazil / Mexico equity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8.8% / 8.0%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4.1% / 5.7%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32.7% / 22.4%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US Treasury / IG credit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4.5% – 5.0%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4.2% – 4.7%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7.6% – 8.0%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EM USD sovereign / Mexican local govt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6.0% / 6.3%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5.5% / 5.7%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9.9% / 11.3%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Cash (US T-bills)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3.3%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3.2%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3.4%</w:t>
            </w:r>
          </w:p>
        </w:tc>
      </w:tr>
    </w:tbl>
    <w:p/>
    <w:p>
      <w:r>
        <w:t>(Simulated medians sit below point estimates by design — the volatility drag on</w:t>
      </w:r>
    </w:p>
    <w:p>
      <w:r>
        <w:t>compounded returns. See Section 7.)</w:t>
      </w:r>
    </w:p>
    <w:p>
      <w:pPr>
        <w:pStyle w:val="Heading1"/>
      </w:pPr>
      <w:r>
        <w:rPr>
          <w:color w:val="1A3A5C"/>
        </w:rPr>
        <w:t>2. Methodology</w:t>
      </w:r>
    </w:p>
    <w:p>
      <w:pPr>
        <w:pStyle w:val="Heading2"/>
      </w:pPr>
      <w:r>
        <w:rPr>
          <w:color w:val="1A3A5C"/>
        </w:rPr>
        <w:t>2.1 Building-block framework</w:t>
      </w:r>
    </w:p>
    <w:p>
      <w:r>
        <w:t>Every serious capital-market-assumptions publisher — J.P. Morgan, BlackRock,</w:t>
      </w:r>
    </w:p>
    <w:p>
      <w:r>
        <w:t>Vanguard, Northern Trust, GMO, Research Affiliates, AQR — uses the same</w:t>
      </w:r>
    </w:p>
    <w:p>
      <w:r>
        <w:rPr>
          <w:i/>
        </w:rPr>
        <w:t>building-block</w:t>
      </w:r>
      <w:r>
        <w:t xml:space="preserve"> skeleton. Expected return is decomposed into observable,</w:t>
      </w:r>
    </w:p>
    <w:p>
      <w:r>
        <w:t>defensible components rather than extrapolated from past performance.</w:t>
      </w:r>
    </w:p>
    <w:p>
      <w:r>
        <w:rPr>
          <w:b/>
        </w:rPr>
        <w:t>Equities</w:t>
      </w:r>
      <w:r>
        <w:t xml:space="preserve"> (return expressed directly in USD):</w:t>
      </w:r>
    </w:p>
    <w:p>
      <w:r>
        <w:rPr>
          <w:rFonts w:ascii="Consolas" w:hAnsi="Consolas"/>
          <w:sz w:val="18"/>
        </w:rPr>
        <w:t>ER = dividend yield + net buyback yield + real EPS growth</w:t>
        <w:br/>
        <w:t xml:space="preserve">     + US inflation + λ × valuation reversion</w:t>
      </w:r>
    </w:p>
    <w:p>
      <w:r>
        <w:t xml:space="preserve">The </w:t>
      </w:r>
      <w:r>
        <w:rPr>
          <w:i/>
        </w:rPr>
        <w:t>relative-PPP assumption</w:t>
      </w:r>
      <w:r>
        <w:t xml:space="preserve"> lets us anchor on </w:t>
      </w:r>
      <w:r>
        <w:rPr>
          <w:b/>
        </w:rPr>
        <w:t>US</w:t>
      </w:r>
      <w:r>
        <w:t xml:space="preserve"> inflation: a foreign</w:t>
      </w:r>
    </w:p>
    <w:p>
      <w:r>
        <w:t>market's local inflation is, over a long horizon, broadly offset by depreciation</w:t>
      </w:r>
    </w:p>
    <w:p>
      <w:r>
        <w:t>of its currency against the dollar.</w:t>
      </w:r>
    </w:p>
    <w:p>
      <w:r>
        <w:rPr>
          <w:b/>
        </w:rPr>
        <w:t>Fixed income:</w:t>
      </w:r>
      <w:r>
        <w:t xml:space="preserve"> </w:t>
      </w:r>
      <w:r>
        <w:rPr>
          <w:rFonts w:ascii="Consolas" w:hAnsi="Consolas"/>
          <w:sz w:val="18"/>
        </w:rPr>
        <w:t>ER = starting yield + roll − expected credit loss ± normalization</w:t>
      </w:r>
      <w:r>
        <w:t>,</w:t>
      </w:r>
    </w:p>
    <w:p>
      <w:r>
        <w:t>where expected credit loss = default rate × (1 − recovery rate).</w:t>
      </w:r>
    </w:p>
    <w:p>
      <w:r>
        <w:rPr>
          <w:b/>
        </w:rPr>
        <w:t>Currencies:</w:t>
      </w:r>
      <w:r>
        <w:t xml:space="preserve"> purchasing-power parity + real-interest-rate differential.</w:t>
      </w:r>
    </w:p>
    <w:p>
      <w:pPr>
        <w:pStyle w:val="Heading2"/>
      </w:pPr>
      <w:r>
        <w:rPr>
          <w:color w:val="1A3A5C"/>
        </w:rPr>
        <w:t>2.2 The valuation-reversion dial (λ) — a multi-firm synthesis</w:t>
      </w:r>
    </w:p>
    <w:p>
      <w:r>
        <w:t xml:space="preserve">Firms agree on the skeleton; they disagree on </w:t>
      </w:r>
      <w:r>
        <w:rPr>
          <w:i/>
        </w:rPr>
        <w:t>how hard valuations mean-revert.</w:t>
      </w:r>
    </w:p>
    <w:p>
      <w:r>
        <w:t>This model exposes that choice as one parameter, λ: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λ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Closest to the house view of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 reversion — today's multiples persist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Momentum / regime views (Bridgewater-style)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 normalization (base case)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J.P. Morgan, BlackRock, Vanguard, Northern Trust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Full reversion to fair value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GMO, Research Affiliates, AQR</w:t>
            </w:r>
          </w:p>
        </w:tc>
      </w:tr>
    </w:tbl>
    <w:p/>
    <w:p>
      <w:r>
        <w:t xml:space="preserve">Annualized reversion is </w:t>
      </w:r>
      <w:r>
        <w:rPr>
          <w:rFonts w:ascii="Consolas" w:hAnsi="Consolas"/>
          <w:sz w:val="18"/>
        </w:rPr>
        <w:t>(fair multiple / current multiple)^(1/H) − 1</w:t>
      </w:r>
      <w:r>
        <w:t>. The</w:t>
      </w:r>
    </w:p>
    <w:p>
      <w:r>
        <w:t xml:space="preserve">spread across λ is itself a signal — the </w:t>
      </w:r>
      <w:r>
        <w:rPr>
          <w:b/>
        </w:rPr>
        <w:t>"valuation bet"</w:t>
      </w:r>
      <w:r>
        <w:t xml:space="preserve"> column.</w:t>
      </w:r>
    </w:p>
    <w:p>
      <w:r>
        <w:rPr>
          <w:b/>
        </w:rPr>
        <w:t>The fair-value anchor is data-driven.</w:t>
      </w:r>
      <w:r>
        <w:t xml:space="preserve"> Shiller's 150-year series puts the US</w:t>
      </w:r>
    </w:p>
    <w:p>
      <w:r>
        <w:t xml:space="preserve">CAPE at a 1990+ </w:t>
      </w:r>
      <w:r>
        <w:rPr>
          <w:b/>
        </w:rPr>
        <w:t>median of 26.0</w:t>
      </w:r>
      <w:r>
        <w:t xml:space="preserve"> — exactly the anchor used here.</w:t>
      </w:r>
    </w:p>
    <w:p>
      <w:pPr>
        <w:pStyle w:val="Heading2"/>
      </w:pPr>
      <w:r>
        <w:rPr>
          <w:color w:val="1A3A5C"/>
        </w:rPr>
        <w:t>2.3 Risk model — shrinkage and long history</w:t>
      </w:r>
    </w:p>
    <w:p>
      <w:r>
        <w:t>Volatility blends a trailing-window estimate with multi-decade history (Shiller</w:t>
      </w:r>
    </w:p>
    <w:p>
      <w:r>
        <w:t xml:space="preserve">1871+, Ken French 1990+, Damodaran 1928+), plus </w:t>
      </w:r>
      <w:r>
        <w:rPr>
          <w:b/>
        </w:rPr>
        <w:t>25 years of intraday FX history</w:t>
      </w:r>
    </w:p>
    <w:p>
      <w:r>
        <w:t>(FxPro M5 data aggregated to monthly — EURUSD/USDJPY since 2000, USDMXN since</w:t>
      </w:r>
    </w:p>
    <w:p>
      <w:r>
        <w:t xml:space="preserve">2007). The covariance matrix uses </w:t>
      </w:r>
      <w:r>
        <w:rPr>
          <w:b/>
        </w:rPr>
        <w:t>Ledoit-Wolf shrinkage</w:t>
      </w:r>
      <w:r>
        <w:t xml:space="preserve"> — well-conditioned</w:t>
      </w:r>
    </w:p>
    <w:p>
      <w:r>
        <w:t>and positive semi-definite, a requirement for the simulation engine.</w:t>
      </w:r>
    </w:p>
    <w:p>
      <w:pPr>
        <w:pStyle w:val="Heading2"/>
      </w:pPr>
      <w:r>
        <w:rPr>
          <w:color w:val="1A3A5C"/>
        </w:rPr>
        <w:t>2.4 Priced-in indicators</w:t>
      </w:r>
    </w:p>
    <w:p>
      <w:r>
        <w:t>Markets continuously quote their own expectations. Section 4 extracts them —</w:t>
      </w:r>
    </w:p>
    <w:p>
      <w:r>
        <w:t>the rate path implied by Treasury forwards, inflation from breakevens, risk from</w:t>
      </w:r>
    </w:p>
    <w:p>
      <w:r>
        <w:t>VIX and credit spreads — and contrasts each with the LTCMA. Where they diverge,</w:t>
      </w:r>
    </w:p>
    <w:p>
      <w:r>
        <w:t>the LTCMA is making an explicit, identifiable active bet.</w:t>
      </w:r>
    </w:p>
    <w:p>
      <w:pPr>
        <w:pStyle w:val="Heading2"/>
      </w:pPr>
      <w:r>
        <w:rPr>
          <w:color w:val="1A3A5C"/>
        </w:rPr>
        <w:t>2.5 Quantifying news and market regimes</w:t>
      </w:r>
    </w:p>
    <w:p>
      <w:r>
        <w:t>Discretionary news — a tariff tweet, a Fed-chair change, a strike on Iran —</w:t>
      </w:r>
    </w:p>
    <w:p>
      <w:r>
        <w:t>cannot be turned into a defensible number tweet-by-tweet. The rigorous approach,</w:t>
      </w:r>
    </w:p>
    <w:p>
      <w:r>
        <w:t xml:space="preserve">and the one used here, is </w:t>
      </w:r>
      <w:r>
        <w:rPr>
          <w:b/>
        </w:rPr>
        <w:t>established text-based uncertainty indices</w:t>
      </w:r>
      <w:r>
        <w:t>:</w:t>
      </w:r>
    </w:p>
    <w:p>
      <w:pPr>
        <w:pStyle w:val="ListBullet"/>
      </w:pPr>
      <w:r>
        <w:rPr>
          <w:b/>
        </w:rPr>
        <w:t>GPR</w:t>
      </w:r>
      <w:r>
        <w:t xml:space="preserve"> — Geopolitical Risk index (Caldara-Iacoviello), built from newspaper</w:t>
      </w:r>
    </w:p>
    <w:p>
      <w:r>
        <w:t xml:space="preserve">  text; spikes on wars and military escalation.</w:t>
      </w:r>
    </w:p>
    <w:p>
      <w:pPr>
        <w:pStyle w:val="ListBullet"/>
      </w:pPr>
      <w:r>
        <w:rPr>
          <w:b/>
        </w:rPr>
        <w:t>EPU</w:t>
      </w:r>
      <w:r>
        <w:t xml:space="preserve"> — Economic Policy Uncertainty (Baker-Bloom-Davis); spikes on</w:t>
      </w:r>
    </w:p>
    <w:p>
      <w:r>
        <w:t xml:space="preserve">  Fed-chair uncertainty, tariff conflict, fiscal standoffs.</w:t>
      </w:r>
    </w:p>
    <w:p>
      <w:r>
        <w:t xml:space="preserve">These quantify the </w:t>
      </w:r>
      <w:r>
        <w:rPr>
          <w:i/>
        </w:rPr>
        <w:t>aggregate</w:t>
      </w:r>
      <w:r>
        <w:t xml:space="preserve"> of the news flow. They are used to classify</w:t>
      </w:r>
    </w:p>
    <w:p>
      <w:r>
        <w:t xml:space="preserve">history into </w:t>
      </w:r>
      <w:r>
        <w:rPr>
          <w:b/>
        </w:rPr>
        <w:t>calm</w:t>
      </w:r>
      <w:r>
        <w:t xml:space="preserve"> and </w:t>
      </w:r>
      <w:r>
        <w:rPr>
          <w:b/>
        </w:rPr>
        <w:t>stress</w:t>
      </w:r>
      <w:r>
        <w:t xml:space="preserve"> regimes (Section 7), which then drive the</w:t>
      </w:r>
    </w:p>
    <w:p>
      <w:r>
        <w:t>simulation — so "the news" enters the model as regime probabilities and</w:t>
      </w:r>
    </w:p>
    <w:p>
      <w:r>
        <w:t>regime-specific risk, not as ad-hoc adjustments.</w:t>
      </w:r>
    </w:p>
    <w:p>
      <w:pPr>
        <w:pStyle w:val="Heading2"/>
      </w:pPr>
      <w:r>
        <w:rPr>
          <w:color w:val="1A3A5C"/>
        </w:rPr>
        <w:t>2.6 Regime-switching Monte Carlo engine</w:t>
      </w:r>
    </w:p>
    <w:p>
      <w:r>
        <w:t xml:space="preserve">A GPU Monte Carlo engine simulates </w:t>
      </w:r>
      <w:r>
        <w:rPr>
          <w:b/>
        </w:rPr>
        <w:t>100,000 monthly multi-asset paths</w:t>
      </w:r>
      <w:r>
        <w:t xml:space="preserve"> over the</w:t>
      </w:r>
    </w:p>
    <w:p>
      <w:r>
        <w:t xml:space="preserve">12-year horizon. It is </w:t>
      </w:r>
      <w:r>
        <w:rPr>
          <w:b/>
        </w:rPr>
        <w:t>two-regime Markov-switching</w:t>
      </w:r>
      <w:r>
        <w:t xml:space="preserve"> (calm/stress, calibrated</w:t>
      </w:r>
    </w:p>
    <w:p>
      <w:r>
        <w:t xml:space="preserve">from the news indices) with </w:t>
      </w:r>
      <w:r>
        <w:rPr>
          <w:b/>
        </w:rPr>
        <w:t>Student-t innovations</w:t>
      </w:r>
      <w:r>
        <w:t xml:space="preserve"> (fat tails), and it</w:t>
      </w:r>
    </w:p>
    <w:p>
      <w:r>
        <w:rPr>
          <w:b/>
        </w:rPr>
        <w:t>starts in the stress regime</w:t>
      </w:r>
      <w:r>
        <w:t xml:space="preserve"> to reflect today's elevated-uncertainty reading.</w:t>
      </w:r>
    </w:p>
    <w:p>
      <w:r>
        <w:t>It runs on an NVIDIA RTX 4060 in ~15 seconds and produces full return</w:t>
      </w:r>
    </w:p>
    <w:p>
      <w:r>
        <w:rPr>
          <w:i/>
        </w:rPr>
        <w:t>distributions</w:t>
      </w:r>
      <w:r>
        <w:t xml:space="preserve"> — percentiles, probability of loss, and conditional tail loss</w:t>
      </w:r>
    </w:p>
    <w:p>
      <w:r>
        <w:t>(CVaR) — for every asset and portfolio.</w:t>
      </w:r>
    </w:p>
    <w:p>
      <w:pPr>
        <w:pStyle w:val="Heading2"/>
      </w:pPr>
      <w:r>
        <w:rPr>
          <w:color w:val="1A3A5C"/>
        </w:rPr>
        <w:t>2.7 Consensus and historical cross-checks</w:t>
      </w:r>
    </w:p>
    <w:p>
      <w:pPr>
        <w:pStyle w:val="ListBullet"/>
      </w:pPr>
      <w:r>
        <w:rPr>
          <w:b/>
        </w:rPr>
        <w:t>Forward consensus:</w:t>
      </w:r>
      <w:r>
        <w:t xml:space="preserve"> 2026 published LTCMAs put US large-cap equity at 5–7.6%</w:t>
      </w:r>
    </w:p>
    <w:p>
      <w:r>
        <w:t xml:space="preserve">  and US aggregate bonds at 4.1–4.8%. This model's base case sits inside both.</w:t>
      </w:r>
    </w:p>
    <w:p>
      <w:pPr>
        <w:pStyle w:val="ListBullet"/>
      </w:pPr>
      <w:r>
        <w:rPr>
          <w:b/>
        </w:rPr>
        <w:t>Historical realized (Damodaran, 1928–2025):</w:t>
      </w:r>
      <w:r>
        <w:t xml:space="preserve"> US large-cap returned 10.0%</w:t>
      </w:r>
    </w:p>
    <w:p>
      <w:r>
        <w:t xml:space="preserve">  annualized, 10-year Treasuries 4.5%, T-bills 3.4%. The forward US equity number</w:t>
      </w:r>
    </w:p>
    <w:p>
      <w:r>
        <w:t xml:space="preserve">  is deliberately below its history — the starting CAPE (35) is far above the</w:t>
      </w:r>
    </w:p>
    <w:p>
      <w:r>
        <w:t xml:space="preserve">  historical norm.</w:t>
      </w:r>
    </w:p>
    <w:p>
      <w:pPr>
        <w:pStyle w:val="Heading1"/>
      </w:pPr>
      <w:r>
        <w:rPr>
          <w:color w:val="1A3A5C"/>
        </w:rPr>
        <w:t>3. Macro Backdrop &amp; Fundamentals Grid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Market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Policy rate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10Y nominal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10Y real*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Inflation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Trend real GDP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Equity valuation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Damodaran ERP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US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~3.6%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4.59%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~1.9%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~2.7%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~1.9%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CAPE 34.7 — rich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4.46%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Mexico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6.50%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8.88%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~4.4%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4.45%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~2.0%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P/E 13.0 — cheap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6.69%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Brazil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14.50%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~13.5%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~9.0%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~4.5%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~2.0%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P/E 11.8 — cheap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7.47%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China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~3.0% (LPR)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~1.8%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~1.3%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~0.5%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~4.0%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CAPE 17.7 — cheap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5.14%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~0.75%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2.52%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~0.0%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~2.5%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~0.7%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CAPE 29.4 — rich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5.14%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UK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~3.9%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4.82%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~1.8%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~3.0%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~1.3%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CAPE 20.2 — fair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5.01%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France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~2.0% (ECB)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3.68%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~1.9%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~1.8%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~1.2%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CAPE ~21 — fair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5.01%</w:t>
            </w:r>
          </w:p>
        </w:tc>
      </w:tr>
    </w:tbl>
    <w:p/>
    <w:p>
      <w:r>
        <w:t>*Real yield = 10Y nominal − current inflation (approximate).</w:t>
      </w:r>
    </w:p>
    <w:p>
      <w:r>
        <w:rPr>
          <w:b/>
        </w:rPr>
        <w:t>What the grid says:</w:t>
      </w:r>
      <w:r>
        <w:t xml:space="preserve"> valuation is bimodal — the US and Japan are expensive,</w:t>
      </w:r>
    </w:p>
    <w:p>
      <w:r>
        <w:t>EM/LatAm and China are cheap, with only the UK and France in between. Real yields</w:t>
      </w:r>
    </w:p>
    <w:p>
      <w:r>
        <w:t>favor Latin America massively (Mexico ~4.4%, Brazil ~9%, vs US ~1.9%). Rate</w:t>
      </w:r>
    </w:p>
    <w:p>
      <w:r>
        <w:rPr>
          <w:i/>
        </w:rPr>
        <w:t>direction</w:t>
      </w:r>
      <w:r>
        <w:t xml:space="preserve"> is no longer a tailwind anywhere — carry, not duration, is where the</w:t>
      </w:r>
    </w:p>
    <w:p>
      <w:r>
        <w:t>return is. China is the contrarian case: cheap and still growing ~4%, but</w:t>
      </w:r>
    </w:p>
    <w:p>
      <w:r>
        <w:t>deflation and policy risk are what the discount prices.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lu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Valuation dispersion across equity markets</w:t>
      </w:r>
    </w:p>
    <w:p>
      <w:pPr>
        <w:pStyle w:val="Heading1"/>
      </w:pPr>
      <w:r>
        <w:rPr>
          <w:color w:val="1A3A5C"/>
        </w:rPr>
        <w:t>4. Priced-In Indicators</w:t>
      </w:r>
    </w:p>
    <w:p>
      <w:r>
        <w:t xml:space="preserve">A capital-market assumption is only </w:t>
      </w:r>
      <w:r>
        <w:rPr>
          <w:i/>
        </w:rPr>
        <w:t>active</w:t>
      </w:r>
      <w:r>
        <w:t xml:space="preserve"> where it disagrees with what the</w:t>
      </w:r>
    </w:p>
    <w:p>
      <w:r>
        <w:t>market already expects. This section extracts the market's own forecasts.</w:t>
      </w:r>
    </w:p>
    <w:p>
      <w:pPr>
        <w:pStyle w:val="Heading2"/>
      </w:pPr>
      <w:r>
        <w:rPr>
          <w:color w:val="1A3A5C"/>
        </w:rPr>
        <w:t>4.1 Priced-in policy-rate path — the headline</w:t>
      </w:r>
    </w:p>
    <w:p>
      <w:r>
        <w:t>The Treasury curve, read as implied forward rates, reveals the market's expected</w:t>
      </w:r>
    </w:p>
    <w:p>
      <w:r>
        <w:t>path of short rates: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Period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Implied avg short rate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Current fed funds (effective)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3.63%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Next 12 months (1Y Treasury)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3.82%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1–2 years forward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4.36%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2–3 years forward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4.24%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3–5 years forward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4.44%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5–10 years forward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~4.9%</w:t>
            </w:r>
          </w:p>
        </w:tc>
      </w:tr>
    </w:tbl>
    <w:p/>
    <w:p>
      <w:r>
        <w:rPr>
          <w:b/>
        </w:rPr>
        <w:t>The market is pricing zero further rate cuts.</w:t>
      </w:r>
      <w:r>
        <w:t xml:space="preserve"> Forward short rates </w:t>
      </w:r>
      <w:r>
        <w:rPr>
          <w:i/>
        </w:rPr>
        <w:t>rise</w:t>
      </w:r>
      <w:r>
        <w:t>, not</w:t>
      </w:r>
    </w:p>
    <w:p>
      <w:r>
        <w:t>fall — the curve says the Fed's easing cycle is over and the next move is as</w:t>
      </w:r>
    </w:p>
    <w:p>
      <w:r>
        <w:t>likely up as down. This matters: despite a steady "central banks are easing"</w:t>
      </w:r>
    </w:p>
    <w:p>
      <w:r>
        <w:t>narrative, anyone positioning for a rate-cut tailwind is fighting the curve. The</w:t>
      </w:r>
    </w:p>
    <w:p>
      <w:r>
        <w:t>LTCMA's cash assumption (3.3%, assuming a drift toward a ~3.0–3.3% neutral rate)</w:t>
      </w:r>
    </w:p>
    <w:p>
      <w:r>
        <w:t xml:space="preserve">is </w:t>
      </w:r>
      <w:r>
        <w:rPr>
          <w:i/>
        </w:rPr>
        <w:t>slightly below</w:t>
      </w:r>
      <w:r>
        <w:t xml:space="preserve"> what the market prices — a small, deliberate divergence.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iced_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Priced-in rate path: spot Treasury curve vs implied forwards</w:t>
      </w:r>
    </w:p>
    <w:p>
      <w:pPr>
        <w:pStyle w:val="Heading2"/>
      </w:pPr>
      <w:r>
        <w:rPr>
          <w:color w:val="1A3A5C"/>
        </w:rPr>
        <w:t>4.2 Priced-in inflation, risk, and the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 market prices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LTCMA assumption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Rate path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 cuts; 1–2y forward 4.4%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Cash 3.3%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Market more hawkish than the LTCMA's neutral-rate drift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Long-run inflation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10y breakeven 2.48%, 5y5y forward 2.27%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2.40%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Aligned — LTCMA sits mid-range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US credit risk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HY OAS 2.80% (~14th percentile — very tight)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HY 5.0%, tight-spread drag applied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Agreement — credit priced for perfection; LTCMA already cautious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Equity volatility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VIX 18.4 (~historical median)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Equity vols 13–33%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Market calm; no near-term stress priced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Recession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Yield curve 10Y–3M +0.93% (positive)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 recession priced in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Policy uncertainty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EPU 212 (baseline ~100 — elevated)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Complacency divergence — see below</w:t>
            </w:r>
          </w:p>
        </w:tc>
      </w:tr>
    </w:tbl>
    <w:p/>
    <w:p>
      <w:r>
        <w:rPr>
          <w:b/>
        </w:rPr>
        <w:t>The complacency divergence.</w:t>
      </w:r>
      <w:r>
        <w:t xml:space="preserve"> Policy uncertainty (EPU) is elevated at ~212</w:t>
      </w:r>
    </w:p>
    <w:p>
      <w:r>
        <w:t>while equity volatility (VIX) sits near its historical median. The market is</w:t>
      </w:r>
    </w:p>
    <w:p>
      <w:r>
        <w:t>treating heavy policy noise — a Fed-chair transition, tariff conflict, the Gulf</w:t>
      </w:r>
    </w:p>
    <w:p>
      <w:r>
        <w:t>situation — as signal-free. Either the noise resolves benignly (the 2013–2026</w:t>
      </w:r>
    </w:p>
    <w:p>
      <w:r>
        <w:t>pattern) or this gap closes through a volatility spike. The regime engine in</w:t>
      </w:r>
    </w:p>
    <w:p>
      <w:r>
        <w:t>Section 7 is built precisely to price that asymmetry.</w:t>
      </w:r>
    </w:p>
    <w:p>
      <w:pPr>
        <w:pStyle w:val="Heading1"/>
      </w:pPr>
      <w:r>
        <w:rPr>
          <w:color w:val="1A3A5C"/>
        </w:rPr>
        <w:t>5. Expected Returns</w:t>
      </w:r>
    </w:p>
    <w:p>
      <w:pPr>
        <w:pStyle w:val="Heading2"/>
      </w:pPr>
      <w:r>
        <w:rPr>
          <w:color w:val="1A3A5C"/>
        </w:rPr>
        <w:t>5.1 Full table (USD, 12-year)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Asset class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ER λ=0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ER base (λ=0.5)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ER λ=1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Volatility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US Large Cap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Equity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7.8%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6.6%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5.4%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13.6%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US Small Cap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Equity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6.7%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6.5%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6.3%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19.6%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Mexico Equity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Equity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7.4%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8.6%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22.4%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Brazil Equity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Equity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8.9%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8.8%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8.7%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32.7%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China Equity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Equity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8.1%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7.4%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6.7%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23.1%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Japan Equity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Equity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7.1%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6.4%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5.8%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16.7%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UK Equity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Equity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7.0%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6.1%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16.6%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France Equity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Equity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7.4%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7.2%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7.0%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17.7%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EM Equity (broad)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Equity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18.8%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DM ex-US Equity (broad)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Equity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7.5%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7.7%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15.7%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US Cash / T-Bills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Fixed Income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3.3%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3.4%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US Treasury Intermediate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Fixed Income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4.5%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7.6%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US Treasury Long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Fixed Income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4.8%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15.2%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US TIPS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Fixed Income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4.5%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6.2%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US IG Corporate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Fixed Income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8.0%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US High Yield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Fixed Income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7.9%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EM USD Sovereign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Fixed Income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9.9%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EM Local Debt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Fixed Income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4.8%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11.3%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Mexico Govt (local, Mbonos)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Fixed Income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6.3%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11.3%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Global Aggregate ex-US (hedged)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Fixed Income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3.8%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5.9%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US REITs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Real Asset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6.3%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17.6%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Global REITs ex-US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Real Asset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6.4%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16.5%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Commodities (broad)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Real Asset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3.5%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17.2%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Gold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Real Asset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3.3%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18.6%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80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turn_ri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Risk/return map of the 24-asset universe</w:t>
      </w:r>
    </w:p>
    <w:p>
      <w:pPr>
        <w:pStyle w:val="Heading2"/>
      </w:pPr>
      <w:r>
        <w:rPr>
          <w:color w:val="1A3A5C"/>
        </w:rPr>
        <w:t>5.2 Equity building-block decomposition (base case, λ=0.5)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Market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Dividend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Buyback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Real EPS growth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US inflation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Valuation reversion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= ER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US Large Cap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1.7%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2.5%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−1.2%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6.6%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US Small Cap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1.3%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0.5%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2.5%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−0.2%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6.5%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Mexico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3.2%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1.8%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+0.6%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8.0%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Brazil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4.5%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−0.1%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8.8%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China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0.5%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3.0%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−0.7%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7.4%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Japan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1.0%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1.5%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−0.7%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6.4%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UK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3.8%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0.5%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1.3%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−1.0%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7.0%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France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3.0%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0.5%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1.5%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−0.2%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7.2%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EM (broad)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2.8%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2.8%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8.0%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DM ex-US (broad)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3.2%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0.4%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1.5%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2.4%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+0.2%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7.7%</w:t>
            </w:r>
          </w:p>
        </w:tc>
      </w:tr>
    </w:tbl>
    <w:p/>
    <w:p>
      <w:r>
        <w:t>**US equity's return is built on growth and buybacks fighting a valuation</w:t>
      </w:r>
    </w:p>
    <w:p>
      <w:r>
        <w:t>headwind; EM/LatAm's return is built on income** — a more reliable foundation.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40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uilding_bloc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Equity expected-return building blocks</w:t>
      </w:r>
    </w:p>
    <w:p>
      <w:pPr>
        <w:pStyle w:val="Heading1"/>
      </w:pPr>
      <w:r>
        <w:rPr>
          <w:color w:val="1A3A5C"/>
        </w:rPr>
        <w:t>6. Risk — Volatility &amp; Correlation</w:t>
      </w:r>
    </w:p>
    <w:p>
      <w:r>
        <w:t>Volatility blends a trailing window with multi-decade history; the covariance</w:t>
      </w:r>
    </w:p>
    <w:p>
      <w:r>
        <w:t>matrix is Ledoit-Wolf shrunk and positive semi-definite.</w:t>
      </w:r>
    </w:p>
    <w:p>
      <w:pPr>
        <w:pStyle w:val="Heading2"/>
      </w:pPr>
      <w:r>
        <w:rPr>
          <w:color w:val="1A3A5C"/>
        </w:rPr>
        <w:t>6.1 Selected correlation matrix (full-sample)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US LC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EM Eq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Mexico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Japan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DM exUS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US Treas Long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US HY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EM USD Sov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Gold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Commod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US Large Cap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1.00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0.71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0.61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0.69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0.83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−0.01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0.79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0.66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0.12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0.41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EM Equity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0.71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1.00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0.67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0.70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0.83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0.70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0.72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0.38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0.49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Mexico Equity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0.61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0.67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1.00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0.58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0.73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−0.04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0.66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0.65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0.27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0.44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Japan Equity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0.69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0.70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0.58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1.00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0.83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0.03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0.61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0.58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0.13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0.31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US Treasury Long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−0.01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−0.04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0.03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−0.01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1.00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0.13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0.36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0.27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−0.35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US High Yield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0.79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0.70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0.66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0.61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0.78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0.13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1.00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0.81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0.27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0.45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Gold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0.12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0.38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0.27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0.13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0.26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0.27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0.27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0.37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1.00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0.22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Commodities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0.41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0.49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0.44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0.31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0.46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−0.35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0.45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0.33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0.22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1.00</w:t>
            </w:r>
          </w:p>
        </w:tc>
      </w:tr>
    </w:tbl>
    <w:p/>
    <w:p>
      <w:pPr>
        <w:pStyle w:val="Heading2"/>
      </w:pPr>
      <w:r>
        <w:rPr>
          <w:color w:val="1A3A5C"/>
        </w:rPr>
        <w:t>6.2 What the risk picture tells us</w:t>
      </w:r>
    </w:p>
    <w:p>
      <w:pPr>
        <w:pStyle w:val="ListBullet"/>
      </w:pPr>
      <w:r>
        <w:rPr>
          <w:b/>
        </w:rPr>
        <w:t>Equities are highly correlated (0.6–0.83).</w:t>
      </w:r>
      <w:r>
        <w:t xml:space="preserve"> Geographic diversification</w:t>
      </w:r>
    </w:p>
    <w:p>
      <w:r>
        <w:t xml:space="preserve">  reduces single-country risk but little systemic drawdown risk.</w:t>
      </w:r>
    </w:p>
    <w:p>
      <w:pPr>
        <w:pStyle w:val="ListBullet"/>
      </w:pPr>
      <w:r>
        <w:rPr>
          <w:b/>
        </w:rPr>
        <w:t>Long Treasuries are the cleanest equity diversifier on paper (≈0.00)</w:t>
      </w:r>
      <w:r>
        <w:t xml:space="preserve"> — but</w:t>
      </w:r>
    </w:p>
    <w:p>
      <w:r>
        <w:t xml:space="preserve">  regime-dependent (Section 7); the average hides post-2021 positive-correlation</w:t>
      </w:r>
    </w:p>
    <w:p>
      <w:r>
        <w:t xml:space="preserve">  episodes.</w:t>
      </w:r>
    </w:p>
    <w:p>
      <w:pPr>
        <w:pStyle w:val="ListBullet"/>
      </w:pPr>
      <w:r>
        <w:rPr>
          <w:b/>
        </w:rPr>
        <w:t>Gold is a genuine diversifier</w:t>
      </w:r>
      <w:r>
        <w:t xml:space="preserve"> (0.12 vs US equity) and earns its place</w:t>
      </w:r>
    </w:p>
    <w:p>
      <w:r>
        <w:t xml:space="preserve">  despite a modest 3.3% return.</w:t>
      </w:r>
    </w:p>
    <w:p>
      <w:pPr>
        <w:pStyle w:val="ListBullet"/>
      </w:pPr>
      <w:r>
        <w:rPr>
          <w:b/>
        </w:rPr>
        <w:t>High yield is equity in disguise</w:t>
      </w:r>
      <w:r>
        <w:t xml:space="preserve"> (0.79 correlation with US equity).</w:t>
      </w:r>
    </w:p>
    <w:p>
      <w:pPr>
        <w:pStyle w:val="ListBullet"/>
      </w:pPr>
      <w:r>
        <w:rPr>
          <w:b/>
        </w:rPr>
        <w:t>The Treasury/commodity pair (−0.35)</w:t>
      </w:r>
      <w:r>
        <w:t xml:space="preserve"> is the strongest natural hedge.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37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Asset correlation matrix (Ledoit-Wolf shrunk)</w:t>
      </w:r>
    </w:p>
    <w:p>
      <w:pPr>
        <w:pStyle w:val="Heading1"/>
      </w:pPr>
      <w:r>
        <w:rPr>
          <w:color w:val="1A3A5C"/>
        </w:rPr>
        <w:t>7. News, Regimes &amp; Monte Carlo Simulation</w:t>
      </w:r>
    </w:p>
    <w:p>
      <w:pPr>
        <w:pStyle w:val="Heading2"/>
      </w:pPr>
      <w:r>
        <w:rPr>
          <w:color w:val="1A3A5C"/>
        </w:rPr>
        <w:t>7.1 Quantifying the news</w:t>
      </w:r>
    </w:p>
    <w:p>
      <w:r>
        <w:t>Geopolitical and policy events enter the model through two text-based indices</w:t>
      </w:r>
    </w:p>
    <w:p>
      <w:r>
        <w:t xml:space="preserve">(see 2.5): </w:t>
      </w:r>
      <w:r>
        <w:rPr>
          <w:b/>
        </w:rPr>
        <w:t>GPR</w:t>
      </w:r>
      <w:r>
        <w:t xml:space="preserve"> (geopolitical risk) and </w:t>
      </w:r>
      <w:r>
        <w:rPr>
          <w:b/>
        </w:rPr>
        <w:t>EPU</w:t>
      </w:r>
      <w:r>
        <w:t xml:space="preserve"> (economic policy uncertainty).</w:t>
      </w:r>
    </w:p>
    <w:p>
      <w:r>
        <w:t>Both are currently elevated — GPR ~231 and EPU ~212 against a ~100 baseline,</w:t>
      </w:r>
    </w:p>
    <w:p>
      <w:r>
        <w:t>reflecting the Gulf situation, tariff conflict, and the Fed-chair transition.</w:t>
      </w:r>
    </w:p>
    <w:p>
      <w:r>
        <w:t xml:space="preserve">History (2013–2026) is classified into </w:t>
      </w:r>
      <w:r>
        <w:rPr>
          <w:b/>
        </w:rPr>
        <w:t>calm</w:t>
      </w:r>
      <w:r>
        <w:t xml:space="preserve"> and </w:t>
      </w:r>
      <w:r>
        <w:rPr>
          <w:b/>
        </w:rPr>
        <w:t>stress</w:t>
      </w:r>
      <w:r>
        <w:t xml:space="preserve"> regimes — a stress</w:t>
      </w:r>
    </w:p>
    <w:p>
      <w:r>
        <w:t>month being one in the top third of a combined GPR+EPU score. **34% of months</w:t>
      </w:r>
    </w:p>
    <w:p>
      <w:r>
        <w:t xml:space="preserve">were stress months; as of May 2026 the market is </w:t>
      </w:r>
      <w:r>
        <w:rPr>
          <w:i/>
        </w:rPr>
        <w:t>in</w:t>
      </w:r>
      <w:r>
        <w:t xml:space="preserve"> a stress regime.**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435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gime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3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GPR and EPU uncertainty indices with stress months shaded</w:t>
      </w:r>
    </w:p>
    <w:p>
      <w:pPr>
        <w:pStyle w:val="Heading2"/>
      </w:pPr>
      <w:r>
        <w:rPr>
          <w:color w:val="1A3A5C"/>
        </w:rPr>
        <w:t>7.2 What stress regimes do — and don't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Behavior in stress months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Finding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Volatility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Amplifies 1.2–2.2× (US equity 1.6×, high yield 2.1×, EM sovereign 2.2×; gold least affected at 1.2×)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Correlation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Equity cross-correlation rises 0.66 → 0.74 — diversification weakens just when it is needed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Persistence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Stress regimes last ~5.7 months on average (Markov: stress→stress 0.82)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Returns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No reliable drawdown. Over 2013–2026, news-stress months did </w:t>
            </w:r>
            <w:r>
              <w:rPr>
                <w:i/>
                <w:sz w:val="17"/>
              </w:rPr>
              <w:t>not</w:t>
            </w:r>
            <w:r>
              <w:rPr>
                <w:sz w:val="17"/>
              </w:rPr>
              <w:t xml:space="preserve"> systematically post lower returns — markets repeatedly "climbed the wall of worry"</w:t>
            </w:r>
          </w:p>
        </w:tc>
      </w:tr>
    </w:tbl>
    <w:p/>
    <w:p>
      <w:r>
        <w:t>This last point is the honest, important finding. **Elevated geopolitical and</w:t>
      </w:r>
    </w:p>
    <w:p>
      <w:r>
        <w:t xml:space="preserve">policy uncertainty is reliably a </w:t>
      </w:r>
      <w:r>
        <w:rPr>
          <w:i/>
        </w:rPr>
        <w:t>volatility</w:t>
      </w:r>
      <w:r>
        <w:t xml:space="preserve"> event, not reliably a </w:t>
      </w:r>
      <w:r>
        <w:rPr>
          <w:i/>
        </w:rPr>
        <w:t>return</w:t>
      </w:r>
    </w:p>
    <w:p>
      <w:r>
        <w:t>event.** Accordingly the simulation amplifies risk (volatility, correlation, fat</w:t>
      </w:r>
    </w:p>
    <w:p>
      <w:r>
        <w:t xml:space="preserve">tails) in the stress regime but does </w:t>
      </w:r>
      <w:r>
        <w:rPr>
          <w:i/>
        </w:rPr>
        <w:t>not</w:t>
      </w:r>
      <w:r>
        <w:t xml:space="preserve"> impose a speculative mean drawdown —</w:t>
      </w:r>
    </w:p>
    <w:p>
      <w:r>
        <w:t>that would overfit a benign 13-year sample. Severe downside is instead captured</w:t>
      </w:r>
    </w:p>
    <w:p>
      <w:r>
        <w:t>two honest ways: through fat tails and regime clustering in the simulation, and</w:t>
      </w:r>
    </w:p>
    <w:p>
      <w:r>
        <w:t>through an explicit deterministic scenario (7.5).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60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gime_am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Regime volatility amplification — peso most sensitive</w:t>
      </w:r>
    </w:p>
    <w:p>
      <w:pPr>
        <w:pStyle w:val="Heading2"/>
      </w:pPr>
      <w:r>
        <w:rPr>
          <w:color w:val="1A3A5C"/>
        </w:rPr>
        <w:t>7.3 The simulation engine</w:t>
      </w:r>
    </w:p>
    <w:p>
      <w:r>
        <w:t>100,000 paths, monthly steps over 12 years, two-regime Markov-switching with</w:t>
      </w:r>
    </w:p>
    <w:p>
      <w:r>
        <w:t xml:space="preserve">Student-t fat tails, </w:t>
      </w:r>
      <w:r>
        <w:rPr>
          <w:b/>
        </w:rPr>
        <w:t>starting in the stress regime</w:t>
      </w:r>
      <w:r>
        <w:t>. The engine ran on the</w:t>
      </w:r>
    </w:p>
    <w:p>
      <w:r>
        <w:t>RTX 4060 in ~15 seconds.</w:t>
      </w:r>
    </w:p>
    <w:p>
      <w:pPr>
        <w:pStyle w:val="Heading2"/>
      </w:pPr>
      <w:r>
        <w:rPr>
          <w:color w:val="1A3A5C"/>
        </w:rPr>
        <w:t>7.4 Simulated 12-year outcomes — portfolios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Portfolio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5th pct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95th pct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CVaR (worst-5% avg)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P(loss)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P(&lt; inflation)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Conservative 30/70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1.7%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5.0%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8.5%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5.0%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+0.8%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10%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 60/40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1.1%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5.7%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10.6%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5.8%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−0.1%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2%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12%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Growth 90/10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0.2%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6.2%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12.6%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6.3%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−1.4%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15%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Edge-Tilted (moderate risk)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0.7%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5.8%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11.2%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5.9%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−0.6%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3%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14%</w:t>
            </w:r>
          </w:p>
        </w:tc>
      </w:tr>
    </w:tbl>
    <w:p/>
    <w:p>
      <w:r>
        <w:rPr>
          <w:b/>
        </w:rPr>
        <w:t>CVaR</w:t>
      </w:r>
      <w:r>
        <w:t xml:space="preserve"> is the average annualized return in the worst 5% of paths — the genuine</w:t>
      </w:r>
    </w:p>
    <w:p>
      <w:r>
        <w:t>tail. The gap between the 5th percentile and CVaR is the fat tail at work: in a</w:t>
      </w:r>
    </w:p>
    <w:p>
      <w:r>
        <w:t xml:space="preserve">genuinely bad 12-year run, a Growth portfolio compounds at </w:t>
      </w:r>
      <w:r>
        <w:rPr>
          <w:b/>
        </w:rPr>
        <w:t>−1.4% per year</w:t>
      </w:r>
      <w:r>
        <w:t>,</w:t>
      </w:r>
    </w:p>
    <w:p>
      <w:r>
        <w:t>not the −0.2%/yr a normal-distribution model would suggest. Conservative, by</w:t>
      </w:r>
    </w:p>
    <w:p>
      <w:r>
        <w:t>contrast, still eked out a small positive return even in its worst 5%.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191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c_f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Monte Carlo outcome fans for the four portfolios</w:t>
      </w:r>
    </w:p>
    <w:p>
      <w:r>
        <w:t>Asset-level distributions (</w:t>
      </w:r>
      <w:r>
        <w:rPr>
          <w:rFonts w:ascii="Consolas" w:hAnsi="Consolas"/>
          <w:sz w:val="18"/>
        </w:rPr>
        <w:t>data/mc_regime_assets.csv</w:t>
      </w:r>
      <w:r>
        <w:t>) confirm the earlier</w:t>
      </w:r>
    </w:p>
    <w:p>
      <w:r>
        <w:t>ranking: **Mexican local government bonds (5.7% median, 3.5% chance of a 12-year</w:t>
      </w:r>
    </w:p>
    <w:p>
      <w:r>
        <w:t>loss) and EM USD sovereigns (5.5% median, 2.6% loss probability)** remain the</w:t>
      </w:r>
    </w:p>
    <w:p>
      <w:r>
        <w:t>standout risk-adjusted holdings; **gold and commodities have a &gt;50% chance of</w:t>
      </w:r>
    </w:p>
    <w:p>
      <w:r>
        <w:t>failing to beat inflation** and belong in a portfolio for correlation, not return.</w:t>
      </w:r>
    </w:p>
    <w:p>
      <w:pPr>
        <w:pStyle w:val="Heading2"/>
      </w:pPr>
      <w:r>
        <w:rPr>
          <w:color w:val="1A3A5C"/>
        </w:rPr>
        <w:t>7.5 Deterministic geopolitical-stress scenario</w:t>
      </w:r>
    </w:p>
    <w:p>
      <w:r>
        <w:t>Separately from the simulation, a severe one-year geopolitical shock —</w:t>
      </w:r>
    </w:p>
    <w:p>
      <w:r>
        <w:t>2008/2020-magnitude: global equities −28% to −42%, high yield −14%, EM sovereign</w:t>
      </w:r>
    </w:p>
    <w:p>
      <w:r>
        <w:t>−16%, gold +15%, long Treasuries +12% — produces: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Portfolio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1-year impact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Conservative 30/70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−8.8%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 60/40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−18.0%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Growth 90/10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−27.2%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Edge-Tilted (moderate risk)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−20.2%</w:t>
            </w:r>
          </w:p>
        </w:tc>
      </w:tr>
    </w:tbl>
    <w:p/>
    <w:p>
      <w:r>
        <w:t xml:space="preserve">Note the Edge-Tilted portfolio loses </w:t>
      </w:r>
      <w:r>
        <w:rPr>
          <w:i/>
        </w:rPr>
        <w:t>more</w:t>
      </w:r>
      <w:r>
        <w:t xml:space="preserve"> than the conventional Moderate 60/40</w:t>
      </w:r>
    </w:p>
    <w:p>
      <w:r>
        <w:t>in this scenario (−20.2% vs −18.0%) — its EM and Latin American tilt sells off</w:t>
      </w:r>
    </w:p>
    <w:p>
      <w:r>
        <w:t>harder in a global risk-off. **That is the honest cost of the strategic edge:</w:t>
      </w:r>
    </w:p>
    <w:p>
      <w:r>
        <w:t>higher expected return and higher geopolitical-tail risk.** It should be sized as</w:t>
      </w:r>
    </w:p>
    <w:p>
      <w:r>
        <w:t>a deliberate, risk-budgeted decision.</w:t>
      </w:r>
    </w:p>
    <w:p>
      <w:pPr>
        <w:pStyle w:val="Heading2"/>
      </w:pPr>
      <w:r>
        <w:rPr>
          <w:color w:val="1A3A5C"/>
        </w:rPr>
        <w:t>7.6 Long-history validation (25 years of FX &amp; equity data)</w:t>
      </w:r>
    </w:p>
    <w:p>
      <w:r>
        <w:t>The regime model is calibrated on 2013–2026 ETF data — a window with no global</w:t>
      </w:r>
    </w:p>
    <w:p>
      <w:r>
        <w:t>financial crisis. To test whether that biases the result, the calibration was</w:t>
      </w:r>
    </w:p>
    <w:p>
      <w:r>
        <w:t>re-run on a longer, cleaner dataset: Shiller US equity since 2000 and 25 years of</w:t>
      </w:r>
    </w:p>
    <w:p>
      <w:r>
        <w:t xml:space="preserve">FxPro intraday FX history (EURUSD/USDJPY from 2000, USDMXN from 2007), which </w:t>
      </w:r>
      <w:r>
        <w:rPr>
          <w:i/>
        </w:rPr>
        <w:t>do</w:t>
      </w:r>
    </w:p>
    <w:p>
      <w:r>
        <w:t>include the 2008 GFC, the 2000–02 dot-com bust, and 2020.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2013–26 window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2000–26 (incl. crises)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Equity stress/calm vol multiple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1.61×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1.51×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Stable — model not biased by the benign window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MXN depreciation vs USD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2.5% assumed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2.43% realized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Assumption 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Worst equity month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Oct 2008 −20%, Mar 2020 −19%, Sep 2001 −11% (GPR spiked to 499)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Regime classifier catches real crises</w:t>
            </w:r>
          </w:p>
        </w:tc>
      </w:tr>
    </w:tbl>
    <w:p/>
    <w:p>
      <w:r>
        <w:t xml:space="preserve">Two things came out of this. First, the model </w:t>
      </w:r>
      <w:r>
        <w:rPr>
          <w:b/>
        </w:rPr>
        <w:t>survives the robustness check</w:t>
      </w:r>
      <w:r>
        <w:t xml:space="preserve"> —</w:t>
      </w:r>
    </w:p>
    <w:p>
      <w:r>
        <w:t>the regime amplification is a stable ~1.5–1.6× whether or not the GFC is in the</w:t>
      </w:r>
    </w:p>
    <w:p>
      <w:r>
        <w:t>sample, and the Mexican-peso depreciation assumption is confirmed almost exactly</w:t>
      </w:r>
    </w:p>
    <w:p>
      <w:r>
        <w:t xml:space="preserve">by 18 years of data. Second, a </w:t>
      </w:r>
      <w:r>
        <w:rPr>
          <w:b/>
        </w:rPr>
        <w:t>new finding</w:t>
      </w:r>
      <w:r>
        <w:t>: the **Mexican peso is the most</w:t>
      </w:r>
    </w:p>
    <w:p>
      <w:r>
        <w:t>regime-sensitive asset in the book</w:t>
      </w:r>
      <w:r>
        <w:rPr>
          <w:b/>
        </w:rPr>
        <w:t xml:space="preserve"> — USDMXN volatility amplifies </w:t>
      </w:r>
      <w:r>
        <w:t>1.85×** in</w:t>
      </w:r>
    </w:p>
    <w:p>
      <w:r>
        <w:t>stress regimes, more than equities (1.5×) or developed-market FX (1.2×). The</w:t>
      </w:r>
    </w:p>
    <w:p>
      <w:r>
        <w:t>peso-heavy Edge-Tilted portfolio therefore concentrates stress risk in the</w:t>
      </w:r>
    </w:p>
    <w:p>
      <w:r>
        <w:t>currency; that is a deliberate, identified exposure, not a hidden one.</w:t>
      </w:r>
    </w:p>
    <w:p>
      <w:pPr>
        <w:pStyle w:val="IntenseQuote"/>
      </w:pPr>
      <w:r>
        <w:rPr>
          <w:i/>
        </w:rPr>
        <w:t>Data-quality note:</w:t>
      </w:r>
      <w:r>
        <w:t xml:space="preserve"> the FxPro index-CFD series (#USNDAQ100 etc.) were found to</w:t>
      </w:r>
    </w:p>
    <w:p>
      <w:pPr>
        <w:pStyle w:val="IntenseQuote"/>
      </w:pPr>
      <w:r>
        <w:t xml:space="preserve">have spurious year-boundary jumps in early years and were </w:t>
      </w:r>
      <w:r>
        <w:rPr>
          <w:b/>
        </w:rPr>
        <w:t>excluded</w:t>
      </w:r>
      <w:r>
        <w:t>; only the</w:t>
      </w:r>
    </w:p>
    <w:p>
      <w:pPr>
        <w:pStyle w:val="IntenseQuote"/>
      </w:pPr>
      <w:r>
        <w:t>clean continuous FX-pair data and Shiller's equity series were used.</w:t>
      </w:r>
    </w:p>
    <w:p>
      <w:pPr>
        <w:pStyle w:val="Heading1"/>
      </w:pPr>
      <w:r>
        <w:rPr>
          <w:color w:val="1A3A5C"/>
        </w:rPr>
        <w:t>8. Strategic-Edge Scan</w:t>
      </w:r>
    </w:p>
    <w:p>
      <w:pPr>
        <w:pStyle w:val="Heading2"/>
      </w:pPr>
      <w:r>
        <w:rPr>
          <w:color w:val="1A3A5C"/>
        </w:rPr>
        <w:t>8.1 Highest expected return (base case)</w:t>
      </w:r>
    </w:p>
    <w:p>
      <w:r>
        <w:t>Brazil 8.8% · Mexico &amp; EM 8.0% · DM ex-US 7.7% · China 7.4% · UK 7.0%</w:t>
      </w:r>
    </w:p>
    <w:p>
      <w:pPr>
        <w:pStyle w:val="Heading2"/>
      </w:pPr>
      <w:r>
        <w:rPr>
          <w:color w:val="1A3A5C"/>
        </w:rPr>
        <w:t>8.2 Best risk-adjusted (return per unit of volatility)</w:t>
      </w:r>
    </w:p>
    <w:p>
      <w:r>
        <w:t xml:space="preserve">DM ex-US equity 0.28 · EM USD sovereign 0.27 · </w:t>
      </w:r>
      <w:r>
        <w:rPr>
          <w:b/>
        </w:rPr>
        <w:t>Mexican local govt bonds 0.27</w:t>
      </w:r>
    </w:p>
    <w:p>
      <w:r>
        <w:t>· EM equity 0.25 · US Large Cap 0.24</w:t>
      </w:r>
    </w:p>
    <w:p>
      <w:pPr>
        <w:pStyle w:val="Heading2"/>
      </w:pPr>
      <w:r>
        <w:rPr>
          <w:color w:val="1A3A5C"/>
        </w:rPr>
        <w:t>8.3 Smallest "valuation bet"</w:t>
      </w:r>
    </w:p>
    <w:p>
      <w:r>
        <w:t>EM equity (0.0pp), Brazil (0.2pp), US Small Cap &amp; France (0.4–0.5pp) barely move</w:t>
      </w:r>
    </w:p>
    <w:p>
      <w:r>
        <w:t xml:space="preserve">with λ. </w:t>
      </w:r>
      <w:r>
        <w:rPr>
          <w:b/>
        </w:rPr>
        <w:t>US Large Cap (2.4pp) and UK (1.9pp) carry the largest valuation risk.</w:t>
      </w:r>
    </w:p>
    <w:p>
      <w:pPr>
        <w:pStyle w:val="Heading2"/>
      </w:pPr>
      <w:r>
        <w:rPr>
          <w:color w:val="1A3A5C"/>
        </w:rPr>
        <w:t>8.4 The five edges this LTCMA identifies</w:t>
      </w:r>
    </w:p>
    <w:p>
      <w:pPr>
        <w:pStyle w:val="ListNumber"/>
      </w:pPr>
      <w:r>
        <w:rPr>
          <w:b/>
        </w:rPr>
        <w:t>Sell expensive US beta, buy cheap ex-US beta.</w:t>
      </w:r>
      <w:r>
        <w:t xml:space="preserve"> US large-cap has the lowest</w:t>
      </w:r>
    </w:p>
    <w:p>
      <w:r>
        <w:t xml:space="preserve">   equity return </w:t>
      </w:r>
      <w:r>
        <w:rPr>
          <w:i/>
        </w:rPr>
        <w:t>and</w:t>
      </w:r>
      <w:r>
        <w:t xml:space="preserve"> the highest valuation risk; DM ex-US and EM offer more</w:t>
      </w:r>
    </w:p>
    <w:p>
      <w:r>
        <w:t xml:space="preserve">   return with less valuation risk. Highest-conviction edge.</w:t>
      </w:r>
    </w:p>
    <w:p>
      <w:pPr>
        <w:pStyle w:val="ListNumber"/>
      </w:pPr>
      <w:r>
        <w:rPr>
          <w:b/>
        </w:rPr>
        <w:t>Mexican local government bonds are the standout fixed-income holding.</w:t>
      </w:r>
    </w:p>
    <w:p>
      <w:r>
        <w:t xml:space="preserve">   ~6.3% USD return, and the simulation confirms an outstanding downside profile</w:t>
      </w:r>
    </w:p>
    <w:p>
      <w:r>
        <w:t xml:space="preserve">   (3.5% loss probability). The ~4.4% real yield is a thick cushion against MXN</w:t>
      </w:r>
    </w:p>
    <w:p>
      <w:r>
        <w:t xml:space="preserve">   depreciation.</w:t>
      </w:r>
    </w:p>
    <w:p>
      <w:pPr>
        <w:pStyle w:val="ListNumber"/>
      </w:pPr>
      <w:r>
        <w:rPr>
          <w:b/>
        </w:rPr>
        <w:t>EM USD sovereign debt over US credit.</w:t>
      </w:r>
      <w:r>
        <w:t xml:space="preserve"> 6.0% vs 5.0%, similar volatility,</w:t>
      </w:r>
    </w:p>
    <w:p>
      <w:r>
        <w:t xml:space="preserve">   the best inflation-beating odds in the book, and it avoids the tight-spread</w:t>
      </w:r>
    </w:p>
    <w:p>
      <w:r>
        <w:t xml:space="preserve">   compression risk in US IG and HY.</w:t>
      </w:r>
    </w:p>
    <w:p>
      <w:pPr>
        <w:pStyle w:val="ListNumber"/>
      </w:pPr>
      <w:r>
        <w:rPr>
          <w:b/>
        </w:rPr>
        <w:t>Use gold and commodities for diversification, not return.</w:t>
      </w:r>
      <w:r>
        <w:t xml:space="preserve"> With the</w:t>
      </w:r>
    </w:p>
    <w:p>
      <w:r>
        <w:t xml:space="preserve">   stock/bond correlation no longer dependably negative, and gold the </w:t>
      </w:r>
      <w:r>
        <w:rPr>
          <w:i/>
        </w:rPr>
        <w:t>least</w:t>
      </w:r>
    </w:p>
    <w:p>
      <w:r>
        <w:t xml:space="preserve">   volatility-amplified asset in stress regimes (1.2×), it is a structural hedge —</w:t>
      </w:r>
    </w:p>
    <w:p>
      <w:r>
        <w:t xml:space="preserve">   but the simulation is blunt that it rarely beats inflation, so size it as one.</w:t>
      </w:r>
    </w:p>
    <w:p>
      <w:pPr>
        <w:pStyle w:val="ListNumber"/>
      </w:pPr>
      <w:r>
        <w:rPr>
          <w:b/>
        </w:rPr>
        <w:t>Don't fight the curve on rates.</w:t>
      </w:r>
      <w:r>
        <w:t xml:space="preserve"> The market prices no cuts; positioning</w:t>
      </w:r>
    </w:p>
    <w:p>
      <w:r>
        <w:t xml:space="preserve">   long duration </w:t>
      </w:r>
      <w:r>
        <w:rPr>
          <w:i/>
        </w:rPr>
        <w:t>for</w:t>
      </w:r>
      <w:r>
        <w:t xml:space="preserve"> an easing tailwind is a bet against what is priced in.</w:t>
      </w:r>
    </w:p>
    <w:p>
      <w:r>
        <w:t xml:space="preserve">   Carry — EM and Mexican local rates — is the better-paid risk.</w:t>
      </w:r>
    </w:p>
    <w:p>
      <w:r>
        <w:rPr>
          <w:b/>
        </w:rPr>
        <w:t>Contrarian watch-item:</w:t>
      </w:r>
      <w:r>
        <w:t xml:space="preserve"> China is cheap with decent growth, but deflation and</w:t>
      </w:r>
    </w:p>
    <w:p>
      <w:r>
        <w:t>policy risk are real. A diversified EM allocation, not a standalone overweight.</w:t>
      </w:r>
    </w:p>
    <w:p>
      <w:pPr>
        <w:pStyle w:val="Heading1"/>
      </w:pPr>
      <w:r>
        <w:rPr>
          <w:color w:val="1A3A5C"/>
        </w:rPr>
        <w:t>9. Sample Portfolios</w:t>
      </w:r>
    </w:p>
    <w:p>
      <w:r>
        <w:t>Three conventional risk-ladder portfolios plus an Edge-Tilted variant, each run</w:t>
      </w:r>
    </w:p>
    <w:p>
      <w:r>
        <w:t>through the regime-switching engine (annually rebalanced).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Portfolio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Mean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Median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5th–95th range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CVaR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Geopolitical scenario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P(&lt; inflation)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Conservative 30/70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5.0%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5.0%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1.7% – 8.5%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+0.8%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−8.8%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10%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 60/40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5.8%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5.7%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1.1% – 10.6%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−0.1%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−18.0%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12%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Growth 90/10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6.3%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6.2%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0.2% – 12.6%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−1.4%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−27.2%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15%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Edge-Tilted (moderate risk)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5.9%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5.8%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0.7% – 11.2%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−0.6%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−20.2%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14%</w:t>
            </w:r>
          </w:p>
        </w:tc>
      </w:tr>
    </w:tbl>
    <w:p/>
    <w:p>
      <w:r>
        <w:t xml:space="preserve">The </w:t>
      </w:r>
      <w:r>
        <w:rPr>
          <w:b/>
        </w:rPr>
        <w:t>Edge-Tilted</w:t>
      </w:r>
      <w:r>
        <w:t xml:space="preserve"> portfolio underweights US large-cap, overweights EM/DM-ex-US</w:t>
      </w:r>
    </w:p>
    <w:p>
      <w:r>
        <w:t>and Japan equity, and replaces much of the bond sleeve with EM USD sovereign</w:t>
      </w:r>
    </w:p>
    <w:p>
      <w:r>
        <w:t>debt, Mexican local government bonds, TIPS, and gold. It delivers a **higher</w:t>
      </w:r>
    </w:p>
    <w:p>
      <w:r>
        <w:t>median than the conventional Moderate 60/40 at a similar central risk profile** —</w:t>
      </w:r>
    </w:p>
    <w:p>
      <w:r>
        <w:t>but, as Section 7.5 shows, it carries more geopolitical-tail risk. The edge is</w:t>
      </w:r>
    </w:p>
    <w:p>
      <w:r>
        <w:t>real and should be taken deliberately, not by accident. Allocations are in</w:t>
      </w:r>
    </w:p>
    <w:p>
      <w:r>
        <w:rPr>
          <w:rFonts w:ascii="Consolas" w:hAnsi="Consolas"/>
          <w:sz w:val="18"/>
        </w:rPr>
        <w:t>data/mc_regime_portfolios.csv</w:t>
      </w:r>
      <w:r>
        <w:t xml:space="preserve"> and the scripts.</w:t>
      </w:r>
    </w:p>
    <w:p>
      <w:pPr>
        <w:pStyle w:val="Heading1"/>
      </w:pPr>
      <w:r>
        <w:rPr>
          <w:color w:val="1A3A5C"/>
        </w:rPr>
        <w:t>10. Assumptions, Limitations &amp; Sources</w:t>
      </w:r>
    </w:p>
    <w:p>
      <w:pPr>
        <w:pStyle w:val="Heading2"/>
      </w:pPr>
      <w:r>
        <w:rPr>
          <w:color w:val="1A3A5C"/>
        </w:rPr>
        <w:t>10.1 Key judgment assumptions</w:t>
      </w:r>
    </w:p>
    <w:p>
      <w:pPr>
        <w:pStyle w:val="ListBullet"/>
      </w:pPr>
      <w:r>
        <w:rPr>
          <w:b/>
        </w:rPr>
        <w:t>US long-run inflation: 2.4%</w:t>
      </w:r>
      <w:r>
        <w:t xml:space="preserve"> — confirmed close to the 2.5% the market prices.</w:t>
      </w:r>
    </w:p>
    <w:p>
      <w:pPr>
        <w:pStyle w:val="ListBullet"/>
      </w:pPr>
      <w:r>
        <w:rPr>
          <w:b/>
        </w:rPr>
        <w:t>Fair-value valuation anchors:</w:t>
      </w:r>
      <w:r>
        <w:t xml:space="preserve"> US CAPE 26 (Shiller-confirmed); China 15,</w:t>
      </w:r>
    </w:p>
    <w:p>
      <w:r>
        <w:t xml:space="preserve">  Japan 25, UK 16, France 20, EM 16 remain judgment anchors (no long CAPE history</w:t>
      </w:r>
    </w:p>
    <w:p>
      <w:r>
        <w:t xml:space="preserve">  sourced for these) — the most subjective inputs, exposed via the λ dial.</w:t>
      </w:r>
    </w:p>
    <w:p>
      <w:pPr>
        <w:pStyle w:val="ListBullet"/>
      </w:pPr>
      <w:r>
        <w:rPr>
          <w:b/>
        </w:rPr>
        <w:t>Real EPS growth</w:t>
      </w:r>
      <w:r>
        <w:t xml:space="preserve"> is set below trend GDP for most markets (share dilution);</w:t>
      </w:r>
    </w:p>
    <w:p>
      <w:r>
        <w:t xml:space="preserve">  the US is held near trend (buybacks offset dilution).</w:t>
      </w:r>
    </w:p>
    <w:p>
      <w:pPr>
        <w:pStyle w:val="ListBullet"/>
      </w:pPr>
      <w:r>
        <w:rPr>
          <w:b/>
        </w:rPr>
        <w:t>Regime means held equal across calm/stress</w:t>
      </w:r>
      <w:r>
        <w:t xml:space="preserve"> — the 2013–2026 sample does not</w:t>
      </w:r>
    </w:p>
    <w:p>
      <w:r>
        <w:t xml:space="preserve">  reliably identify a stress mean shift; imposing one would overfit (see 7.2).</w:t>
      </w:r>
    </w:p>
    <w:p>
      <w:pPr>
        <w:pStyle w:val="ListBullet"/>
      </w:pPr>
      <w:r>
        <w:rPr>
          <w:b/>
        </w:rPr>
        <w:t>Student-t with ν=6</w:t>
      </w:r>
      <w:r>
        <w:t xml:space="preserve"> for fat tails; regime-switching adds tail clustering.</w:t>
      </w:r>
    </w:p>
    <w:p>
      <w:pPr>
        <w:pStyle w:val="Heading2"/>
      </w:pPr>
      <w:r>
        <w:rPr>
          <w:color w:val="1A3A5C"/>
        </w:rPr>
        <w:t>10.2 Limitations</w:t>
      </w:r>
    </w:p>
    <w:p>
      <w:pPr>
        <w:pStyle w:val="ListBullet"/>
      </w:pPr>
      <w:r>
        <w:rPr>
          <w:b/>
        </w:rPr>
        <w:t>No paid data.</w:t>
      </w:r>
      <w:r>
        <w:t xml:space="preserve"> Valuations rely on Yahoo Finance ETF data and Siblis Research</w:t>
      </w:r>
    </w:p>
    <w:p>
      <w:r>
        <w:t xml:space="preserve">  CAPE; ETF distribution yields were hand-adjusted toward true dividend yields.</w:t>
      </w:r>
    </w:p>
    <w:p>
      <w:pPr>
        <w:pStyle w:val="ListBullet"/>
      </w:pPr>
      <w:r>
        <w:rPr>
          <w:b/>
        </w:rPr>
        <w:t>ETF proxies, not indices</w:t>
      </w:r>
      <w:r>
        <w:t>, for current-regime prices; the regional long</w:t>
      </w:r>
    </w:p>
    <w:p>
      <w:r>
        <w:t xml:space="preserve">  history (French) proxies some single-country exposures (France/UK use European</w:t>
      </w:r>
    </w:p>
    <w:p>
      <w:r>
        <w:t xml:space="preserve">  data).</w:t>
      </w:r>
    </w:p>
    <w:p>
      <w:pPr>
        <w:pStyle w:val="ListBullet"/>
      </w:pPr>
      <w:r>
        <w:rPr>
          <w:b/>
        </w:rPr>
        <w:t>Mexican local govt bonds</w:t>
      </w:r>
      <w:r>
        <w:t xml:space="preserve"> have no clean USD price series — return computed</w:t>
      </w:r>
    </w:p>
    <w:p>
      <w:r>
        <w:t xml:space="preserve">  from yield, risk statistics proxied from EM local debt.</w:t>
      </w:r>
    </w:p>
    <w:p>
      <w:pPr>
        <w:pStyle w:val="ListBullet"/>
      </w:pPr>
      <w:r>
        <w:rPr>
          <w:b/>
        </w:rPr>
        <w:t>The regime model is primarily calibrated on 2013–2026</w:t>
      </w:r>
      <w:r>
        <w:t>, but the calibration</w:t>
      </w:r>
    </w:p>
    <w:p>
      <w:r>
        <w:t xml:space="preserve">  has been validated against 25 years of FX/equity history including 2008 and</w:t>
      </w:r>
    </w:p>
    <w:p>
      <w:r>
        <w:t xml:space="preserve">  2020 (Section 7.6); the deterministic scenario (7.5) imports crisis-magnitude</w:t>
      </w:r>
    </w:p>
    <w:p>
      <w:r>
        <w:t xml:space="preserve">  shocks explicitly.</w:t>
      </w:r>
    </w:p>
    <w:p>
      <w:pPr>
        <w:pStyle w:val="ListBullet"/>
      </w:pPr>
      <w:r>
        <w:rPr>
          <w:b/>
        </w:rPr>
        <w:t>FX/index data quality:</w:t>
      </w:r>
      <w:r>
        <w:t xml:space="preserve"> the FxPro intraday FX pairs are clean; the broker's</w:t>
      </w:r>
    </w:p>
    <w:p>
      <w:r>
        <w:t xml:space="preserve">  index-CFD series had year-boundary artifacts and were excluded (see 7.6).</w:t>
      </w:r>
    </w:p>
    <w:p>
      <w:pPr>
        <w:pStyle w:val="ListBullet"/>
      </w:pPr>
      <w:r>
        <w:t xml:space="preserve">This is the </w:t>
      </w:r>
      <w:r>
        <w:rPr>
          <w:b/>
        </w:rPr>
        <w:t>strategic (Step 1)</w:t>
      </w:r>
      <w:r>
        <w:t xml:space="preserve"> layer only.</w:t>
      </w:r>
    </w:p>
    <w:p>
      <w:pPr>
        <w:pStyle w:val="Heading2"/>
      </w:pPr>
      <w:r>
        <w:rPr>
          <w:color w:val="1A3A5C"/>
        </w:rPr>
        <w:t>10.3 Data sources</w:t>
      </w:r>
    </w:p>
    <w:p>
      <w:pPr>
        <w:pStyle w:val="ListBullet"/>
      </w:pPr>
      <w:r>
        <w:t>Prices / returns: Yahoo Finance (</w:t>
      </w:r>
      <w:r>
        <w:rPr>
          <w:rFonts w:ascii="Consolas" w:hAnsi="Consolas"/>
          <w:sz w:val="18"/>
        </w:rPr>
        <w:t>yfinance</w:t>
      </w:r>
      <w:r>
        <w:t>), monthly, dividend-adjusted.</w:t>
      </w:r>
    </w:p>
    <w:p>
      <w:pPr>
        <w:pStyle w:val="ListBullet"/>
      </w:pPr>
      <w:r>
        <w:t>Yields, curve, spreads, breakevens, VIX, EPU, macro: Federal Reserve (FRED).</w:t>
      </w:r>
    </w:p>
    <w:p>
      <w:pPr>
        <w:pStyle w:val="ListBullet"/>
      </w:pPr>
      <w:r>
        <w:t>Geopolitical Risk index: Caldara &amp; Iacoviello (matteoiacoviello.com).</w:t>
      </w:r>
    </w:p>
    <w:p>
      <w:pPr>
        <w:pStyle w:val="ListBullet"/>
      </w:pPr>
      <w:r>
        <w:t>Long history: Damodaran/NYU Stern (1928+), Shiller (1871+), Ken French (1990+).</w:t>
      </w:r>
    </w:p>
    <w:p>
      <w:pPr>
        <w:pStyle w:val="ListBullet"/>
      </w:pPr>
      <w:r>
        <w:t>Intraday FX: FxPro MetaTrader 5 M5 data (2000+), aggregated to monthly.</w:t>
      </w:r>
    </w:p>
    <w:p>
      <w:pPr>
        <w:pStyle w:val="ListBullet"/>
      </w:pPr>
      <w:r>
        <w:t>Equity risk premiums: Damodaran 2026. CAPE: Siblis Research (Dec 2025).</w:t>
      </w:r>
    </w:p>
    <w:p>
      <w:pPr>
        <w:pStyle w:val="ListBullet"/>
      </w:pPr>
      <w:r>
        <w:t>Policy rates / inflation: Banco de México, central bank releases.</w:t>
      </w:r>
    </w:p>
    <w:p>
      <w:pPr>
        <w:pStyle w:val="ListBullet"/>
      </w:pPr>
      <w:r>
        <w:t>Consensus cross-check: 2026 LTCMAs (Schwab, BlackRock, BNY, Vanguard, Northern</w:t>
      </w:r>
    </w:p>
    <w:p>
      <w:r>
        <w:t xml:space="preserve">  Trust, J.P. Morgan); Horizon Actuarial survey recommended for recalibration.</w:t>
      </w:r>
    </w:p>
    <w:p>
      <w:pPr>
        <w:pStyle w:val="Heading2"/>
      </w:pPr>
      <w:r>
        <w:rPr>
          <w:color w:val="1A3A5C"/>
        </w:rPr>
        <w:t>10.4 Reproducibility</w:t>
      </w:r>
    </w:p>
    <w:p>
      <w:r>
        <w:t xml:space="preserve">All figures regenerate from the scripts in </w:t>
      </w:r>
      <w:r>
        <w:rPr>
          <w:rFonts w:ascii="Consolas" w:hAnsi="Consolas"/>
          <w:sz w:val="18"/>
        </w:rPr>
        <w:t>~/LTCMA/scripts</w:t>
      </w:r>
      <w:r>
        <w:t xml:space="preserve"> (WSL, </w:t>
      </w:r>
      <w:r>
        <w:rPr>
          <w:rFonts w:ascii="Consolas" w:hAnsi="Consolas"/>
          <w:sz w:val="18"/>
        </w:rPr>
        <w:t>cudf-env</w:t>
      </w:r>
      <w:r>
        <w:t>):</w:t>
      </w:r>
    </w:p>
    <w:p>
      <w:r>
        <w:rPr>
          <w:rFonts w:ascii="Consolas" w:hAnsi="Consolas"/>
          <w:sz w:val="18"/>
        </w:rPr>
        <w:t>01</w:t>
      </w:r>
      <w:r>
        <w:t>–</w:t>
      </w:r>
      <w:r>
        <w:rPr>
          <w:rFonts w:ascii="Consolas" w:hAnsi="Consolas"/>
          <w:sz w:val="18"/>
        </w:rPr>
        <w:t>02</w:t>
      </w:r>
      <w:r>
        <w:t xml:space="preserve"> data · </w:t>
      </w:r>
      <w:r>
        <w:rPr>
          <w:rFonts w:ascii="Consolas" w:hAnsi="Consolas"/>
          <w:sz w:val="18"/>
        </w:rPr>
        <w:t>03</w:t>
      </w:r>
      <w:r>
        <w:t>–</w:t>
      </w:r>
      <w:r>
        <w:rPr>
          <w:rFonts w:ascii="Consolas" w:hAnsi="Consolas"/>
          <w:sz w:val="18"/>
        </w:rPr>
        <w:t>04</w:t>
      </w:r>
      <w:r>
        <w:t xml:space="preserve"> returns/portfolios · </w:t>
      </w:r>
      <w:r>
        <w:rPr>
          <w:rFonts w:ascii="Consolas" w:hAnsi="Consolas"/>
          <w:sz w:val="18"/>
        </w:rPr>
        <w:t>05a</w:t>
      </w:r>
      <w:r>
        <w:t>–</w:t>
      </w:r>
      <w:r>
        <w:rPr>
          <w:rFonts w:ascii="Consolas" w:hAnsi="Consolas"/>
          <w:sz w:val="18"/>
        </w:rPr>
        <w:t>05b</w:t>
      </w:r>
      <w:r>
        <w:t xml:space="preserve"> long history ·</w:t>
      </w:r>
    </w:p>
    <w:p>
      <w:r>
        <w:rPr>
          <w:rFonts w:ascii="Consolas" w:hAnsi="Consolas"/>
          <w:sz w:val="18"/>
        </w:rPr>
        <w:t>06</w:t>
      </w:r>
      <w:r>
        <w:t xml:space="preserve"> shrinkage risk model · </w:t>
      </w:r>
      <w:r>
        <w:rPr>
          <w:rFonts w:ascii="Consolas" w:hAnsi="Consolas"/>
          <w:sz w:val="18"/>
        </w:rPr>
        <w:t>07</w:t>
      </w:r>
      <w:r>
        <w:t xml:space="preserve"> Monte Carlo · </w:t>
      </w:r>
      <w:r>
        <w:rPr>
          <w:rFonts w:ascii="Consolas" w:hAnsi="Consolas"/>
          <w:sz w:val="18"/>
        </w:rPr>
        <w:t>08</w:t>
      </w:r>
      <w:r>
        <w:t>–</w:t>
      </w:r>
      <w:r>
        <w:rPr>
          <w:rFonts w:ascii="Consolas" w:hAnsi="Consolas"/>
          <w:sz w:val="18"/>
        </w:rPr>
        <w:t>09</w:t>
      </w:r>
      <w:r>
        <w:t xml:space="preserve"> signals &amp; priced-in ·</w:t>
      </w:r>
    </w:p>
    <w:p>
      <w:r>
        <w:rPr>
          <w:rFonts w:ascii="Consolas" w:hAnsi="Consolas"/>
          <w:sz w:val="18"/>
        </w:rPr>
        <w:t>10</w:t>
      </w:r>
      <w:r>
        <w:t xml:space="preserve"> regimes · </w:t>
      </w:r>
      <w:r>
        <w:rPr>
          <w:rFonts w:ascii="Consolas" w:hAnsi="Consolas"/>
          <w:sz w:val="18"/>
        </w:rPr>
        <w:t>11</w:t>
      </w:r>
      <w:r>
        <w:t xml:space="preserve"> regime-switching GPU Monte Carlo · </w:t>
      </w:r>
      <w:r>
        <w:rPr>
          <w:rFonts w:ascii="Consolas" w:hAnsi="Consolas"/>
          <w:sz w:val="18"/>
        </w:rPr>
        <w:t>13</w:t>
      </w:r>
      <w:r>
        <w:t>–</w:t>
      </w:r>
      <w:r>
        <w:rPr>
          <w:rFonts w:ascii="Consolas" w:hAnsi="Consolas"/>
          <w:sz w:val="18"/>
        </w:rPr>
        <w:t>14</w:t>
      </w:r>
      <w:r>
        <w:t xml:space="preserve"> FX ingest &amp;</w:t>
      </w:r>
    </w:p>
    <w:p>
      <w:r>
        <w:t xml:space="preserve">long-history validation · </w:t>
      </w:r>
      <w:r>
        <w:rPr>
          <w:rFonts w:ascii="Consolas" w:hAnsi="Consolas"/>
          <w:sz w:val="18"/>
        </w:rPr>
        <w:t>15</w:t>
      </w:r>
      <w:r>
        <w:t xml:space="preserve"> visualizations · </w:t>
      </w:r>
      <w:r>
        <w:rPr>
          <w:rFonts w:ascii="Consolas" w:hAnsi="Consolas"/>
          <w:sz w:val="18"/>
        </w:rPr>
        <w:t>12</w:t>
      </w:r>
      <w:r>
        <w:t xml:space="preserve"> Word/PDF rendering.</w:t>
      </w:r>
    </w:p>
    <w:p>
      <w:r>
        <w:t>*Prepared 18 May 2026. Expected returns are forward-looking estimates, not</w:t>
      </w:r>
    </w:p>
    <w:p>
      <w:r>
        <w:t>guarantees; actual outcomes will differ. For internal strategic-allocation use.*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