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E9D" w:rsidRPr="00960E9D" w:rsidRDefault="00960E9D" w:rsidP="00960E9D">
      <w:pPr>
        <w:spacing w:after="0" w:line="240" w:lineRule="auto"/>
        <w:rPr>
          <w:rFonts w:ascii="Calibri" w:eastAsia="Times New Roman" w:hAnsi="Calibri" w:cs="Times New Roman"/>
          <w:color w:val="1E4E79"/>
          <w:sz w:val="32"/>
          <w:szCs w:val="32"/>
        </w:rPr>
      </w:pPr>
      <w:r>
        <w:rPr>
          <w:rFonts w:ascii="Calibri" w:eastAsia="Times New Roman" w:hAnsi="Calibri" w:cs="Times New Roman"/>
          <w:color w:val="1E4E79"/>
          <w:sz w:val="32"/>
          <w:szCs w:val="32"/>
        </w:rPr>
        <w:t>Script metadata</w:t>
      </w:r>
      <w:bookmarkStart w:id="0" w:name="_GoBack"/>
      <w:bookmarkEnd w:id="0"/>
    </w:p>
    <w:p w:rsidR="00960E9D" w:rsidRPr="00960E9D" w:rsidRDefault="00960E9D" w:rsidP="00960E9D">
      <w:pPr>
        <w:numPr>
          <w:ilvl w:val="0"/>
          <w:numId w:val="34"/>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Prep NHD Data</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5" w:history="1">
        <w:r w:rsidRPr="00960E9D">
          <w:rPr>
            <w:rFonts w:ascii="Calibri" w:eastAsia="Times New Roman" w:hAnsi="Calibri" w:cs="Times New Roman"/>
            <w:color w:val="0000FF"/>
            <w:sz w:val="18"/>
            <w:szCs w:val="18"/>
            <w:u w:val="single"/>
            <w:shd w:val="clear" w:color="auto" w:fill="CCFFCC"/>
          </w:rPr>
          <w:t>EEP_PrepData.py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Extracts data stored on the GIS Server, clipped to the boundary of all NHD catchments within the user defined HUC 6. All layers produced are projected to USA Contiguous Albers Equal Area Conic, USGS version {WKID: 102039}. Data are stored in a newly created geodatabase labeled by the supplied HUC 6 id.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br/>
        <w:t>Output data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5475"/>
        <w:gridCol w:w="1695"/>
      </w:tblGrid>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HUC 6 watershed boundaries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HUC6</w:t>
            </w:r>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HUC12 features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HUC12</w:t>
            </w:r>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(v2) Flowlines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NHDFlowlines</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NHD+ (v2) Flow-line midpoints </w:t>
            </w:r>
            <w:r w:rsidRPr="00960E9D">
              <w:rPr>
                <w:rFonts w:ascii="Calibri" w:eastAsia="Times New Roman" w:hAnsi="Calibri" w:cs="Times New Roman"/>
                <w:i/>
                <w:iCs/>
                <w:sz w:val="20"/>
                <w:szCs w:val="20"/>
              </w:rPr>
              <w:t>*(calculated from NHD flowlines)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FlowlineMidPts</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(v2) Catchment features</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NHDCatchments</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Mask polygon</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MaskPoly</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Mask raster (30m)</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Mask</w:t>
            </w:r>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NHD+ (v2) </w:t>
            </w:r>
            <w:proofErr w:type="spellStart"/>
            <w:r w:rsidRPr="00960E9D">
              <w:rPr>
                <w:rFonts w:ascii="Calibri" w:eastAsia="Times New Roman" w:hAnsi="Calibri" w:cs="Times New Roman"/>
                <w:sz w:val="20"/>
                <w:szCs w:val="20"/>
              </w:rPr>
              <w:t>elev_cm</w:t>
            </w:r>
            <w:proofErr w:type="spellEnd"/>
            <w:r w:rsidRPr="00960E9D">
              <w:rPr>
                <w:rFonts w:ascii="Calibri" w:eastAsia="Times New Roman" w:hAnsi="Calibri" w:cs="Times New Roman"/>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Elev_cm</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NHD+ (v2) </w:t>
            </w:r>
            <w:proofErr w:type="spellStart"/>
            <w:r w:rsidRPr="00960E9D">
              <w:rPr>
                <w:rFonts w:ascii="Calibri" w:eastAsia="Times New Roman" w:hAnsi="Calibri" w:cs="Times New Roman"/>
                <w:sz w:val="20"/>
                <w:szCs w:val="20"/>
              </w:rPr>
              <w:t>flowdir</w:t>
            </w:r>
            <w:proofErr w:type="spellEnd"/>
            <w:r w:rsidRPr="00960E9D">
              <w:rPr>
                <w:rFonts w:ascii="Calibri" w:eastAsia="Times New Roman" w:hAnsi="Calibri" w:cs="Times New Roman"/>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flowdir</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NHD+ (v2) </w:t>
            </w:r>
            <w:proofErr w:type="spellStart"/>
            <w:r w:rsidRPr="00960E9D">
              <w:rPr>
                <w:rFonts w:ascii="Calibri" w:eastAsia="Times New Roman" w:hAnsi="Calibri" w:cs="Times New Roman"/>
                <w:sz w:val="20"/>
                <w:szCs w:val="20"/>
              </w:rPr>
              <w:t>flowdirnull</w:t>
            </w:r>
            <w:proofErr w:type="spellEnd"/>
            <w:r w:rsidRPr="00960E9D">
              <w:rPr>
                <w:rFonts w:ascii="Calibri" w:eastAsia="Times New Roman" w:hAnsi="Calibri" w:cs="Times New Roman"/>
                <w:sz w:val="20"/>
                <w:szCs w:val="20"/>
              </w:rPr>
              <w:t xml:space="preserve">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fdrnull</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(v2) catchment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cat</w:t>
            </w:r>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NLCD 2011 land cover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nlcd_2011</w:t>
            </w:r>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NLCD 2011 canopy cover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i/>
                <w:iCs/>
                <w:sz w:val="20"/>
                <w:szCs w:val="20"/>
              </w:rPr>
              <w:t>canopycov</w:t>
            </w:r>
            <w:proofErr w:type="spellEnd"/>
          </w:p>
        </w:tc>
      </w:tr>
      <w:tr w:rsidR="00960E9D" w:rsidRPr="00960E9D" w:rsidTr="00960E9D">
        <w:tc>
          <w:tcPr>
            <w:tcW w:w="54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NLCD 2011 percent impervious raster</w:t>
            </w:r>
          </w:p>
        </w:tc>
        <w:tc>
          <w:tcPr>
            <w:tcW w:w="169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i/>
                <w:iCs/>
                <w:sz w:val="20"/>
                <w:szCs w:val="20"/>
              </w:rPr>
              <w:t>impervious</w:t>
            </w:r>
          </w:p>
        </w:tc>
      </w:tr>
    </w:tbl>
    <w:p w:rsidR="00960E9D" w:rsidRPr="00960E9D" w:rsidRDefault="00960E9D" w:rsidP="00960E9D">
      <w:pPr>
        <w:spacing w:after="0" w:line="240" w:lineRule="auto"/>
        <w:ind w:left="108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numPr>
          <w:ilvl w:val="0"/>
          <w:numId w:val="35"/>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Extract ESRI Landscape Data</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6" w:history="1">
        <w:r w:rsidRPr="00960E9D">
          <w:rPr>
            <w:rFonts w:ascii="Calibri" w:eastAsia="Times New Roman" w:hAnsi="Calibri" w:cs="Times New Roman"/>
            <w:color w:val="0000FF"/>
            <w:sz w:val="18"/>
            <w:szCs w:val="18"/>
            <w:u w:val="single"/>
            <w:shd w:val="clear" w:color="auto" w:fill="CCFFCC"/>
          </w:rPr>
          <w:t>EEP_ExtractESRILandscapeData.py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Extracts data from ESRI's Landscape Layer collection and computes a specified zonal statistic on it for each NHD catchment. The output is added as a table called Landscape in the supplied HUC6 geodatabases.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Output statistics [currently]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59"/>
        <w:gridCol w:w="4804"/>
        <w:gridCol w:w="1897"/>
      </w:tblGrid>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COMID</w:t>
            </w:r>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Catchment ID</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FeatureID</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Feature ID</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Flooding_SUM</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Sum of flooding frequency values within a catchment</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hyperlink r:id="rId7" w:history="1">
              <w:r w:rsidRPr="00960E9D">
                <w:rPr>
                  <w:rFonts w:ascii="Calibri" w:eastAsia="Times New Roman" w:hAnsi="Calibri" w:cs="Times New Roman"/>
                  <w:color w:val="0000FF"/>
                  <w:sz w:val="20"/>
                  <w:szCs w:val="20"/>
                  <w:u w:val="single"/>
                </w:rPr>
                <w:t>USA Soils Flooding Freq.</w:t>
              </w:r>
            </w:hyperlink>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Slope_MEAN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slope (degrees)</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hyperlink r:id="rId8" w:history="1">
              <w:r w:rsidRPr="00960E9D">
                <w:rPr>
                  <w:rFonts w:ascii="Calibri" w:eastAsia="Times New Roman" w:hAnsi="Calibri" w:cs="Times New Roman"/>
                  <w:color w:val="0000FF"/>
                  <w:sz w:val="20"/>
                  <w:szCs w:val="20"/>
                  <w:u w:val="single"/>
                </w:rPr>
                <w:t>Terrain: Slope Map</w:t>
              </w:r>
            </w:hyperlink>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Road_density_MEAN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Sum of road length w/in 1km cells, averaged across all cells w/in a catchment</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hyperlink r:id="rId9" w:history="1">
              <w:r w:rsidRPr="00960E9D">
                <w:rPr>
                  <w:rFonts w:ascii="Calibri" w:eastAsia="Times New Roman" w:hAnsi="Calibri" w:cs="Times New Roman"/>
                  <w:color w:val="0000FF"/>
                  <w:sz w:val="20"/>
                  <w:szCs w:val="20"/>
                  <w:u w:val="single"/>
                </w:rPr>
                <w:t>USA Road Density</w:t>
              </w:r>
            </w:hyperlink>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Erodability_MEAN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SSURGO Erodibility (K-factor) value</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hyperlink r:id="rId10" w:history="1">
              <w:r w:rsidRPr="00960E9D">
                <w:rPr>
                  <w:rFonts w:ascii="Calibri" w:eastAsia="Times New Roman" w:hAnsi="Calibri" w:cs="Times New Roman"/>
                  <w:color w:val="0000FF"/>
                  <w:sz w:val="20"/>
                  <w:szCs w:val="20"/>
                  <w:u w:val="single"/>
                </w:rPr>
                <w:t>Soils Erodibility Factor</w:t>
              </w:r>
            </w:hyperlink>
          </w:p>
        </w:tc>
      </w:tr>
      <w:tr w:rsidR="00960E9D" w:rsidRPr="00960E9D" w:rsidTr="00960E9D">
        <w:tc>
          <w:tcPr>
            <w:tcW w:w="221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Flood_risk_MEAN</w:t>
            </w:r>
            <w:proofErr w:type="spellEnd"/>
          </w:p>
        </w:tc>
        <w:tc>
          <w:tcPr>
            <w:tcW w:w="549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Proportion of catchment area in flood risk zone</w:t>
            </w:r>
          </w:p>
        </w:tc>
        <w:tc>
          <w:tcPr>
            <w:tcW w:w="206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hyperlink r:id="rId11" w:history="1">
              <w:r w:rsidRPr="00960E9D">
                <w:rPr>
                  <w:rFonts w:ascii="Calibri" w:eastAsia="Times New Roman" w:hAnsi="Calibri" w:cs="Times New Roman"/>
                  <w:color w:val="0000FF"/>
                  <w:sz w:val="20"/>
                  <w:szCs w:val="20"/>
                  <w:u w:val="single"/>
                </w:rPr>
                <w:t>USA Food Risk</w:t>
              </w:r>
            </w:hyperlink>
          </w:p>
        </w:tc>
      </w:tr>
    </w:tbl>
    <w:p w:rsidR="00960E9D" w:rsidRPr="00960E9D" w:rsidRDefault="00960E9D" w:rsidP="00960E9D">
      <w:pPr>
        <w:spacing w:after="0" w:line="240" w:lineRule="auto"/>
        <w:ind w:left="540"/>
        <w:rPr>
          <w:rFonts w:ascii="Calibri" w:eastAsia="Times New Roman" w:hAnsi="Calibri" w:cs="Times New Roman"/>
          <w:color w:val="2E75B5"/>
          <w:sz w:val="28"/>
          <w:szCs w:val="28"/>
        </w:rPr>
      </w:pPr>
      <w:r w:rsidRPr="00960E9D">
        <w:rPr>
          <w:rFonts w:ascii="Calibri" w:eastAsia="Times New Roman" w:hAnsi="Calibri" w:cs="Times New Roman"/>
          <w:color w:val="2E75B5"/>
          <w:sz w:val="28"/>
          <w:szCs w:val="28"/>
        </w:rPr>
        <w:lastRenderedPageBreak/>
        <w:t> </w:t>
      </w:r>
    </w:p>
    <w:p w:rsidR="00960E9D" w:rsidRPr="00960E9D" w:rsidRDefault="00960E9D" w:rsidP="00960E9D">
      <w:pPr>
        <w:numPr>
          <w:ilvl w:val="0"/>
          <w:numId w:val="36"/>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Compute flowline LU/LC values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2" w:history="1">
        <w:r w:rsidRPr="00960E9D">
          <w:rPr>
            <w:rFonts w:ascii="Calibri" w:eastAsia="Times New Roman" w:hAnsi="Calibri" w:cs="Times New Roman"/>
            <w:color w:val="0000FF"/>
            <w:sz w:val="18"/>
            <w:szCs w:val="18"/>
            <w:u w:val="single"/>
            <w:shd w:val="clear" w:color="auto" w:fill="CCFFCC"/>
          </w:rPr>
          <w:t>EEP_ComputeFlowlineLULC.py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For each catchment, calculates the total area of each NLCD land cover class found within NHD stream pixels.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Output is a table listing each catchment and the total area (in m2) of each NLCD cover type of pixels intersecting NHD+ flowlines:</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81"/>
        <w:gridCol w:w="6504"/>
      </w:tblGrid>
      <w:tr w:rsidR="00960E9D" w:rsidRPr="00960E9D" w:rsidTr="00960E9D">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GRIDCODE</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Catchment ID</w:t>
            </w:r>
          </w:p>
        </w:tc>
      </w:tr>
      <w:tr w:rsidR="00960E9D" w:rsidRPr="00960E9D" w:rsidTr="00960E9D">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NLCD_11</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Area of NLCD 2011 </w:t>
            </w:r>
            <w:r w:rsidRPr="00960E9D">
              <w:rPr>
                <w:rFonts w:ascii="Calibri" w:eastAsia="Times New Roman" w:hAnsi="Calibri" w:cs="Times New Roman"/>
                <w:i/>
                <w:iCs/>
                <w:sz w:val="20"/>
                <w:szCs w:val="20"/>
              </w:rPr>
              <w:t>open water</w:t>
            </w:r>
            <w:r w:rsidRPr="00960E9D">
              <w:rPr>
                <w:rFonts w:ascii="Calibri" w:eastAsia="Times New Roman" w:hAnsi="Calibri" w:cs="Times New Roman"/>
                <w:sz w:val="20"/>
                <w:szCs w:val="20"/>
              </w:rPr>
              <w:t xml:space="preserve"> pixels intersecting NHD+ flowlines</w:t>
            </w:r>
          </w:p>
        </w:tc>
      </w:tr>
      <w:tr w:rsidR="00960E9D" w:rsidRPr="00960E9D" w:rsidTr="00960E9D">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NLCD_21</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Area of NLCD 2011 </w:t>
            </w:r>
            <w:r w:rsidRPr="00960E9D">
              <w:rPr>
                <w:rFonts w:ascii="Calibri" w:eastAsia="Times New Roman" w:hAnsi="Calibri" w:cs="Times New Roman"/>
                <w:i/>
                <w:iCs/>
                <w:sz w:val="20"/>
                <w:szCs w:val="20"/>
              </w:rPr>
              <w:t>developed open space</w:t>
            </w:r>
            <w:r w:rsidRPr="00960E9D">
              <w:rPr>
                <w:rFonts w:ascii="Calibri" w:eastAsia="Times New Roman" w:hAnsi="Calibri" w:cs="Times New Roman"/>
                <w:sz w:val="20"/>
                <w:szCs w:val="20"/>
              </w:rPr>
              <w:t xml:space="preserve"> pixels intersecting NHD+ flowlines</w:t>
            </w:r>
          </w:p>
        </w:tc>
      </w:tr>
      <w:tr w:rsidR="00960E9D" w:rsidRPr="00960E9D" w:rsidTr="00960E9D">
        <w:tc>
          <w:tcPr>
            <w:tcW w:w="118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gramStart"/>
            <w:r w:rsidRPr="00960E9D">
              <w:rPr>
                <w:rFonts w:ascii="Calibri" w:eastAsia="Times New Roman" w:hAnsi="Calibri" w:cs="Times New Roman"/>
                <w:i/>
                <w:iCs/>
                <w:sz w:val="20"/>
                <w:szCs w:val="20"/>
              </w:rPr>
              <w:t>etc</w:t>
            </w:r>
            <w:proofErr w:type="gramEnd"/>
            <w:r w:rsidRPr="00960E9D">
              <w:rPr>
                <w:rFonts w:ascii="Calibri" w:eastAsia="Times New Roman" w:hAnsi="Calibri" w:cs="Times New Roman"/>
                <w:i/>
                <w:iCs/>
                <w:sz w:val="20"/>
                <w:szCs w:val="20"/>
              </w:rPr>
              <w:t>…</w:t>
            </w:r>
          </w:p>
        </w:tc>
        <w:tc>
          <w:tcPr>
            <w:tcW w:w="65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bl>
    <w:p w:rsidR="00960E9D" w:rsidRPr="00960E9D" w:rsidRDefault="00960E9D" w:rsidP="00960E9D">
      <w:pPr>
        <w:spacing w:after="0" w:line="240" w:lineRule="auto"/>
        <w:ind w:left="540"/>
        <w:rPr>
          <w:rFonts w:ascii="Calibri" w:eastAsia="Times New Roman" w:hAnsi="Calibri" w:cs="Times New Roman"/>
          <w:color w:val="2E75B5"/>
          <w:sz w:val="28"/>
          <w:szCs w:val="28"/>
        </w:rPr>
      </w:pPr>
      <w:r w:rsidRPr="00960E9D">
        <w:rPr>
          <w:rFonts w:ascii="Calibri" w:eastAsia="Times New Roman" w:hAnsi="Calibri" w:cs="Times New Roman"/>
          <w:color w:val="2E75B5"/>
          <w:sz w:val="28"/>
          <w:szCs w:val="28"/>
        </w:rPr>
        <w:t> </w:t>
      </w:r>
    </w:p>
    <w:p w:rsidR="00960E9D" w:rsidRPr="00960E9D" w:rsidRDefault="00960E9D" w:rsidP="00960E9D">
      <w:pPr>
        <w:numPr>
          <w:ilvl w:val="0"/>
          <w:numId w:val="37"/>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Compute flowline shades statistics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3" w:history="1">
        <w:r w:rsidRPr="00960E9D">
          <w:rPr>
            <w:rFonts w:ascii="Calibri" w:eastAsia="Times New Roman" w:hAnsi="Calibri" w:cs="Times New Roman"/>
            <w:color w:val="0000FF"/>
            <w:sz w:val="18"/>
            <w:szCs w:val="18"/>
            <w:u w:val="single"/>
            <w:shd w:val="clear" w:color="auto" w:fill="CCFFCC"/>
          </w:rPr>
          <w:t>EEP_ComputeFlowlineShadeStats.py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Intersects NHD flowlines with NLCD (2011) forested areas to isolate stream segments considered "shaded". Statistics calculated for these segments within each catchment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809"/>
        <w:gridCol w:w="5602"/>
      </w:tblGrid>
      <w:tr w:rsidR="00960E9D" w:rsidRPr="00960E9D" w:rsidTr="00960E9D">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COMID</w:t>
            </w:r>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Component ID</w:t>
            </w:r>
          </w:p>
        </w:tc>
      </w:tr>
      <w:tr w:rsidR="00960E9D" w:rsidRPr="00960E9D" w:rsidTr="00960E9D">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ShadedSegments</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Number of flowline segments classified as shaded</w:t>
            </w:r>
          </w:p>
        </w:tc>
      </w:tr>
      <w:tr w:rsidR="00960E9D" w:rsidRPr="00960E9D" w:rsidTr="00960E9D">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ShadedLength</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Total flowline length (m) intersecting NLCD (2011) forest</w:t>
            </w:r>
          </w:p>
        </w:tc>
      </w:tr>
      <w:tr w:rsidR="00960E9D" w:rsidRPr="00960E9D" w:rsidTr="00960E9D">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LongestSegment</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The length (m) of the longest shaded flowline segment</w:t>
            </w:r>
          </w:p>
        </w:tc>
      </w:tr>
      <w:tr w:rsidR="00960E9D" w:rsidRPr="00960E9D" w:rsidTr="00960E9D">
        <w:tc>
          <w:tcPr>
            <w:tcW w:w="180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MeanShadeLength</w:t>
            </w:r>
            <w:proofErr w:type="spellEnd"/>
          </w:p>
        </w:tc>
        <w:tc>
          <w:tcPr>
            <w:tcW w:w="56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Average length (m) of all the shaded segments w/in a catchment</w:t>
            </w:r>
          </w:p>
        </w:tc>
      </w:tr>
    </w:tbl>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numPr>
          <w:ilvl w:val="0"/>
          <w:numId w:val="38"/>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Calculate riparian statistics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4" w:history="1">
        <w:r w:rsidRPr="00960E9D">
          <w:rPr>
            <w:rFonts w:ascii="Calibri" w:eastAsia="Times New Roman" w:hAnsi="Calibri" w:cs="Times New Roman"/>
            <w:color w:val="0000FF"/>
            <w:sz w:val="18"/>
            <w:szCs w:val="18"/>
            <w:u w:val="single"/>
            <w:shd w:val="clear" w:color="auto" w:fill="CCFFCC"/>
          </w:rPr>
          <w:t>EEP_ComputeRiparianStats.py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Creates a raster of land cover (NLCD 2011) in riparian areas, defined as pixels located a set vertical distance above the stream pixel into which it drains; non-riparian pixels are set to </w:t>
      </w:r>
      <w:proofErr w:type="spellStart"/>
      <w:r w:rsidRPr="00960E9D">
        <w:rPr>
          <w:rFonts w:ascii="Calibri" w:eastAsia="Times New Roman" w:hAnsi="Calibri" w:cs="Times New Roman"/>
          <w:color w:val="000000"/>
        </w:rPr>
        <w:t>NoData</w:t>
      </w:r>
      <w:proofErr w:type="spellEnd"/>
      <w:r w:rsidRPr="00960E9D">
        <w:rPr>
          <w:rFonts w:ascii="Calibri" w:eastAsia="Times New Roman" w:hAnsi="Calibri" w:cs="Times New Roman"/>
          <w:color w:val="000000"/>
        </w:rPr>
        <w:t>. Also creates a table listing the total area (m2) and proportion (</w:t>
      </w:r>
      <w:proofErr w:type="spellStart"/>
      <w:r w:rsidRPr="00960E9D">
        <w:rPr>
          <w:rFonts w:ascii="Calibri" w:eastAsia="Times New Roman" w:hAnsi="Calibri" w:cs="Times New Roman"/>
          <w:color w:val="000000"/>
        </w:rPr>
        <w:t>pct</w:t>
      </w:r>
      <w:proofErr w:type="spellEnd"/>
      <w:r w:rsidRPr="00960E9D">
        <w:rPr>
          <w:rFonts w:ascii="Calibri" w:eastAsia="Times New Roman" w:hAnsi="Calibri" w:cs="Times New Roman"/>
          <w:color w:val="000000"/>
        </w:rPr>
        <w:t xml:space="preserve">) of the riparian area within each catchment classified as Forest (NLCD 41, 42, 43), Wetland (90, 95), or </w:t>
      </w:r>
      <w:proofErr w:type="gramStart"/>
      <w:r w:rsidRPr="00960E9D">
        <w:rPr>
          <w:rFonts w:ascii="Calibri" w:eastAsia="Times New Roman" w:hAnsi="Calibri" w:cs="Times New Roman"/>
          <w:color w:val="000000"/>
        </w:rPr>
        <w:t>Other</w:t>
      </w:r>
      <w:proofErr w:type="gramEnd"/>
      <w:r w:rsidRPr="00960E9D">
        <w:rPr>
          <w:rFonts w:ascii="Calibri" w:eastAsia="Times New Roman" w:hAnsi="Calibri" w:cs="Times New Roman"/>
          <w:color w:val="000000"/>
        </w:rPr>
        <w:t xml:space="preserve">.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br/>
        <w:t>Output fields in this table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925"/>
        <w:gridCol w:w="5174"/>
      </w:tblGrid>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GRIDCODE</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COMID</w:t>
            </w:r>
          </w:p>
        </w:tc>
      </w:tr>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Other </w:t>
            </w:r>
            <w:proofErr w:type="spellStart"/>
            <w:r w:rsidRPr="00960E9D">
              <w:rPr>
                <w:rFonts w:ascii="Calibri" w:eastAsia="Times New Roman" w:hAnsi="Calibri" w:cs="Times New Roman"/>
                <w:sz w:val="20"/>
                <w:szCs w:val="20"/>
              </w:rPr>
              <w:t>lulc</w:t>
            </w:r>
            <w:proofErr w:type="spellEnd"/>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Riparian area (m2) not classified as either forest or wetland</w:t>
            </w:r>
          </w:p>
        </w:tc>
      </w:tr>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Riparian forest</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Riparian area (m2) classified as forest</w:t>
            </w:r>
          </w:p>
        </w:tc>
      </w:tr>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Riparian wetland</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Riparian area (m2) classified as wetland</w:t>
            </w:r>
          </w:p>
        </w:tc>
      </w:tr>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Pct</w:t>
            </w:r>
            <w:proofErr w:type="spellEnd"/>
            <w:r w:rsidRPr="00960E9D">
              <w:rPr>
                <w:rFonts w:ascii="Calibri" w:eastAsia="Times New Roman" w:hAnsi="Calibri" w:cs="Times New Roman"/>
                <w:sz w:val="20"/>
                <w:szCs w:val="20"/>
              </w:rPr>
              <w:t xml:space="preserve"> riparian forest</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Percent of riparian area classified as forest</w:t>
            </w:r>
          </w:p>
        </w:tc>
      </w:tr>
      <w:tr w:rsidR="00960E9D" w:rsidRPr="00960E9D" w:rsidTr="00960E9D">
        <w:tc>
          <w:tcPr>
            <w:tcW w:w="192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Pct</w:t>
            </w:r>
            <w:proofErr w:type="spellEnd"/>
            <w:r w:rsidRPr="00960E9D">
              <w:rPr>
                <w:rFonts w:ascii="Calibri" w:eastAsia="Times New Roman" w:hAnsi="Calibri" w:cs="Times New Roman"/>
                <w:sz w:val="20"/>
                <w:szCs w:val="20"/>
              </w:rPr>
              <w:t xml:space="preserve"> riparian wetland</w:t>
            </w:r>
          </w:p>
        </w:tc>
        <w:tc>
          <w:tcPr>
            <w:tcW w:w="51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Percent of riparian area classified as wetland</w:t>
            </w:r>
          </w:p>
        </w:tc>
      </w:tr>
    </w:tbl>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numPr>
          <w:ilvl w:val="0"/>
          <w:numId w:val="39"/>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Calculate stream temperature statistics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5" w:history="1">
        <w:r w:rsidRPr="00960E9D">
          <w:rPr>
            <w:rFonts w:ascii="Calibri" w:eastAsia="Times New Roman" w:hAnsi="Calibri" w:cs="Times New Roman"/>
            <w:color w:val="0000FF"/>
            <w:sz w:val="18"/>
            <w:szCs w:val="18"/>
            <w:u w:val="single"/>
            <w:shd w:val="clear" w:color="auto" w:fill="CCFFCC"/>
          </w:rPr>
          <w:t>EEP_ComputeFlowlineTemperature.py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lastRenderedPageBreak/>
        <w:t xml:space="preserve">For each catchment, calculates the percent of flowline length classified as cold, cool, or warm according to the 2006 NC Wildlife Resources Commission stream thermal regime dataset (No link available).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Output fields in this table include:</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24"/>
        <w:gridCol w:w="3302"/>
      </w:tblGrid>
      <w:tr w:rsidR="00960E9D" w:rsidRPr="00960E9D" w:rsidTr="00960E9D">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FEATUREID</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Feature ID</w:t>
            </w:r>
          </w:p>
        </w:tc>
      </w:tr>
      <w:tr w:rsidR="00960E9D" w:rsidRPr="00960E9D" w:rsidTr="00960E9D">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Cold</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Percent of stream classified as cold</w:t>
            </w:r>
          </w:p>
        </w:tc>
      </w:tr>
      <w:tr w:rsidR="00960E9D" w:rsidRPr="00960E9D" w:rsidTr="00960E9D">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Cool</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Percent of stream classified as cool</w:t>
            </w:r>
          </w:p>
        </w:tc>
      </w:tr>
      <w:tr w:rsidR="00960E9D" w:rsidRPr="00960E9D" w:rsidTr="00960E9D">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Warm</w:t>
            </w:r>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Percent of stream classified as warm</w:t>
            </w:r>
          </w:p>
        </w:tc>
      </w:tr>
      <w:tr w:rsidR="00960E9D" w:rsidRPr="00960E9D" w:rsidTr="00960E9D">
        <w:tc>
          <w:tcPr>
            <w:tcW w:w="122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TotLength</w:t>
            </w:r>
            <w:proofErr w:type="spellEnd"/>
          </w:p>
        </w:tc>
        <w:tc>
          <w:tcPr>
            <w:tcW w:w="3302"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Total stream length (m) </w:t>
            </w:r>
          </w:p>
        </w:tc>
      </w:tr>
    </w:tbl>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numPr>
          <w:ilvl w:val="0"/>
          <w:numId w:val="40"/>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Count road crossings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6" w:history="1">
        <w:r w:rsidRPr="00960E9D">
          <w:rPr>
            <w:rFonts w:ascii="Calibri" w:eastAsia="Times New Roman" w:hAnsi="Calibri" w:cs="Times New Roman"/>
            <w:color w:val="0000FF"/>
            <w:sz w:val="18"/>
            <w:szCs w:val="18"/>
            <w:u w:val="single"/>
            <w:shd w:val="clear" w:color="auto" w:fill="CCFFCC"/>
          </w:rPr>
          <w:t>EEP_ComputeRoadCrossings.py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Intersects the </w:t>
      </w:r>
      <w:hyperlink r:id="rId17" w:history="1">
        <w:r w:rsidRPr="00960E9D">
          <w:rPr>
            <w:rFonts w:ascii="Calibri" w:eastAsia="Times New Roman" w:hAnsi="Calibri" w:cs="Times New Roman"/>
            <w:color w:val="0000FF"/>
            <w:u w:val="single"/>
          </w:rPr>
          <w:t>NC DOT roads layer</w:t>
        </w:r>
      </w:hyperlink>
      <w:r w:rsidRPr="00960E9D">
        <w:rPr>
          <w:rFonts w:ascii="Calibri" w:eastAsia="Times New Roman" w:hAnsi="Calibri" w:cs="Times New Roman"/>
          <w:color w:val="000000"/>
        </w:rPr>
        <w:t xml:space="preserve"> with NHD+ flowlines and tabulates the number of road crossings found within each catchment. Output includes the following:</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47"/>
        <w:gridCol w:w="4578"/>
      </w:tblGrid>
      <w:tr w:rsidR="00960E9D" w:rsidRPr="00960E9D" w:rsidTr="00960E9D">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COMID</w:t>
            </w:r>
          </w:p>
        </w:tc>
        <w:tc>
          <w:tcPr>
            <w:tcW w:w="4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NHD Component ID</w:t>
            </w:r>
          </w:p>
        </w:tc>
      </w:tr>
      <w:tr w:rsidR="00960E9D" w:rsidRPr="00960E9D" w:rsidTr="00960E9D">
        <w:tc>
          <w:tcPr>
            <w:tcW w:w="104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Crossings</w:t>
            </w:r>
          </w:p>
        </w:tc>
        <w:tc>
          <w:tcPr>
            <w:tcW w:w="45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Count of road crossings found within the catchment</w:t>
            </w:r>
          </w:p>
        </w:tc>
      </w:tr>
    </w:tbl>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w:t>
      </w:r>
    </w:p>
    <w:p w:rsidR="00960E9D" w:rsidRPr="00960E9D" w:rsidRDefault="00960E9D" w:rsidP="00960E9D">
      <w:pPr>
        <w:numPr>
          <w:ilvl w:val="0"/>
          <w:numId w:val="41"/>
        </w:numPr>
        <w:spacing w:after="0" w:line="240" w:lineRule="auto"/>
        <w:ind w:left="540"/>
        <w:textAlignment w:val="center"/>
        <w:rPr>
          <w:rFonts w:ascii="Calibri" w:eastAsia="Times New Roman" w:hAnsi="Calibri" w:cs="Times New Roman"/>
          <w:color w:val="2E75B5"/>
        </w:rPr>
      </w:pPr>
      <w:r w:rsidRPr="00960E9D">
        <w:rPr>
          <w:rFonts w:ascii="Calibri" w:eastAsia="Times New Roman" w:hAnsi="Calibri" w:cs="Times New Roman"/>
          <w:color w:val="2E75B5"/>
          <w:sz w:val="28"/>
          <w:szCs w:val="28"/>
        </w:rPr>
        <w:t>Extract NHD habitat attributes</w:t>
      </w:r>
    </w:p>
    <w:p w:rsidR="00960E9D" w:rsidRPr="00960E9D" w:rsidRDefault="00960E9D" w:rsidP="00960E9D">
      <w:pPr>
        <w:spacing w:after="0" w:line="240" w:lineRule="auto"/>
        <w:ind w:left="540"/>
        <w:rPr>
          <w:rFonts w:ascii="Calibri" w:eastAsia="Times New Roman" w:hAnsi="Calibri" w:cs="Times New Roman"/>
          <w:color w:val="595959"/>
          <w:sz w:val="18"/>
          <w:szCs w:val="18"/>
        </w:rPr>
      </w:pPr>
      <w:hyperlink r:id="rId18" w:history="1">
        <w:r w:rsidRPr="00960E9D">
          <w:rPr>
            <w:rFonts w:ascii="Calibri" w:eastAsia="Times New Roman" w:hAnsi="Calibri" w:cs="Times New Roman"/>
            <w:color w:val="0000FF"/>
            <w:sz w:val="18"/>
            <w:szCs w:val="18"/>
            <w:u w:val="single"/>
            <w:shd w:val="clear" w:color="auto" w:fill="CCFFCC"/>
          </w:rPr>
          <w:t>EEP_ExtractNHDHabitatAttributes.py</w:t>
        </w:r>
      </w:hyperlink>
    </w:p>
    <w:p w:rsidR="00960E9D" w:rsidRPr="00960E9D" w:rsidRDefault="00960E9D" w:rsidP="00960E9D">
      <w:pPr>
        <w:spacing w:after="0" w:line="240" w:lineRule="auto"/>
        <w:ind w:left="540"/>
        <w:rPr>
          <w:rFonts w:ascii="Calibri" w:eastAsia="Times New Roman" w:hAnsi="Calibri" w:cs="Times New Roman"/>
          <w:color w:val="000000"/>
        </w:rPr>
      </w:pPr>
      <w:r w:rsidRPr="00960E9D">
        <w:rPr>
          <w:rFonts w:ascii="Calibri" w:eastAsia="Times New Roman" w:hAnsi="Calibri" w:cs="Times New Roman"/>
          <w:color w:val="000000"/>
        </w:rPr>
        <w:t xml:space="preserve">Extracts numerous NHD+ (v2) attributes for the catchments within the selected HUC6. These attributes include the following (see </w:t>
      </w:r>
      <w:hyperlink r:id="rId19" w:history="1">
        <w:r w:rsidRPr="00960E9D">
          <w:rPr>
            <w:rFonts w:ascii="Calibri" w:eastAsia="Times New Roman" w:hAnsi="Calibri" w:cs="Times New Roman"/>
            <w:color w:val="0000FF"/>
            <w:u w:val="single"/>
          </w:rPr>
          <w:t>NHD+ v2 metadata</w:t>
        </w:r>
      </w:hyperlink>
      <w:r w:rsidRPr="00960E9D">
        <w:rPr>
          <w:rFonts w:ascii="Calibri" w:eastAsia="Times New Roman" w:hAnsi="Calibri" w:cs="Times New Roman"/>
          <w:color w:val="000000"/>
        </w:rPr>
        <w:t xml:space="preserve"> and </w:t>
      </w:r>
      <w:hyperlink r:id="rId20" w:history="1">
        <w:r w:rsidRPr="00960E9D">
          <w:rPr>
            <w:rFonts w:ascii="Calibri" w:eastAsia="Times New Roman" w:hAnsi="Calibri" w:cs="Times New Roman"/>
            <w:color w:val="0000FF"/>
            <w:u w:val="single"/>
          </w:rPr>
          <w:t>NLCD Extension metadata</w:t>
        </w:r>
      </w:hyperlink>
      <w:r w:rsidRPr="00960E9D">
        <w:rPr>
          <w:rFonts w:ascii="Calibri" w:eastAsia="Times New Roman" w:hAnsi="Calibri" w:cs="Times New Roman"/>
          <w:color w:val="000000"/>
        </w:rPr>
        <w:t xml:space="preserve"> for additional info, </w:t>
      </w:r>
      <w:proofErr w:type="gramStart"/>
      <w:r w:rsidRPr="00960E9D">
        <w:rPr>
          <w:rFonts w:ascii="Calibri" w:eastAsia="Times New Roman" w:hAnsi="Calibri" w:cs="Times New Roman"/>
          <w:color w:val="000000"/>
        </w:rPr>
        <w:t>and )</w:t>
      </w:r>
      <w:proofErr w:type="gramEnd"/>
      <w:r w:rsidRPr="00960E9D">
        <w:rPr>
          <w:rFonts w:ascii="Calibri" w:eastAsia="Times New Roman" w:hAnsi="Calibri" w:cs="Times New Roman"/>
          <w:color w:val="000000"/>
        </w:rPr>
        <w: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45"/>
        <w:gridCol w:w="1398"/>
        <w:gridCol w:w="5317"/>
      </w:tblGrid>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b/>
                <w:bCs/>
                <w:sz w:val="20"/>
                <w:szCs w:val="20"/>
                <w:u w:val="single"/>
              </w:rPr>
              <w:t>NHD+ Source Table</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b/>
                <w:bCs/>
                <w:sz w:val="20"/>
                <w:szCs w:val="20"/>
                <w:u w:val="single"/>
              </w:rPr>
              <w:t>Field</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b/>
                <w:bCs/>
                <w:sz w:val="20"/>
                <w:szCs w:val="20"/>
                <w:u w:val="single"/>
              </w:rPr>
              <w:t>Description</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Flowline VAA</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StreamOrde</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Strahler Stream order</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PathLength</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Distance to the terminal Flowline feature downstream along the main path</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ArbolateSum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Km of stream upstream of the bottom of the </w:t>
            </w:r>
            <w:proofErr w:type="spellStart"/>
            <w:r w:rsidRPr="00960E9D">
              <w:rPr>
                <w:rFonts w:ascii="Calibri" w:eastAsia="Times New Roman" w:hAnsi="Calibri" w:cs="Times New Roman"/>
                <w:sz w:val="20"/>
                <w:szCs w:val="20"/>
              </w:rPr>
              <w:t>NHDFlowline</w:t>
            </w:r>
            <w:proofErr w:type="spellEnd"/>
            <w:r w:rsidRPr="00960E9D">
              <w:rPr>
                <w:rFonts w:ascii="Calibri" w:eastAsia="Times New Roman" w:hAnsi="Calibri" w:cs="Times New Roman"/>
                <w:sz w:val="20"/>
                <w:szCs w:val="20"/>
              </w:rPr>
              <w:t xml:space="preserve"> feature</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AreaSqKm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Catchment area in square kilometers</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TotDASqKm</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xml:space="preserve">Total Upstream Cumulative Drainage Area (km2) at the downstream end of the </w:t>
            </w:r>
            <w:proofErr w:type="spellStart"/>
            <w:r w:rsidRPr="00960E9D">
              <w:rPr>
                <w:rFonts w:ascii="Calibri" w:eastAsia="Times New Roman" w:hAnsi="Calibri" w:cs="Times New Roman"/>
                <w:sz w:val="20"/>
                <w:szCs w:val="20"/>
              </w:rPr>
              <w:t>NHDFlowline</w:t>
            </w:r>
            <w:proofErr w:type="spellEnd"/>
            <w:r w:rsidRPr="00960E9D">
              <w:rPr>
                <w:rFonts w:ascii="Calibri" w:eastAsia="Times New Roman" w:hAnsi="Calibri" w:cs="Times New Roman"/>
                <w:sz w:val="20"/>
                <w:szCs w:val="20"/>
              </w:rPr>
              <w:t xml:space="preserve"> feature</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ElevSlope</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Slope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EROM_MA0001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Q0001E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flow from gage adjustment (</w:t>
            </w:r>
            <w:proofErr w:type="spellStart"/>
            <w:r w:rsidRPr="00960E9D">
              <w:rPr>
                <w:rFonts w:ascii="Calibri" w:eastAsia="Times New Roman" w:hAnsi="Calibri" w:cs="Times New Roman"/>
                <w:sz w:val="20"/>
                <w:szCs w:val="20"/>
              </w:rPr>
              <w:t>cfs</w:t>
            </w:r>
            <w:proofErr w:type="spellEnd"/>
            <w:r w:rsidRPr="00960E9D">
              <w:rPr>
                <w:rFonts w:ascii="Calibri" w:eastAsia="Times New Roman" w:hAnsi="Calibri" w:cs="Times New Roman"/>
                <w:sz w:val="20"/>
                <w:szCs w:val="20"/>
              </w:rPr>
              <w:t>)</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V0001E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velocity from gage adjustment (fps)</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Qincr0001E</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incremental flow from gage adjustment (</w:t>
            </w:r>
            <w:proofErr w:type="spellStart"/>
            <w:r w:rsidRPr="00960E9D">
              <w:rPr>
                <w:rFonts w:ascii="Calibri" w:eastAsia="Times New Roman" w:hAnsi="Calibri" w:cs="Times New Roman"/>
                <w:sz w:val="20"/>
                <w:szCs w:val="20"/>
              </w:rPr>
              <w:t>cfs</w:t>
            </w:r>
            <w:proofErr w:type="spellEnd"/>
            <w:r w:rsidRPr="00960E9D">
              <w:rPr>
                <w:rFonts w:ascii="Calibri" w:eastAsia="Times New Roman" w:hAnsi="Calibri" w:cs="Times New Roman"/>
                <w:sz w:val="20"/>
                <w:szCs w:val="20"/>
              </w:rPr>
              <w:t>)</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TEMP0001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catchment temperature (Deg. C)</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PPT0001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catchment precipitation (mm)</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PET0001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catchment PET (mm)</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QLOSS0001</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catchment flow loss from Excess ET (</w:t>
            </w:r>
            <w:proofErr w:type="spellStart"/>
            <w:r w:rsidRPr="00960E9D">
              <w:rPr>
                <w:rFonts w:ascii="Calibri" w:eastAsia="Times New Roman" w:hAnsi="Calibri" w:cs="Times New Roman"/>
                <w:sz w:val="20"/>
                <w:szCs w:val="20"/>
              </w:rPr>
              <w:t>cfs</w:t>
            </w:r>
            <w:proofErr w:type="spellEnd"/>
            <w:r w:rsidRPr="00960E9D">
              <w:rPr>
                <w:rFonts w:ascii="Calibri" w:eastAsia="Times New Roman" w:hAnsi="Calibri" w:cs="Times New Roman"/>
                <w:sz w:val="20"/>
                <w:szCs w:val="20"/>
              </w:rPr>
              <w:t>)</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EROM_mm0001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Q0001E_</w:t>
            </w:r>
            <w:r w:rsidRPr="00960E9D">
              <w:rPr>
                <w:rFonts w:ascii="Calibri" w:eastAsia="Times New Roman" w:hAnsi="Calibri" w:cs="Times New Roman"/>
                <w:sz w:val="20"/>
                <w:szCs w:val="20"/>
                <w:highlight w:val="yellow"/>
              </w:rPr>
              <w:t>xx</w:t>
            </w:r>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monthly flow from gage adjustment (</w:t>
            </w:r>
            <w:proofErr w:type="spellStart"/>
            <w:r w:rsidRPr="00960E9D">
              <w:rPr>
                <w:rFonts w:ascii="Calibri" w:eastAsia="Times New Roman" w:hAnsi="Calibri" w:cs="Times New Roman"/>
                <w:sz w:val="20"/>
                <w:szCs w:val="20"/>
              </w:rPr>
              <w:t>cfs</w:t>
            </w:r>
            <w:proofErr w:type="spellEnd"/>
            <w:r w:rsidRPr="00960E9D">
              <w:rPr>
                <w:rFonts w:ascii="Calibri" w:eastAsia="Times New Roman" w:hAnsi="Calibri" w:cs="Times New Roman"/>
                <w:sz w:val="20"/>
                <w:szCs w:val="20"/>
              </w:rPr>
              <w:t>) (</w:t>
            </w:r>
            <w:r w:rsidRPr="00960E9D">
              <w:rPr>
                <w:rFonts w:ascii="Calibri" w:eastAsia="Times New Roman" w:hAnsi="Calibri" w:cs="Times New Roman"/>
                <w:sz w:val="20"/>
                <w:szCs w:val="20"/>
                <w:highlight w:val="yellow"/>
              </w:rPr>
              <w:t>xx</w:t>
            </w:r>
            <w:r w:rsidRPr="00960E9D">
              <w:rPr>
                <w:rFonts w:ascii="Calibri" w:eastAsia="Times New Roman" w:hAnsi="Calibri" w:cs="Times New Roman"/>
                <w:sz w:val="20"/>
                <w:szCs w:val="20"/>
              </w:rPr>
              <w:t xml:space="preserve"> = month, e.g. 01)</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lastRenderedPageBreak/>
              <w:t>NHDTempMA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TempV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temperature in degrees centigrade * 100</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NHDPrecipMA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PrecipV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Mean annual precipitation in millimeters * 100</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NHDRunoffMA</w:t>
            </w:r>
            <w:proofErr w:type="spellEnd"/>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RunOffV</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MinMonthly</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 </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Incr_NLCD_2011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NLCD</w:t>
            </w:r>
            <w:r w:rsidRPr="00960E9D">
              <w:rPr>
                <w:rFonts w:ascii="Calibri" w:eastAsia="Times New Roman" w:hAnsi="Calibri" w:cs="Times New Roman"/>
                <w:sz w:val="20"/>
                <w:szCs w:val="20"/>
                <w:highlight w:val="yellow"/>
              </w:rPr>
              <w:t>xx</w:t>
            </w:r>
            <w:r w:rsidRPr="00960E9D">
              <w:rPr>
                <w:rFonts w:ascii="Calibri" w:eastAsia="Times New Roman" w:hAnsi="Calibri" w:cs="Times New Roman"/>
                <w:sz w:val="20"/>
                <w:szCs w:val="20"/>
              </w:rPr>
              <w:t>P</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Area weighted percent of NLCD class (</w:t>
            </w:r>
            <w:r w:rsidRPr="00960E9D">
              <w:rPr>
                <w:rFonts w:ascii="Calibri" w:eastAsia="Times New Roman" w:hAnsi="Calibri" w:cs="Times New Roman"/>
                <w:sz w:val="20"/>
                <w:szCs w:val="20"/>
                <w:highlight w:val="yellow"/>
              </w:rPr>
              <w:t>xx</w:t>
            </w:r>
            <w:r w:rsidRPr="00960E9D">
              <w:rPr>
                <w:rFonts w:ascii="Calibri" w:eastAsia="Times New Roman" w:hAnsi="Calibri" w:cs="Times New Roman"/>
                <w:sz w:val="20"/>
                <w:szCs w:val="20"/>
              </w:rPr>
              <w:t>) within the catchment</w:t>
            </w:r>
          </w:p>
        </w:tc>
      </w:tr>
      <w:tr w:rsidR="00960E9D" w:rsidRPr="00960E9D" w:rsidTr="00960E9D">
        <w:tc>
          <w:tcPr>
            <w:tcW w:w="219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Cum_Tot_NLCD_2011</w:t>
            </w:r>
          </w:p>
        </w:tc>
        <w:tc>
          <w:tcPr>
            <w:tcW w:w="144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proofErr w:type="spellStart"/>
            <w:r w:rsidRPr="00960E9D">
              <w:rPr>
                <w:rFonts w:ascii="Calibri" w:eastAsia="Times New Roman" w:hAnsi="Calibri" w:cs="Times New Roman"/>
                <w:sz w:val="20"/>
                <w:szCs w:val="20"/>
              </w:rPr>
              <w:t>NLCD</w:t>
            </w:r>
            <w:r w:rsidRPr="00960E9D">
              <w:rPr>
                <w:rFonts w:ascii="Calibri" w:eastAsia="Times New Roman" w:hAnsi="Calibri" w:cs="Times New Roman"/>
                <w:sz w:val="20"/>
                <w:szCs w:val="20"/>
                <w:highlight w:val="yellow"/>
              </w:rPr>
              <w:t>xx</w:t>
            </w:r>
            <w:r w:rsidRPr="00960E9D">
              <w:rPr>
                <w:rFonts w:ascii="Calibri" w:eastAsia="Times New Roman" w:hAnsi="Calibri" w:cs="Times New Roman"/>
                <w:sz w:val="20"/>
                <w:szCs w:val="20"/>
              </w:rPr>
              <w:t>PC</w:t>
            </w:r>
            <w:proofErr w:type="spellEnd"/>
          </w:p>
        </w:tc>
        <w:tc>
          <w:tcPr>
            <w:tcW w:w="61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960E9D" w:rsidRPr="00960E9D" w:rsidRDefault="00960E9D" w:rsidP="00960E9D">
            <w:pPr>
              <w:spacing w:after="0" w:line="240" w:lineRule="auto"/>
              <w:rPr>
                <w:rFonts w:ascii="Calibri" w:eastAsia="Times New Roman" w:hAnsi="Calibri" w:cs="Times New Roman"/>
                <w:sz w:val="20"/>
                <w:szCs w:val="20"/>
              </w:rPr>
            </w:pPr>
            <w:r w:rsidRPr="00960E9D">
              <w:rPr>
                <w:rFonts w:ascii="Calibri" w:eastAsia="Times New Roman" w:hAnsi="Calibri" w:cs="Times New Roman"/>
                <w:sz w:val="20"/>
                <w:szCs w:val="20"/>
              </w:rPr>
              <w:t>Area weighted percent of NLCD class (</w:t>
            </w:r>
            <w:r w:rsidRPr="00960E9D">
              <w:rPr>
                <w:rFonts w:ascii="Calibri" w:eastAsia="Times New Roman" w:hAnsi="Calibri" w:cs="Times New Roman"/>
                <w:sz w:val="20"/>
                <w:szCs w:val="20"/>
                <w:highlight w:val="yellow"/>
              </w:rPr>
              <w:t>xx</w:t>
            </w:r>
            <w:r w:rsidRPr="00960E9D">
              <w:rPr>
                <w:rFonts w:ascii="Calibri" w:eastAsia="Times New Roman" w:hAnsi="Calibri" w:cs="Times New Roman"/>
                <w:sz w:val="20"/>
                <w:szCs w:val="20"/>
              </w:rPr>
              <w:t>) within the catchment's drainage area</w:t>
            </w:r>
          </w:p>
        </w:tc>
      </w:tr>
    </w:tbl>
    <w:p w:rsidR="00C422D8" w:rsidRPr="00960E9D" w:rsidRDefault="00C422D8" w:rsidP="00960E9D"/>
    <w:sectPr w:rsidR="00C422D8" w:rsidRPr="00960E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0509"/>
    <w:multiLevelType w:val="multilevel"/>
    <w:tmpl w:val="9DFAF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CB44CE"/>
    <w:multiLevelType w:val="multilevel"/>
    <w:tmpl w:val="A10E4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9390B4C"/>
    <w:multiLevelType w:val="multilevel"/>
    <w:tmpl w:val="4D18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0280869"/>
    <w:multiLevelType w:val="multilevel"/>
    <w:tmpl w:val="AED6E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8C1995"/>
    <w:multiLevelType w:val="multilevel"/>
    <w:tmpl w:val="5F3C0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90158D"/>
    <w:multiLevelType w:val="multilevel"/>
    <w:tmpl w:val="04F8D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BA65848"/>
    <w:multiLevelType w:val="multilevel"/>
    <w:tmpl w:val="1E6686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6235FD"/>
    <w:multiLevelType w:val="multilevel"/>
    <w:tmpl w:val="B904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C317C"/>
    <w:multiLevelType w:val="multilevel"/>
    <w:tmpl w:val="196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E63353"/>
    <w:multiLevelType w:val="multilevel"/>
    <w:tmpl w:val="4E3EF7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FA3370"/>
    <w:multiLevelType w:val="multilevel"/>
    <w:tmpl w:val="1860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FF46B9C"/>
    <w:multiLevelType w:val="multilevel"/>
    <w:tmpl w:val="3C24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86113BF"/>
    <w:multiLevelType w:val="multilevel"/>
    <w:tmpl w:val="78942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9460346"/>
    <w:multiLevelType w:val="multilevel"/>
    <w:tmpl w:val="A476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8826CE7"/>
    <w:multiLevelType w:val="multilevel"/>
    <w:tmpl w:val="60700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DA2A45"/>
    <w:multiLevelType w:val="multilevel"/>
    <w:tmpl w:val="8F5C6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9D41E1F"/>
    <w:multiLevelType w:val="multilevel"/>
    <w:tmpl w:val="9AAE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335C95"/>
    <w:multiLevelType w:val="multilevel"/>
    <w:tmpl w:val="F836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73D911BE"/>
    <w:multiLevelType w:val="multilevel"/>
    <w:tmpl w:val="C8260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63F1DA9"/>
    <w:multiLevelType w:val="multilevel"/>
    <w:tmpl w:val="0F023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D1B503F"/>
    <w:multiLevelType w:val="multilevel"/>
    <w:tmpl w:val="7886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1">
      <w:startOverride w:val="1"/>
    </w:lvlOverride>
  </w:num>
  <w:num w:numId="2">
    <w:abstractNumId w:val="6"/>
    <w:lvlOverride w:ilvl="1">
      <w:startOverride w:val="2"/>
    </w:lvlOverride>
  </w:num>
  <w:num w:numId="3">
    <w:abstractNumId w:val="6"/>
    <w:lvlOverride w:ilvl="1">
      <w:startOverride w:val="3"/>
    </w:lvlOverride>
  </w:num>
  <w:num w:numId="4">
    <w:abstractNumId w:val="6"/>
    <w:lvlOverride w:ilvl="1">
      <w:startOverride w:val="4"/>
    </w:lvlOverride>
  </w:num>
  <w:num w:numId="5">
    <w:abstractNumId w:val="6"/>
    <w:lvlOverride w:ilvl="1">
      <w:startOverride w:val="5"/>
    </w:lvlOverride>
  </w:num>
  <w:num w:numId="6">
    <w:abstractNumId w:val="6"/>
    <w:lvlOverride w:ilvl="1">
      <w:startOverride w:val="6"/>
    </w:lvlOverride>
  </w:num>
  <w:num w:numId="7">
    <w:abstractNumId w:val="6"/>
    <w:lvlOverride w:ilvl="1">
      <w:startOverride w:val="7"/>
    </w:lvlOverride>
  </w:num>
  <w:num w:numId="8">
    <w:abstractNumId w:val="6"/>
    <w:lvlOverride w:ilvl="1">
      <w:startOverride w:val="8"/>
    </w:lvlOverride>
  </w:num>
  <w:num w:numId="9">
    <w:abstractNumId w:val="6"/>
    <w:lvlOverride w:ilvl="1">
      <w:startOverride w:val="9"/>
    </w:lvlOverride>
  </w:num>
  <w:num w:numId="10">
    <w:abstractNumId w:val="6"/>
    <w:lvlOverride w:ilvl="1">
      <w:startOverride w:val="10"/>
    </w:lvlOverride>
  </w:num>
  <w:num w:numId="11">
    <w:abstractNumId w:val="6"/>
    <w:lvlOverride w:ilvl="1">
      <w:startOverride w:val="11"/>
    </w:lvlOverride>
  </w:num>
  <w:num w:numId="12">
    <w:abstractNumId w:val="9"/>
  </w:num>
  <w:num w:numId="13">
    <w:abstractNumId w:val="9"/>
    <w:lvlOverride w:ilvl="1">
      <w:startOverride w:val="2"/>
    </w:lvlOverride>
  </w:num>
  <w:num w:numId="14">
    <w:abstractNumId w:val="9"/>
    <w:lvlOverride w:ilvl="1">
      <w:startOverride w:val="3"/>
    </w:lvlOverride>
  </w:num>
  <w:num w:numId="15">
    <w:abstractNumId w:val="9"/>
    <w:lvlOverride w:ilvl="1">
      <w:startOverride w:val="4"/>
    </w:lvlOverride>
  </w:num>
  <w:num w:numId="16">
    <w:abstractNumId w:val="9"/>
    <w:lvlOverride w:ilvl="1">
      <w:startOverride w:val="5"/>
    </w:lvlOverride>
  </w:num>
  <w:num w:numId="17">
    <w:abstractNumId w:val="9"/>
    <w:lvlOverride w:ilvl="1">
      <w:startOverride w:val="6"/>
    </w:lvlOverride>
  </w:num>
  <w:num w:numId="18">
    <w:abstractNumId w:val="9"/>
    <w:lvlOverride w:ilvl="1">
      <w:startOverride w:val="7"/>
    </w:lvlOverride>
  </w:num>
  <w:num w:numId="19">
    <w:abstractNumId w:val="9"/>
    <w:lvlOverride w:ilvl="1">
      <w:startOverride w:val="8"/>
    </w:lvlOverride>
  </w:num>
  <w:num w:numId="20">
    <w:abstractNumId w:val="9"/>
    <w:lvlOverride w:ilvl="1">
      <w:startOverride w:val="9"/>
    </w:lvlOverride>
  </w:num>
  <w:num w:numId="21">
    <w:abstractNumId w:val="9"/>
    <w:lvlOverride w:ilvl="1">
      <w:startOverride w:val="10"/>
    </w:lvlOverride>
  </w:num>
  <w:num w:numId="22">
    <w:abstractNumId w:val="9"/>
    <w:lvlOverride w:ilvl="1">
      <w:startOverride w:val="11"/>
    </w:lvlOverride>
  </w:num>
  <w:num w:numId="23">
    <w:abstractNumId w:val="13"/>
  </w:num>
  <w:num w:numId="24">
    <w:abstractNumId w:val="7"/>
  </w:num>
  <w:num w:numId="25">
    <w:abstractNumId w:val="1"/>
  </w:num>
  <w:num w:numId="26">
    <w:abstractNumId w:val="14"/>
  </w:num>
  <w:num w:numId="27">
    <w:abstractNumId w:val="2"/>
  </w:num>
  <w:num w:numId="28">
    <w:abstractNumId w:val="8"/>
  </w:num>
  <w:num w:numId="29">
    <w:abstractNumId w:val="15"/>
    <w:lvlOverride w:ilvl="0">
      <w:startOverride w:val="1"/>
    </w:lvlOverride>
  </w:num>
  <w:num w:numId="30">
    <w:abstractNumId w:val="19"/>
    <w:lvlOverride w:ilvl="0">
      <w:startOverride w:val="2"/>
    </w:lvlOverride>
  </w:num>
  <w:num w:numId="31">
    <w:abstractNumId w:val="3"/>
    <w:lvlOverride w:ilvl="0">
      <w:startOverride w:val="3"/>
    </w:lvlOverride>
  </w:num>
  <w:num w:numId="32">
    <w:abstractNumId w:val="16"/>
    <w:lvlOverride w:ilvl="0">
      <w:startOverride w:val="4"/>
    </w:lvlOverride>
  </w:num>
  <w:num w:numId="33">
    <w:abstractNumId w:val="18"/>
    <w:lvlOverride w:ilvl="0">
      <w:startOverride w:val="5"/>
    </w:lvlOverride>
  </w:num>
  <w:num w:numId="34">
    <w:abstractNumId w:val="4"/>
  </w:num>
  <w:num w:numId="35">
    <w:abstractNumId w:val="12"/>
  </w:num>
  <w:num w:numId="36">
    <w:abstractNumId w:val="17"/>
  </w:num>
  <w:num w:numId="37">
    <w:abstractNumId w:val="5"/>
  </w:num>
  <w:num w:numId="38">
    <w:abstractNumId w:val="0"/>
  </w:num>
  <w:num w:numId="39">
    <w:abstractNumId w:val="10"/>
  </w:num>
  <w:num w:numId="40">
    <w:abstractNumId w:val="1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C0"/>
    <w:rsid w:val="001202DA"/>
    <w:rsid w:val="0025705A"/>
    <w:rsid w:val="00960E9D"/>
    <w:rsid w:val="00A02160"/>
    <w:rsid w:val="00B37C7B"/>
    <w:rsid w:val="00B6437C"/>
    <w:rsid w:val="00C422D8"/>
    <w:rsid w:val="00F93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57FFB-B2B0-42C9-99EF-88C4E225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7C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37C7B"/>
    <w:rPr>
      <w:color w:val="0000FF"/>
      <w:u w:val="single"/>
    </w:rPr>
  </w:style>
  <w:style w:type="paragraph" w:styleId="ListParagraph">
    <w:name w:val="List Paragraph"/>
    <w:basedOn w:val="Normal"/>
    <w:uiPriority w:val="34"/>
    <w:qFormat/>
    <w:rsid w:val="00257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04823">
      <w:bodyDiv w:val="1"/>
      <w:marLeft w:val="0"/>
      <w:marRight w:val="0"/>
      <w:marTop w:val="0"/>
      <w:marBottom w:val="0"/>
      <w:divBdr>
        <w:top w:val="none" w:sz="0" w:space="0" w:color="auto"/>
        <w:left w:val="none" w:sz="0" w:space="0" w:color="auto"/>
        <w:bottom w:val="none" w:sz="0" w:space="0" w:color="auto"/>
        <w:right w:val="none" w:sz="0" w:space="0" w:color="auto"/>
      </w:divBdr>
      <w:divsChild>
        <w:div w:id="1263874051">
          <w:marLeft w:val="0"/>
          <w:marRight w:val="0"/>
          <w:marTop w:val="0"/>
          <w:marBottom w:val="0"/>
          <w:divBdr>
            <w:top w:val="none" w:sz="0" w:space="0" w:color="auto"/>
            <w:left w:val="none" w:sz="0" w:space="0" w:color="auto"/>
            <w:bottom w:val="none" w:sz="0" w:space="0" w:color="auto"/>
            <w:right w:val="none" w:sz="0" w:space="0" w:color="auto"/>
          </w:divBdr>
          <w:divsChild>
            <w:div w:id="1468669456">
              <w:marLeft w:val="0"/>
              <w:marRight w:val="0"/>
              <w:marTop w:val="0"/>
              <w:marBottom w:val="0"/>
              <w:divBdr>
                <w:top w:val="none" w:sz="0" w:space="0" w:color="auto"/>
                <w:left w:val="none" w:sz="0" w:space="0" w:color="auto"/>
                <w:bottom w:val="none" w:sz="0" w:space="0" w:color="auto"/>
                <w:right w:val="none" w:sz="0" w:space="0" w:color="auto"/>
              </w:divBdr>
              <w:divsChild>
                <w:div w:id="811556863">
                  <w:marLeft w:val="0"/>
                  <w:marRight w:val="0"/>
                  <w:marTop w:val="0"/>
                  <w:marBottom w:val="0"/>
                  <w:divBdr>
                    <w:top w:val="none" w:sz="0" w:space="0" w:color="auto"/>
                    <w:left w:val="none" w:sz="0" w:space="0" w:color="auto"/>
                    <w:bottom w:val="none" w:sz="0" w:space="0" w:color="auto"/>
                    <w:right w:val="none" w:sz="0" w:space="0" w:color="auto"/>
                  </w:divBdr>
                  <w:divsChild>
                    <w:div w:id="1284733031">
                      <w:marLeft w:val="0"/>
                      <w:marRight w:val="0"/>
                      <w:marTop w:val="0"/>
                      <w:marBottom w:val="0"/>
                      <w:divBdr>
                        <w:top w:val="none" w:sz="0" w:space="0" w:color="auto"/>
                        <w:left w:val="none" w:sz="0" w:space="0" w:color="auto"/>
                        <w:bottom w:val="none" w:sz="0" w:space="0" w:color="auto"/>
                        <w:right w:val="none" w:sz="0" w:space="0" w:color="auto"/>
                      </w:divBdr>
                    </w:div>
                    <w:div w:id="551037434">
                      <w:marLeft w:val="0"/>
                      <w:marRight w:val="0"/>
                      <w:marTop w:val="0"/>
                      <w:marBottom w:val="0"/>
                      <w:divBdr>
                        <w:top w:val="none" w:sz="0" w:space="0" w:color="auto"/>
                        <w:left w:val="none" w:sz="0" w:space="0" w:color="auto"/>
                        <w:bottom w:val="none" w:sz="0" w:space="0" w:color="auto"/>
                        <w:right w:val="none" w:sz="0" w:space="0" w:color="auto"/>
                      </w:divBdr>
                    </w:div>
                    <w:div w:id="1020861923">
                      <w:marLeft w:val="0"/>
                      <w:marRight w:val="0"/>
                      <w:marTop w:val="0"/>
                      <w:marBottom w:val="0"/>
                      <w:divBdr>
                        <w:top w:val="none" w:sz="0" w:space="0" w:color="auto"/>
                        <w:left w:val="none" w:sz="0" w:space="0" w:color="auto"/>
                        <w:bottom w:val="none" w:sz="0" w:space="0" w:color="auto"/>
                        <w:right w:val="none" w:sz="0" w:space="0" w:color="auto"/>
                      </w:divBdr>
                    </w:div>
                    <w:div w:id="1104032047">
                      <w:marLeft w:val="0"/>
                      <w:marRight w:val="0"/>
                      <w:marTop w:val="0"/>
                      <w:marBottom w:val="0"/>
                      <w:divBdr>
                        <w:top w:val="none" w:sz="0" w:space="0" w:color="auto"/>
                        <w:left w:val="none" w:sz="0" w:space="0" w:color="auto"/>
                        <w:bottom w:val="none" w:sz="0" w:space="0" w:color="auto"/>
                        <w:right w:val="none" w:sz="0" w:space="0" w:color="auto"/>
                      </w:divBdr>
                    </w:div>
                    <w:div w:id="322244140">
                      <w:marLeft w:val="0"/>
                      <w:marRight w:val="0"/>
                      <w:marTop w:val="0"/>
                      <w:marBottom w:val="0"/>
                      <w:divBdr>
                        <w:top w:val="none" w:sz="0" w:space="0" w:color="auto"/>
                        <w:left w:val="none" w:sz="0" w:space="0" w:color="auto"/>
                        <w:bottom w:val="none" w:sz="0" w:space="0" w:color="auto"/>
                        <w:right w:val="none" w:sz="0" w:space="0" w:color="auto"/>
                      </w:divBdr>
                    </w:div>
                    <w:div w:id="313409935">
                      <w:marLeft w:val="0"/>
                      <w:marRight w:val="0"/>
                      <w:marTop w:val="0"/>
                      <w:marBottom w:val="0"/>
                      <w:divBdr>
                        <w:top w:val="none" w:sz="0" w:space="0" w:color="auto"/>
                        <w:left w:val="none" w:sz="0" w:space="0" w:color="auto"/>
                        <w:bottom w:val="none" w:sz="0" w:space="0" w:color="auto"/>
                        <w:right w:val="none" w:sz="0" w:space="0" w:color="auto"/>
                      </w:divBdr>
                    </w:div>
                    <w:div w:id="1179470723">
                      <w:marLeft w:val="0"/>
                      <w:marRight w:val="0"/>
                      <w:marTop w:val="0"/>
                      <w:marBottom w:val="0"/>
                      <w:divBdr>
                        <w:top w:val="none" w:sz="0" w:space="0" w:color="auto"/>
                        <w:left w:val="none" w:sz="0" w:space="0" w:color="auto"/>
                        <w:bottom w:val="none" w:sz="0" w:space="0" w:color="auto"/>
                        <w:right w:val="none" w:sz="0" w:space="0" w:color="auto"/>
                      </w:divBdr>
                    </w:div>
                    <w:div w:id="101542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099938">
      <w:bodyDiv w:val="1"/>
      <w:marLeft w:val="0"/>
      <w:marRight w:val="0"/>
      <w:marTop w:val="0"/>
      <w:marBottom w:val="0"/>
      <w:divBdr>
        <w:top w:val="none" w:sz="0" w:space="0" w:color="auto"/>
        <w:left w:val="none" w:sz="0" w:space="0" w:color="auto"/>
        <w:bottom w:val="none" w:sz="0" w:space="0" w:color="auto"/>
        <w:right w:val="none" w:sz="0" w:space="0" w:color="auto"/>
      </w:divBdr>
      <w:divsChild>
        <w:div w:id="185683037">
          <w:marLeft w:val="0"/>
          <w:marRight w:val="0"/>
          <w:marTop w:val="0"/>
          <w:marBottom w:val="0"/>
          <w:divBdr>
            <w:top w:val="none" w:sz="0" w:space="0" w:color="auto"/>
            <w:left w:val="none" w:sz="0" w:space="0" w:color="auto"/>
            <w:bottom w:val="none" w:sz="0" w:space="0" w:color="auto"/>
            <w:right w:val="none" w:sz="0" w:space="0" w:color="auto"/>
          </w:divBdr>
          <w:divsChild>
            <w:div w:id="673843394">
              <w:marLeft w:val="0"/>
              <w:marRight w:val="0"/>
              <w:marTop w:val="0"/>
              <w:marBottom w:val="0"/>
              <w:divBdr>
                <w:top w:val="none" w:sz="0" w:space="0" w:color="auto"/>
                <w:left w:val="none" w:sz="0" w:space="0" w:color="auto"/>
                <w:bottom w:val="none" w:sz="0" w:space="0" w:color="auto"/>
                <w:right w:val="none" w:sz="0" w:space="0" w:color="auto"/>
              </w:divBdr>
              <w:divsChild>
                <w:div w:id="2022268785">
                  <w:marLeft w:val="0"/>
                  <w:marRight w:val="0"/>
                  <w:marTop w:val="0"/>
                  <w:marBottom w:val="0"/>
                  <w:divBdr>
                    <w:top w:val="none" w:sz="0" w:space="0" w:color="auto"/>
                    <w:left w:val="none" w:sz="0" w:space="0" w:color="auto"/>
                    <w:bottom w:val="none" w:sz="0" w:space="0" w:color="auto"/>
                    <w:right w:val="none" w:sz="0" w:space="0" w:color="auto"/>
                  </w:divBdr>
                  <w:divsChild>
                    <w:div w:id="77791356">
                      <w:marLeft w:val="0"/>
                      <w:marRight w:val="0"/>
                      <w:marTop w:val="0"/>
                      <w:marBottom w:val="0"/>
                      <w:divBdr>
                        <w:top w:val="none" w:sz="0" w:space="0" w:color="auto"/>
                        <w:left w:val="none" w:sz="0" w:space="0" w:color="auto"/>
                        <w:bottom w:val="none" w:sz="0" w:space="0" w:color="auto"/>
                        <w:right w:val="none" w:sz="0" w:space="0" w:color="auto"/>
                      </w:divBdr>
                    </w:div>
                    <w:div w:id="1953397904">
                      <w:marLeft w:val="0"/>
                      <w:marRight w:val="0"/>
                      <w:marTop w:val="0"/>
                      <w:marBottom w:val="0"/>
                      <w:divBdr>
                        <w:top w:val="none" w:sz="0" w:space="0" w:color="auto"/>
                        <w:left w:val="none" w:sz="0" w:space="0" w:color="auto"/>
                        <w:bottom w:val="none" w:sz="0" w:space="0" w:color="auto"/>
                        <w:right w:val="none" w:sz="0" w:space="0" w:color="auto"/>
                      </w:divBdr>
                    </w:div>
                    <w:div w:id="10366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881414">
      <w:bodyDiv w:val="1"/>
      <w:marLeft w:val="0"/>
      <w:marRight w:val="0"/>
      <w:marTop w:val="0"/>
      <w:marBottom w:val="0"/>
      <w:divBdr>
        <w:top w:val="none" w:sz="0" w:space="0" w:color="auto"/>
        <w:left w:val="none" w:sz="0" w:space="0" w:color="auto"/>
        <w:bottom w:val="none" w:sz="0" w:space="0" w:color="auto"/>
        <w:right w:val="none" w:sz="0" w:space="0" w:color="auto"/>
      </w:divBdr>
      <w:divsChild>
        <w:div w:id="1094208979">
          <w:marLeft w:val="0"/>
          <w:marRight w:val="0"/>
          <w:marTop w:val="0"/>
          <w:marBottom w:val="0"/>
          <w:divBdr>
            <w:top w:val="none" w:sz="0" w:space="0" w:color="auto"/>
            <w:left w:val="none" w:sz="0" w:space="0" w:color="auto"/>
            <w:bottom w:val="none" w:sz="0" w:space="0" w:color="auto"/>
            <w:right w:val="none" w:sz="0" w:space="0" w:color="auto"/>
          </w:divBdr>
          <w:divsChild>
            <w:div w:id="1343974396">
              <w:marLeft w:val="0"/>
              <w:marRight w:val="0"/>
              <w:marTop w:val="0"/>
              <w:marBottom w:val="0"/>
              <w:divBdr>
                <w:top w:val="none" w:sz="0" w:space="0" w:color="auto"/>
                <w:left w:val="none" w:sz="0" w:space="0" w:color="auto"/>
                <w:bottom w:val="none" w:sz="0" w:space="0" w:color="auto"/>
                <w:right w:val="none" w:sz="0" w:space="0" w:color="auto"/>
              </w:divBdr>
              <w:divsChild>
                <w:div w:id="924656114">
                  <w:marLeft w:val="0"/>
                  <w:marRight w:val="0"/>
                  <w:marTop w:val="0"/>
                  <w:marBottom w:val="0"/>
                  <w:divBdr>
                    <w:top w:val="none" w:sz="0" w:space="0" w:color="auto"/>
                    <w:left w:val="none" w:sz="0" w:space="0" w:color="auto"/>
                    <w:bottom w:val="none" w:sz="0" w:space="0" w:color="auto"/>
                    <w:right w:val="none" w:sz="0" w:space="0" w:color="auto"/>
                  </w:divBdr>
                  <w:divsChild>
                    <w:div w:id="2089572675">
                      <w:marLeft w:val="0"/>
                      <w:marRight w:val="0"/>
                      <w:marTop w:val="0"/>
                      <w:marBottom w:val="0"/>
                      <w:divBdr>
                        <w:top w:val="none" w:sz="0" w:space="0" w:color="auto"/>
                        <w:left w:val="none" w:sz="0" w:space="0" w:color="auto"/>
                        <w:bottom w:val="none" w:sz="0" w:space="0" w:color="auto"/>
                        <w:right w:val="none" w:sz="0" w:space="0" w:color="auto"/>
                      </w:divBdr>
                    </w:div>
                    <w:div w:id="716246739">
                      <w:marLeft w:val="0"/>
                      <w:marRight w:val="0"/>
                      <w:marTop w:val="0"/>
                      <w:marBottom w:val="0"/>
                      <w:divBdr>
                        <w:top w:val="none" w:sz="0" w:space="0" w:color="auto"/>
                        <w:left w:val="none" w:sz="0" w:space="0" w:color="auto"/>
                        <w:bottom w:val="none" w:sz="0" w:space="0" w:color="auto"/>
                        <w:right w:val="none" w:sz="0" w:space="0" w:color="auto"/>
                      </w:divBdr>
                    </w:div>
                    <w:div w:id="193396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808653">
      <w:bodyDiv w:val="1"/>
      <w:marLeft w:val="0"/>
      <w:marRight w:val="0"/>
      <w:marTop w:val="0"/>
      <w:marBottom w:val="0"/>
      <w:divBdr>
        <w:top w:val="none" w:sz="0" w:space="0" w:color="auto"/>
        <w:left w:val="none" w:sz="0" w:space="0" w:color="auto"/>
        <w:bottom w:val="none" w:sz="0" w:space="0" w:color="auto"/>
        <w:right w:val="none" w:sz="0" w:space="0" w:color="auto"/>
      </w:divBdr>
      <w:divsChild>
        <w:div w:id="1738626666">
          <w:marLeft w:val="0"/>
          <w:marRight w:val="0"/>
          <w:marTop w:val="0"/>
          <w:marBottom w:val="0"/>
          <w:divBdr>
            <w:top w:val="none" w:sz="0" w:space="0" w:color="auto"/>
            <w:left w:val="none" w:sz="0" w:space="0" w:color="auto"/>
            <w:bottom w:val="none" w:sz="0" w:space="0" w:color="auto"/>
            <w:right w:val="none" w:sz="0" w:space="0" w:color="auto"/>
          </w:divBdr>
          <w:divsChild>
            <w:div w:id="136150641">
              <w:marLeft w:val="0"/>
              <w:marRight w:val="0"/>
              <w:marTop w:val="0"/>
              <w:marBottom w:val="0"/>
              <w:divBdr>
                <w:top w:val="none" w:sz="0" w:space="0" w:color="auto"/>
                <w:left w:val="none" w:sz="0" w:space="0" w:color="auto"/>
                <w:bottom w:val="none" w:sz="0" w:space="0" w:color="auto"/>
                <w:right w:val="none" w:sz="0" w:space="0" w:color="auto"/>
              </w:divBdr>
              <w:divsChild>
                <w:div w:id="1071737577">
                  <w:marLeft w:val="0"/>
                  <w:marRight w:val="0"/>
                  <w:marTop w:val="0"/>
                  <w:marBottom w:val="0"/>
                  <w:divBdr>
                    <w:top w:val="none" w:sz="0" w:space="0" w:color="auto"/>
                    <w:left w:val="none" w:sz="0" w:space="0" w:color="auto"/>
                    <w:bottom w:val="none" w:sz="0" w:space="0" w:color="auto"/>
                    <w:right w:val="none" w:sz="0" w:space="0" w:color="auto"/>
                  </w:divBdr>
                  <w:divsChild>
                    <w:div w:id="1768888526">
                      <w:marLeft w:val="0"/>
                      <w:marRight w:val="0"/>
                      <w:marTop w:val="0"/>
                      <w:marBottom w:val="0"/>
                      <w:divBdr>
                        <w:top w:val="none" w:sz="0" w:space="0" w:color="auto"/>
                        <w:left w:val="none" w:sz="0" w:space="0" w:color="auto"/>
                        <w:bottom w:val="none" w:sz="0" w:space="0" w:color="auto"/>
                        <w:right w:val="none" w:sz="0" w:space="0" w:color="auto"/>
                      </w:divBdr>
                    </w:div>
                    <w:div w:id="216749716">
                      <w:marLeft w:val="0"/>
                      <w:marRight w:val="0"/>
                      <w:marTop w:val="0"/>
                      <w:marBottom w:val="0"/>
                      <w:divBdr>
                        <w:top w:val="none" w:sz="0" w:space="0" w:color="auto"/>
                        <w:left w:val="none" w:sz="0" w:space="0" w:color="auto"/>
                        <w:bottom w:val="none" w:sz="0" w:space="0" w:color="auto"/>
                        <w:right w:val="none" w:sz="0" w:space="0" w:color="auto"/>
                      </w:divBdr>
                    </w:div>
                    <w:div w:id="1010060098">
                      <w:marLeft w:val="0"/>
                      <w:marRight w:val="0"/>
                      <w:marTop w:val="0"/>
                      <w:marBottom w:val="0"/>
                      <w:divBdr>
                        <w:top w:val="none" w:sz="0" w:space="0" w:color="auto"/>
                        <w:left w:val="none" w:sz="0" w:space="0" w:color="auto"/>
                        <w:bottom w:val="none" w:sz="0" w:space="0" w:color="auto"/>
                        <w:right w:val="none" w:sz="0" w:space="0" w:color="auto"/>
                      </w:divBdr>
                    </w:div>
                    <w:div w:id="758600984">
                      <w:marLeft w:val="0"/>
                      <w:marRight w:val="0"/>
                      <w:marTop w:val="0"/>
                      <w:marBottom w:val="0"/>
                      <w:divBdr>
                        <w:top w:val="none" w:sz="0" w:space="0" w:color="auto"/>
                        <w:left w:val="none" w:sz="0" w:space="0" w:color="auto"/>
                        <w:bottom w:val="none" w:sz="0" w:space="0" w:color="auto"/>
                        <w:right w:val="none" w:sz="0" w:space="0" w:color="auto"/>
                      </w:divBdr>
                    </w:div>
                    <w:div w:id="1705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152231">
      <w:bodyDiv w:val="1"/>
      <w:marLeft w:val="0"/>
      <w:marRight w:val="0"/>
      <w:marTop w:val="0"/>
      <w:marBottom w:val="0"/>
      <w:divBdr>
        <w:top w:val="none" w:sz="0" w:space="0" w:color="auto"/>
        <w:left w:val="none" w:sz="0" w:space="0" w:color="auto"/>
        <w:bottom w:val="none" w:sz="0" w:space="0" w:color="auto"/>
        <w:right w:val="none" w:sz="0" w:space="0" w:color="auto"/>
      </w:divBdr>
      <w:divsChild>
        <w:div w:id="363286659">
          <w:marLeft w:val="0"/>
          <w:marRight w:val="0"/>
          <w:marTop w:val="0"/>
          <w:marBottom w:val="0"/>
          <w:divBdr>
            <w:top w:val="none" w:sz="0" w:space="0" w:color="auto"/>
            <w:left w:val="none" w:sz="0" w:space="0" w:color="auto"/>
            <w:bottom w:val="none" w:sz="0" w:space="0" w:color="auto"/>
            <w:right w:val="none" w:sz="0" w:space="0" w:color="auto"/>
          </w:divBdr>
          <w:divsChild>
            <w:div w:id="2029982321">
              <w:marLeft w:val="0"/>
              <w:marRight w:val="0"/>
              <w:marTop w:val="0"/>
              <w:marBottom w:val="0"/>
              <w:divBdr>
                <w:top w:val="none" w:sz="0" w:space="0" w:color="auto"/>
                <w:left w:val="none" w:sz="0" w:space="0" w:color="auto"/>
                <w:bottom w:val="none" w:sz="0" w:space="0" w:color="auto"/>
                <w:right w:val="none" w:sz="0" w:space="0" w:color="auto"/>
              </w:divBdr>
              <w:divsChild>
                <w:div w:id="1839535605">
                  <w:marLeft w:val="0"/>
                  <w:marRight w:val="0"/>
                  <w:marTop w:val="0"/>
                  <w:marBottom w:val="0"/>
                  <w:divBdr>
                    <w:top w:val="none" w:sz="0" w:space="0" w:color="auto"/>
                    <w:left w:val="none" w:sz="0" w:space="0" w:color="auto"/>
                    <w:bottom w:val="none" w:sz="0" w:space="0" w:color="auto"/>
                    <w:right w:val="none" w:sz="0" w:space="0" w:color="auto"/>
                  </w:divBdr>
                  <w:divsChild>
                    <w:div w:id="750614890">
                      <w:marLeft w:val="0"/>
                      <w:marRight w:val="0"/>
                      <w:marTop w:val="0"/>
                      <w:marBottom w:val="0"/>
                      <w:divBdr>
                        <w:top w:val="none" w:sz="0" w:space="0" w:color="auto"/>
                        <w:left w:val="none" w:sz="0" w:space="0" w:color="auto"/>
                        <w:bottom w:val="none" w:sz="0" w:space="0" w:color="auto"/>
                        <w:right w:val="none" w:sz="0" w:space="0" w:color="auto"/>
                      </w:divBdr>
                    </w:div>
                    <w:div w:id="1973093675">
                      <w:marLeft w:val="0"/>
                      <w:marRight w:val="0"/>
                      <w:marTop w:val="0"/>
                      <w:marBottom w:val="0"/>
                      <w:divBdr>
                        <w:top w:val="none" w:sz="0" w:space="0" w:color="auto"/>
                        <w:left w:val="none" w:sz="0" w:space="0" w:color="auto"/>
                        <w:bottom w:val="none" w:sz="0" w:space="0" w:color="auto"/>
                        <w:right w:val="none" w:sz="0" w:space="0" w:color="auto"/>
                      </w:divBdr>
                    </w:div>
                    <w:div w:id="5256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gis.com/home/item.html?id=a1ba14d09df14f42ad6ca3c4bcebf3b4" TargetMode="External"/><Relationship Id="rId13" Type="http://schemas.openxmlformats.org/officeDocument/2006/relationships/hyperlink" Target="https://github.com/Duke-NSOE/EEP/blob/master/Scripts/EEP_ComputeFlowlineShadeStats.py" TargetMode="External"/><Relationship Id="rId18" Type="http://schemas.openxmlformats.org/officeDocument/2006/relationships/hyperlink" Target="https://github.com/Duke-NSOE/EEP/blob/master/Scripts/EEP_ExtractNHDHabitatAttributes.p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arcgis.com/home/item.html?id=2bbf8c1f28ae46d5b807592ccfe970b0" TargetMode="External"/><Relationship Id="rId12" Type="http://schemas.openxmlformats.org/officeDocument/2006/relationships/hyperlink" Target="https://github.com/Duke-NSOE/EEP/blob/master/Scripts/EEP_ComputeFlowlineLULC.py" TargetMode="External"/><Relationship Id="rId17" Type="http://schemas.openxmlformats.org/officeDocument/2006/relationships/hyperlink" Target="https://connect.ncdot.gov/resources/gis/Lists/DataLayersTextAnnouncements/AllItems.aspx" TargetMode="External"/><Relationship Id="rId2" Type="http://schemas.openxmlformats.org/officeDocument/2006/relationships/styles" Target="styles.xml"/><Relationship Id="rId16" Type="http://schemas.openxmlformats.org/officeDocument/2006/relationships/hyperlink" Target="https://github.com/Duke-NSOE/EEP/blob/master/Scripts/EEP_ComputeRoadCrossings.py" TargetMode="External"/><Relationship Id="rId20" Type="http://schemas.openxmlformats.org/officeDocument/2006/relationships/hyperlink" Target="ftp://ec2-54-227-241-43.compute-1.amazonaws.com/NHDplus/NHDPlusV21/Data/Extensions/NLCD2011LandUse/0NHDPlusV2_NLCDLandUse_metadata_20141013.htm" TargetMode="External"/><Relationship Id="rId1" Type="http://schemas.openxmlformats.org/officeDocument/2006/relationships/numbering" Target="numbering.xml"/><Relationship Id="rId6" Type="http://schemas.openxmlformats.org/officeDocument/2006/relationships/hyperlink" Target="https://github.com/Duke-NSOE/EEP/blob/master/Scripts/EEP_ExtractESRILandscapeData.py" TargetMode="External"/><Relationship Id="rId11" Type="http://schemas.openxmlformats.org/officeDocument/2006/relationships/hyperlink" Target="http://www.arcgis.com/home/item.html?id=6b09b1c163c740559dc31cce9144222e" TargetMode="External"/><Relationship Id="rId5" Type="http://schemas.openxmlformats.org/officeDocument/2006/relationships/hyperlink" Target="https://github.com/Duke-NSOE/EEP/blob/master/Scripts/EEP_PrepData.py" TargetMode="External"/><Relationship Id="rId15" Type="http://schemas.openxmlformats.org/officeDocument/2006/relationships/hyperlink" Target="https://github.com/Duke-NSOE/EEP/blob/master/Scripts/EEP_ComputeFlowlineTemperature.py" TargetMode="External"/><Relationship Id="rId10" Type="http://schemas.openxmlformats.org/officeDocument/2006/relationships/hyperlink" Target="http://www.arcgis.com/home/item.html?id=93be1788338d492e8d9079abb65d5722" TargetMode="External"/><Relationship Id="rId19" Type="http://schemas.openxmlformats.org/officeDocument/2006/relationships/hyperlink" Target="ftp://ec2-54-227-241-43.compute-1.amazonaws.com/NHDplus/NHDPlusV21/Documentation/NHDPlusV2_User_Guide.pdf" TargetMode="External"/><Relationship Id="rId4" Type="http://schemas.openxmlformats.org/officeDocument/2006/relationships/webSettings" Target="webSettings.xml"/><Relationship Id="rId9" Type="http://schemas.openxmlformats.org/officeDocument/2006/relationships/hyperlink" Target="http://www.arcgis.com/home/item.html?id=64a95b092457466388f09136e331ff09" TargetMode="External"/><Relationship Id="rId14" Type="http://schemas.openxmlformats.org/officeDocument/2006/relationships/hyperlink" Target="https://github.com/Duke-NSOE/EEP/blob/master/Scripts/EEP_ComputeRiparianStats.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4</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Fay</dc:creator>
  <cp:keywords/>
  <dc:description/>
  <cp:lastModifiedBy>John Fay</cp:lastModifiedBy>
  <cp:revision>4</cp:revision>
  <dcterms:created xsi:type="dcterms:W3CDTF">2015-05-12T12:54:00Z</dcterms:created>
  <dcterms:modified xsi:type="dcterms:W3CDTF">2015-05-12T14:37:00Z</dcterms:modified>
</cp:coreProperties>
</file>