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Manuscript Draft: Methods and Results</w:t>
      </w:r>
    </w:p>
    <w:p>
      <w:pPr>
        <w:pStyle w:val="Normal"/>
      </w:pPr>
      <w:r>
        <w:t xml:space="preserve">PAD Major Lower-Extremity Amputation and Non-Home Discharge Risk Score: External Validation of Iannuzzi 2020 and Subramaniam mFI-5</w:t>
      </w:r>
    </w:p>
    <w:p>
      <w:pPr>
        <w:pStyle w:val="Normal"/>
      </w:pPr>
      <w:r>
        <w:t xml:space="preserve">Date: 2026-08-03</w:t>
      </w:r>
    </w:p>
    <w:p>
      <w:pPr>
        <w:pStyle w:val="Normal"/>
      </w:pPr>
      <w:r>
        <w:t xml:space="preserve"/>
      </w:r>
    </w:p>
    <w:p>
      <w:pPr>
        <w:pStyle w:val="Titre2"/>
      </w:pPr>
      <w:r>
        <w:t xml:space="preserve">1. Methods</w:t>
      </w:r>
    </w:p>
    <w:p>
      <w:pPr>
        <w:pStyle w:val="Titre3"/>
      </w:pPr>
      <w:r>
        <w:t xml:space="preserve">1.1. Data source</w:t>
      </w:r>
    </w:p>
    <w:p>
      <w:pPr>
        <w:pStyle w:val="Normal"/>
      </w:pPr>
      <w:r>
        <w:t xml:space="preserve">	This analysis used patient-level data mapped to the Observational Medical Outcomes Partnership Common Data Model (OMOP CDM; CDM version: 5.4; vocabulary release: v5.0 27-AUG-25). The study window spanned N/A to N/A. All cohort definitions, concept mappings, and analytic scripts are compatible with any OMOP CDM v5 data source. Full data source metadata are reported in Supplemental Table S1.</w:t>
      </w:r>
    </w:p>
    <w:p>
      <w:pPr>
        <w:pStyle w:val="Titre3"/>
      </w:pPr>
      <w:r>
        <w:t xml:space="preserve">1.2. Target and outcome cohort definitions</w:t>
      </w:r>
    </w:p>
    <w:p>
      <w:pPr>
        <w:pStyle w:val="Normal"/>
      </w:pPr>
      <w:r>
        <w:t xml:space="preserve">	The target cohort comprised adults aged 18 years or older who underwent an inpatient major lower-extremity amputation. The index event was defined by six OMOP procedure concept ancestors and all descendants via the concept_ancestor table: above-knee amputation (concept 4195136), amputation through tibia and fibula / below-knee (concept 4338257), through-knee amputation (concept 4143795), hip disarticulation (concept 4242396), ankle disarticulation (concept 4264289), and hemipelvectomy (concept 36675618). At least one of the following indications was required to be documented on or before the index date: peripheral arterial disease (SNOMED 399957001 and descendants), diabetes mellitus (SNOMED 73211009 and descendants), or a lower-extremity wound (ulcers, open wounds, gangrene, soft-tissue infection, osteomyelitis, or diabetic foot). These eligibility criteria exclude traumatic, burn, and oncologic amputations. Patients were required to have at least 1 day(s) of prior observation before the index date (a minimal requirement that accommodates emergency presentations). All patients were enrolled from inpatient visits (OMOP visit_concept_id 9201) only.</w:t>
      </w:r>
    </w:p>
    <w:p>
      <w:pPr>
        <w:pStyle w:val="Normal"/>
      </w:pPr>
      <w:r>
        <w:t xml:space="preserve">	The outcome was non-home discharge (NHD) at the end of the index hospitalization, defined as any unambiguously non-home discharge destination. Discharge destination was ascertained from visit_occurrence.discharged_to_concept_id using a dynamic vocabulary query resolved at runtime. Non-home destinations include skilled nursing facility (SNF), inpatient rehabilitation facility (IRF), long-term acute care (LTAC), hospice, and other institutional care. Hospice is classified as a single non-home category regardless of setting; a known limitation is that this does not distinguish home hospice (UB-04 NUBC code 50) from facility-based hospice (code 51), which the Iannuzzi 2020 score's own NHD definition (rehabilitation or SNF only, excluding hospice and LTAC entirely — see Supplemental Table S2) does not need to resolve; this distinction was not implemented because the current synthetic cohort does not generate hospice discharges to validate the split against, and should be addressed before this classification is relied on with a real-data cohort that does include hospice discharges. NHD is a complete-case classification, not an exclusion: every patient in the target cohort is retained in both the NHD rate's numerator and denominator, and is classified as NOT non-home discharge (i.e., presumed home) whenever the destination cannot be confirmed as non-home. Concretely: patients with null, zero, or unresolved discharge_to_concept_id (mapping to 'No matching concept' or equivalent in the local vocabulary) are classified as not-NHD because the true discharge destination could not be confirmed non-home — this is a conservative default that may under-count true NHD events among these patients, and is noted as a limitation. Patients whose UB-04 source code was 'HO' (Home) are classified as home discharges (not-NHD); where the ETL had additionally assigned a conflicting non-home concept_id to these visits, the source code is treated as authoritative. Patients with source code 'AM' (against medical advice) are likewise classified as home discharges (not-NHD). The outcome was attributed to the index hospitalization. The dataset contained 195 patients with at least one qualifying amputation within the study window.</w:t>
      </w:r>
    </w:p>
    <w:p>
      <w:pPr>
        <w:pStyle w:val="Titre3"/>
      </w:pPr>
      <w:r>
        <w:t xml:space="preserve">1.3. Risk score evaluation</w:t>
      </w:r>
    </w:p>
    <w:p>
      <w:pPr>
        <w:pStyle w:val="Normal"/>
      </w:pPr>
      <w:r>
        <w:t xml:space="preserve">	No published risk score exists for non-home discharge after major lower-extremity amputation. Each instrument evaluated here was derived for a different outcome, a different population, or both: the Iannuzzi 2020 score predicts NHD but was derived in patients undergoing elective lower extremity bypass; the Subramaniam mFI-5 is a general frailty index derived to predict mortality, postoperative complications, and unplanned readmission rather than discharge destination; and the Kraiss 2022 simple VQI Frailty Score (sVQI-FS) was derived to predict 9-month mortality in non-emergent vascular surgery cases. We therefore evaluated whether any of these existing instruments transports to NHD prediction in amputation patients. This is a screening step, undertaken as a benchmark before committing to de novo model development; it is not an external validation of the scores against the outcomes and populations for which they were designed.</w:t>
      </w:r>
    </w:p>
    <w:p>
      <w:pPr>
        <w:pStyle w:val="Normal"/>
      </w:pPr>
      <w:r>
        <w:t xml:space="preserve">	Three published integer risk scores were evaluated. The Iannuzzi 2020 NHD integer risk score (range 0–18 points) predicts non-home discharge using age, the sex/race interaction, ambulatory status, tissue loss, anemia, and insulin-dependent diabetes. Its published sex/race term is a four-level interaction (white male 0, white female +1, nonwhite male +2, nonwhite female +3); because those integer weights are exactly additive, we implement them as two independent binary components (female +1, non-White +2), which reproduces the published point totals exactly rather than ignoring the interaction. The Subramaniam 2018 modified Frailty Index — 5-item (mFI-5, range 0–5 points) assigns one point each for diabetes mellitus, COPD, congestive heart failure, hypertension requiring medication, and dependent functional status. The Kraiss 2022 simple VQI Frailty Score (sVQI-FS, implemented here as a 0–10 integer point sum) assigns one point each for hypertension, congestive heart failure, coronary artery disease, peripheral vascular disease, diabetes, COPD, renal impairment, anemia, underweight status, and non-ambulatory status. The eleventh published item — non-home residence — is omitted because it is near-circular with the non-home discharge outcome and has no clean standard concept in this vocabulary build. We evaluate the equally weighted form of the score; the authors' preferred differentially weighted VQI-FS could not be applied because it requires nomogram regression coefficients together with a procedure-specific risk term whose categories (carotid endarterectomy, carotid artery stenting, endovascular and open abdominal aortic aneurysm repair, peripheral vascular intervention, suprainguinal and infrainguinal bypass) do not include major amputation. The implications of both departures are addressed in the Limitations discussion. For each score, covariates were extracted from the OMOP CDM using component-specific lookback windows relative to the index amputation date (Tables 3a–3c). A patient meeting the minimum event threshold for a given component received the full integer point value; those below threshold received zero. Absent records were treated as zero evidence for that component. The source publication does not compute the sVQI-FS when fewer than five frailty domains have available data; because component ascertainment here is based on the presence or absence of coded records rather than on registry fields with an explicit missing state, no equivalent suppression rule was applied and every patient in the cohort received a score.</w:t>
      </w:r>
    </w:p>
    <w:p>
      <w:pPr>
        <w:pStyle w:val="Normal"/>
      </w:pPr>
      <w:r>
        <w:t xml:space="preserve">	Six model specifications were evaluated. (1) Iannuzzi 2020 — published lookup: predicted NHD probabilities drawn from the original score-to-risk table without any local refitting. Because the published table's tail is non-monotonic in the sparse high-score cells, the mapping used here is a monotone (isotonic) fit pooling the derivation and validation columns of the source publication's Table III; both raw columns are retained in covariates/risk_lookup.csv for provenance. (2) Iannuzzi 2020 — temporal recalibration: a logistic regression of the total integer score on the observed binary NHD outcome, fitted on the chronologically earlier half of the cohort (training set) and evaluated on the later half (test set). This quantifies the improvement in calibration obtainable by re-anchoring the score's probability scale to the local event rate. (3) mFI-5 — raw score and (4) mFI-5 — temporal recalibration: the same procedure applied to the mFI-5 raw integer score. Because no published NHD probability mapping exists for the mFI-5, recalibration is required to obtain predicted probabilities. (5) sVQI-FS — raw score and (6) sVQI-FS — temporal recalibration: likewise applied to the sVQI-FS raw integer score, for which no published NHD probability mapping exists either. Because logistic recalibration of a single predictor is a strictly monotone transform, the raw-score and recalibrated specifications of a given score share the same discrimination by construction; AUROC and AUPRC are therefore computed once per score and reported in both columns.</w:t>
      </w:r>
    </w:p>
    <w:p>
      <w:pPr>
        <w:pStyle w:val="Normal"/>
      </w:pPr>
      <w:r>
        <w:t xml:space="preserve">	Patients were sorted chronologically by index amputation date and divided at the midpoint (floor(n / 2) training rows). Each recalibration logistic regression was fitted exclusively on the training set (earlier half), and every specification that involves local fitting — the recalibrated and raw-score models — was evaluated on the test set (later half) only. This prevents optimistic bias from evaluating a locally fitted model on the data used to fit it, and provides an estimate of prospective performance on future patients from the same source. The Iannuzzi published-lookup specification is the exception: it is a fixed external mapping with no parameters estimated from these data, so restricting it to the test half would discard half the available events without removing any bias. It is therefore evaluated over the full cohort. Table 4 states the evaluation set for every column.</w:t>
      </w:r>
    </w:p>
    <w:p>
      <w:pPr>
        <w:pStyle w:val="Normal"/>
      </w:pPr>
      <w:r>
        <w:t xml:space="preserve">	Patients were sorted chronologically by index date and divided into a training set (n = 97; through 2018-10-01) used only to fit the recalibration models and a test set (n = 98; after 2018-10-01) on which the recalibrated and raw-score specifications were evaluated. The same split applies to every score.</w:t>
      </w:r>
    </w:p>
    <w:p>
      <w:pPr>
        <w:pStyle w:val="Normal"/>
      </w:pPr>
      <w:r>
        <w:t xml:space="preserve">	Discrimination was summarised using the area under the receiver operating characteristic curve (AUROC) and the area under the precision-recall curve (AUPRC), each with 95% bootstrap percentile confidence intervals (B = 500 resamples). Calibration was assessed using the Brier score, expected calibration error (ECE), calibration intercept, and calibration slope, each with 95% bootstrap percentile CIs. ECE was computed as the probability-weighted mean absolute difference between mean predicted and observed NHD rates across quantile-based bins. Calibration plots compare mean predicted risk versus observed event rate within each bin; the dashed diagonal represents perfect calibration.</w:t>
      </w:r>
    </w:p>
    <w:p>
      <w:pPr>
        <w:pStyle w:val="Titre3"/>
      </w:pPr>
      <w:r>
        <w:t xml:space="preserve">1.4. Subgroup analysis and bias assessment</w:t>
      </w:r>
    </w:p>
    <w:p>
      <w:pPr>
        <w:pStyle w:val="Normal"/>
      </w:pPr>
      <w:r>
        <w:t xml:space="preserve">	Model calibration was assessed across prespecified patient subgroups to identify populations in which the recalibrated risk scores may systematically over- or underestimate observed non-home discharge risk. Subgroups evaluated included biological sex, race, ethnicity, age group (&lt;65, 65–74, ≥75 years), amputation level (above-knee, below-knee, other), and calendar year of the index procedure. Expected calibration error (ECE) was computed within each subgroup as the weighted mean absolute difference between grouped predicted and observed event rates across quantile-based bins. Uncertainty was quantified using 200 bootstrap resamples (percentile 95% CI). Subgroup levels with fewer than 10 observed NHD events were suppressed to avoid unreliable estimates. Subgroup ECE is computed on the same temporal test partition as the overall ECE reported in Table 4, so the two are directly comparable. Results are presented separately for the Iannuzzi 2020 (Recalibrated) model in Supplemental Table S9 and Supplemental Figure S10; the mFI-5 (Recalibrated) model in Supplemental Table S11 and Supplemental Figure S12; the sVQI-FS (Recalibrated) model in Supplemental Table S13 and Supplemental Figure S14.</w:t>
      </w:r>
    </w:p>
    <w:p>
      <w:pPr/>
      <w:r>
        <w:br w:type="page"/>
      </w:r>
    </w:p>
    <w:p>
      <w:pPr>
        <w:pStyle w:val="Titre2"/>
      </w:pPr>
      <w:r>
        <w:t xml:space="preserve">2. Results</w:t>
      </w:r>
    </w:p>
    <w:p>
      <w:pPr>
        <w:pStyle w:val="Titre3"/>
      </w:pPr>
      <w:r>
        <w:t xml:space="preserve">2.1. Cohort characteristics</w:t>
      </w:r>
    </w:p>
    <w:p>
      <w:pPr>
        <w:pStyle w:val="Normal"/>
      </w:pPr>
      <w:r>
        <w:t xml:space="preserve">The final target cohort included 195 patients, of whom 195 experienced non-home discharge (NHD), corresponding to an observed NHD rate of 100.0%.</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median (IQR),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63 (57–71)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99 (50.8%)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96 (49.2%)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130 (66.7%)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60 (30.8%)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 (1.0%)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29 (14.9%)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Not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166 (85.1%)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Indication (not mutually exclusive)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Peripheral arterial disease (PAD)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168 (86.2%)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183 (93.8%)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Lower-extremity wound / gangrene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22 (11.3%)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Amputation level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Above-knee (AKA)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 (41.0%)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Below-knee (BKA)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115 (59.0%)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Outcome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Non-home discharge (NHD)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195 (100.0%)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Total cohort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195 (100.0%)</w:t>
            </w:r>
          </w:p>
        </w:tc>
      </w:tr>
    </w:tbl>
    <w:p>
      <w:pPr>
        <w:pStyle w:val="Normal"/>
      </w:pPr>
      <w:r>
        <w:rPr>
          <w:rFonts w:ascii="Calibri" w:hAnsi="Calibri" w:eastAsia="Calibri" w:cs="Calibri"/>
          <w:i w:val="false"/>
          <w:b w:val="true"/>
          <w:u w:val="none"/>
          <w:strike w:val="false"/>
          <w:sz w:val="20"/>
          <w:szCs w:val="20"/>
          <w:color w:val="000000"/>
        </w:rPr>
        <w:t xml:space="preserve">Table 1. Demographics and clinical characteristics of the validation cohort.</w:t>
      </w:r>
      <w:r>
        <w:rPr>
          <w:rFonts w:ascii="Calibri" w:hAnsi="Calibri" w:eastAsia="Calibri" w:cs="Calibri"/>
          <w:i w:val="false"/>
          <w:b w:val="false"/>
          <w:u w:val="none"/>
          <w:strike w:val="false"/>
          <w:sz w:val="20"/>
          <w:szCs w:val="20"/>
          <w:color w:val="000000"/>
        </w:rPr>
        <w:t xml:space="preserve"> Values are n (%) unless stated. Age is summarised as median (IQR). Race and ethnicity are derived from OMOP person table concept fields. Indication rows are not mutually exclusive; a patient may have more than one. PAD = peripheral arterial disease (ancestor 317309); diabetes mellitus (ancestor 201820); lower-extremity wound / gangrene (25 SNOMED ancestors — ulcers, open wounds, gangrene, soft-tissue infection, osteomyelitis, diabetic foot). Amputation level is assigned hierarchically: AKA (ancestor 4195136), then BKA (4338257), then Other (through-knee 4143795, hip disarticulation 4242396, ankle disarticulation 4264289, hemipelvectomy 36675618). Amputation level rows are mutually exclusive.</w:t>
      </w:r>
    </w:p>
    <w:p>
      <w:pPr>
        <w:pStyle w:val="Normal"/>
      </w:pPr>
      <w:r>
        <w:t xml:space="preserve"/>
      </w:r>
    </w:p>
    <w:p>
      <w:pPr/>
      <w:r>
        <w:br w:type="page"/>
      </w:r>
    </w:p>
    <w:p>
      <w:pPr>
        <w:pStyle w:val="Titre3"/>
      </w:pPr>
      <w:r>
        <w:t xml:space="preserve">2.2. NHD patient outcomes</w:t>
      </w:r>
    </w:p>
    <w:p>
      <w:pPr>
        <w:pStyle w:val="Normal"/>
      </w:pPr>
      <w:r>
        <w:t xml:space="preserve">Among the 195 patients who experienced non-home discharge (NHD) at the end of the index hospitalization, Table 2 summarises key post-discharge outcomes.</w:t>
      </w:r>
    </w:p>
    <w:tbl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Index hospitalization length of stay,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 days (IQR: 11–18)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Discharge destination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36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Skilled Nursing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53 (27.2%)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36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Rehabilitation Hospital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25 (12.8%)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90-day readmission,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57 (29.2%)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90-day mortality, 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 (1.0%)</w:t>
            </w:r>
          </w:p>
        </w:tc>
      </w:tr>
    </w:tbl>
    <w:p>
      <w:pPr>
        <w:pStyle w:val="Normal"/>
      </w:pPr>
      <w:r>
        <w:rPr>
          <w:rFonts w:ascii="Calibri" w:hAnsi="Calibri" w:eastAsia="Calibri" w:cs="Calibri"/>
          <w:i w:val="false"/>
          <w:b w:val="true"/>
          <w:u w:val="none"/>
          <w:strike w:val="false"/>
          <w:sz w:val="20"/>
          <w:szCs w:val="20"/>
          <w:color w:val="000000"/>
        </w:rPr>
        <w:t xml:space="preserve">Table 2. NHD patient outcomes at the index hospitalization and within 90 days.</w:t>
      </w:r>
      <w:r>
        <w:rPr>
          <w:rFonts w:ascii="Calibri" w:hAnsi="Calibri" w:eastAsia="Calibri" w:cs="Calibri"/>
          <w:i w:val="false"/>
          <w:b w:val="false"/>
          <w:u w:val="none"/>
          <w:strike w:val="false"/>
          <w:sz w:val="20"/>
          <w:szCs w:val="20"/>
          <w:color w:val="000000"/>
        </w:rPr>
        <w:t xml:space="preserve"> Denominator is all patients with non-home discharge at the index hospitalization (n = 195). Index hospitalization LOS: length of the inpatient visit (visit_concept_id 9201) containing the index procedure date, calculated as DATEDIFF(DAY, visit_start_date, COALESCE(visit_end_date, visit_start_date)). Discharge destination: destination concept name from visit_occurrence.discharged_to_concept_id joined to the vocabulary concept table; destinations with fewer than 11 patients are suppressed. 90-day readmission: any inpatient visit (visit_concept_id 9201) starting after the index hospitalization's discharge date and within 90 days of that discharge date (anchored on discharge, not admission, so patients with a longer index stay are not given a shorter effective follow-up window). 90-day mortality: any death record on or after the discharge date and within 90 days of it.</w:t>
      </w:r>
    </w:p>
    <w:p>
      <w:pPr>
        <w:pStyle w:val="Normal"/>
      </w:pPr>
      <w:r>
        <w:t xml:space="preserve"/>
      </w:r>
    </w:p>
    <w:p>
      <w:pPr>
        <w:pStyle w:val="Normal"/>
      </w:pPr>
      <w:r>
        <w:rPr/>
        <w:drawing>
          <wp:inline distT="0" distB="0" distL="0" distR="0">
            <wp:extent cx="5029200" cy="32004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1. Non-home discharge (NHD) rate by disposition type and amputation year.</w:t>
      </w:r>
      <w:r>
        <w:rPr>
          <w:rFonts w:ascii="Calibri" w:hAnsi="Calibri" w:eastAsia="Calibri" w:cs="Calibri"/>
          <w:i w:val="false"/>
          <w:b w:val="false"/>
          <w:u w:val="none"/>
          <w:strike w:val="false"/>
          <w:sz w:val="20"/>
          <w:szCs w:val="20"/>
          <w:color w:val="000000"/>
        </w:rPr>
        <w:t xml:space="preserve"> Non-home discharge (NHD) rate (%) by calendar year of index amputation, stratified by discharge disposition (SNF = Skilled Nursing Facility; IRF = Inpatient Rehabilitation Facility; LTAC = Long-term Acute Care; Hospice; Other NHD). Stacked bands show the cumulative NHD rate by disposition; the top edge of the uppermost band equals the overall NHD rate for that year. Points and lines trace the top edge of each disposition's contribution. Years with fewer than 11 patients are suppressed (small-cell privacy rule, matching Table 2's discharge-destination suppression threshold). Disposition is mapped from UB-04 discharged_to_source_value codes.</w:t>
      </w:r>
    </w:p>
    <w:p>
      <w:pPr>
        <w:pStyle w:val="Normal"/>
      </w:pPr>
      <w:r>
        <w:t xml:space="preserve"/>
      </w:r>
    </w:p>
    <w:p>
      <w:pPr/>
      <w:r>
        <w:br w:type="page"/>
      </w:r>
    </w:p>
    <w:p>
      <w:pPr>
        <w:pStyle w:val="Titre3"/>
      </w:pPr>
      <w:r>
        <w:t xml:space="preserve">2.3. Predictor activation</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Dependent functional status (frailty /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Partial or total dependence for ADLs, frailty, or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4086506 (Frailty, SNOMED 248279007) + 4306934 (Impaired mobility, SNOMED 82971005)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28.2%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 (current-pneumonia sub-component of mFI-5 omitted — documented limitation in EHR data)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prior)</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before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 (medication requirement not enforced — documented limitation)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bl>
    <w:p>
      <w:pPr>
        <w:pStyle w:val="Normal"/>
      </w:pPr>
      <w:r>
        <w:rPr>
          <w:rFonts w:ascii="Calibri" w:hAnsi="Calibri" w:eastAsia="Calibri" w:cs="Calibri"/>
          <w:i w:val="false"/>
          <w:b w:val="true"/>
          <w:u w:val="none"/>
          <w:strike w:val="false"/>
          <w:sz w:val="20"/>
          <w:szCs w:val="20"/>
          <w:color w:val="000000"/>
        </w:rPr>
        <w:t xml:space="preserve">Table 3a. Subramaniam mFI-5: component definitions and activation summary.</w:t>
      </w:r>
      <w:r>
        <w:rPr>
          <w:rFonts w:ascii="Calibri" w:hAnsi="Calibri" w:eastAsia="Calibri" w:cs="Calibri"/>
          <w:i w:val="false"/>
          <w:b w:val="false"/>
          <w:u w:val="none"/>
          <w:strike w:val="false"/>
          <w:sz w:val="20"/>
          <w:szCs w:val="20"/>
          <w:color w:val="000000"/>
        </w:rPr>
        <w:t xml:space="preserve"> The five Subramaniam 2018 mFI-5 components are listed with their point value (each = 1 point, range 0–5), OMOP-based definition, and observed activation rate in the validation cohort. All components use a 10-year lookback window except congestive heart failure (30-day lookback per the original publication). Absent records are treated as true negatives (missing_is_negative = TRUE for all components).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index</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the index amputation date</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64</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or more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sex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gender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8532 (Female)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8527 (White) as reference [vocab query]; non-White = race_concept_id ≠ 8527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Ambulatory deficit (use of any ambulatory device)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Use of any ambulatory assistive device (cane, walker, wheelchair, etc.)</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4012645, 437643, 439405, 36714126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36.4%</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Tissue loss (CLI indication —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Critical limb ischaemia indication: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4029926, 4291464 + descendants [vocab query]; see catalog entry tissue_loss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50.3%</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(Hgb less than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Pre-operative anemia: hemoglobin &lt;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3000963 (LOINC 718-7, Hgb) [vocab query]; see covariate_concepts.csv :: anemia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 use as proxy for 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21600713 (ATC: Insulins and analogues)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3b. Iannuzzi 2020 NHD score: component definitions and activation summary.</w:t>
      </w:r>
      <w:r>
        <w:rPr>
          <w:rFonts w:ascii="Calibri" w:hAnsi="Calibri" w:eastAsia="Calibri" w:cs="Calibri"/>
          <w:i w:val="false"/>
          <w:b w:val="false"/>
          <w:u w:val="none"/>
          <w:strike w:val="false"/>
          <w:sz w:val="20"/>
          <w:szCs w:val="20"/>
          <w:color w:val="000000"/>
        </w:rPr>
        <w:t xml:space="preserve"> The nine components of the Iannuzzi 2020 non-home discharge integer risk score are listed with point values (range 0–18), OMOP-based definitions, and observed activation rates in the validation cohort. For the anemia component (Hgb &lt; 10 g/dL), absent measurement records are treated as unknown (missing_is_negative = FALSE). All other components treat absent records as true negatives.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4185932 (Coronary arteriosclerosis)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vascular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arterial occlusive disease (diagnosis proxy; paper uses ABI &lt;0.7 or prior arterial intervention/amputation)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317309 (Peripheral arterial occlusive disease, SNOMED 399957001)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Renal impairment (creatinine &gt; 1.8 mg/dL or dialysis)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Creatinine &gt; 1.8 mg/dL or dialysis, the paper's own lab-value definition (no longer a diagnosis proxy — CORRECTED 2026-07-26 after the prior CKD-diagnosis proxy activated in 224/225 patients, 99.6%, due to an over-broad concept-ancestor expansion)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3016723 (Creatinine [Mass/volume] in Serum or Plasma, LOINC) thresholded at &gt;1.8 mg/dL, OR Concepts 4146536 (Renal dialysis) / 4032243 (Dialysis procedure)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(sex-specific Hgb threshold: &lt;13 g/dL M / &lt;12 g/dL F)</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Hgb &lt; 13 g/dL (male) / &lt; 12 g/dL (female), the paper's own sex-specific lab threshold (no longer a diagnosis proxy — CORRECTED 2026-07-26 after the prior anemia-diagnosis proxy activated in only 3/225 patients, 1.3%, under-capturing relative to the lab threshold)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3000963 (Hemoglobin [Mass/volume] in Blood, LOINC 718-7) — the same measurement Iannuzzi's single-threshold anemia component uses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Underweight (BMI &lt; 18.5)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BMI &lt; 18.5, the paper's own cut-point (direct measurement preferred; weight/height fallback)</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3038553, 36304833 (BMI direct); 3025315, 3013762, 3011054, 3026600 (weight); 3036277, 3023540, 3015514 (height)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Non-ambulatory / impaired ambulation status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Impaired ambulation, walking aid use, or gait abnormality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4012645, 437643, 439405, 36714126 (Observation/Clinical Finding) + 4085915 (Provision of long cane, Procedure) + 4044714 (Using wheelchair, Observation) + 4240470 (Wheelchair, Device) [vocab query]; see phenotype_library/catalog.yaml :: ambulatory_deficit for per-concept domain notes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36.4%</w:t>
            </w:r>
          </w:p>
        </w:tc>
      </w:tr>
    </w:tbl>
    <w:p>
      <w:pPr>
        <w:pStyle w:val="Normal"/>
      </w:pPr>
      <w:r>
        <w:rPr>
          <w:rFonts w:ascii="Calibri" w:hAnsi="Calibri" w:eastAsia="Calibri" w:cs="Calibri"/>
          <w:i w:val="false"/>
          <w:b w:val="true"/>
          <w:u w:val="none"/>
          <w:strike w:val="false"/>
          <w:sz w:val="20"/>
          <w:szCs w:val="20"/>
          <w:color w:val="000000"/>
        </w:rPr>
        <w:t xml:space="preserve">Table 3c. Kraiss 2022 sVQI-FS: component definitions and activation summary.</w:t>
      </w:r>
      <w:r>
        <w:rPr>
          <w:rFonts w:ascii="Calibri" w:hAnsi="Calibri" w:eastAsia="Calibri" w:cs="Calibri"/>
          <w:i w:val="false"/>
          <w:b w:val="false"/>
          <w:u w:val="none"/>
          <w:strike w:val="false"/>
          <w:sz w:val="20"/>
          <w:szCs w:val="20"/>
          <w:color w:val="000000"/>
        </w:rPr>
        <w:t xml:space="preserve"> Ten of the eleven Kraiss 2022 simple VQI Frailty Score components are listed with their point value (each = 1 point, range 0–10 as implemented here; non-home residence is omitted, see covariates/covariates_vqifs.csv header), OMOP-based definition, and observed activation rate in the validation cohort. All components use a 10-year lookback window. Renal impairment (serum creatinine &gt; 1.8 mg/dL or dialysis) and anemia (hemoglobin &lt; 13 g/dL in males, &lt; 12 g/dL in females) apply the source publication's own laboratory thresholds rather than diagnosis proxies; underweight uses a direct BMI &lt; 18.5 measurement threshold. Peripheral vascular disease remains a diagnosis-based proxy rather than the paper's ankle-brachial index &lt; 0.7 or prior arterial intervention definition. Absent records are treated as true negatives (missing_is_negative = TRUE) for all components except underweight and anemia, where an unmeasured BMI or hemoglobin value is treated as unknown rather than a true negative.</w:t>
      </w:r>
    </w:p>
    <w:p>
      <w:pPr>
        <w:pStyle w:val="Normal"/>
      </w:pPr>
      <w:r>
        <w:t xml:space="preserve"/>
      </w:r>
    </w:p>
    <w:p>
      <w:pPr/>
      <w:r>
        <w:br w:type="page"/>
      </w:r>
    </w:p>
    <w:p>
      <w:pPr>
        <w:pStyle w:val="Titre3"/>
      </w:pPr>
      <w:r>
        <w:t xml:space="preserve">2.4. Model performance</w:t>
      </w:r>
    </w:p>
    <w:tbl xmlns:a="http://schemas.openxmlformats.org/drawingml/2006/main" xmlns:pic="http://schemas.openxmlformats.org/drawingml/2006/picture">
      <w:tblPr>
        <w:tblLayout w:type="fixed"/>
        <w:jc w:val="center"/>
        <w:tblLook w:firstRow="1" w:lastRow="0" w:firstColumn="0" w:lastColumn="0" w:noHBand="0" w:noVBand="1"/>
      </w:tblPr>
      <w:tblGrid>
        <w:gridCol w:w="1872"/>
        <w:gridCol w:w="1440"/>
        <w:gridCol w:w="1440"/>
        <w:gridCol w:w="1296"/>
        <w:gridCol w:w="1440"/>
        <w:gridCol w:w="1296"/>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Metric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(Lookup,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AUROC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AUPRC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Brier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Expected calibration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 —</w:t>
            </w:r>
          </w:p>
        </w:tc>
      </w:tr>
    </w:tbl>
    <w:p>
      <w:pPr>
        <w:pStyle w:val="Normal"/>
      </w:pPr>
      <w:r>
        <w:rPr>
          <w:rFonts w:ascii="Calibri" w:hAnsi="Calibri" w:eastAsia="Calibri" w:cs="Calibri"/>
          <w:i w:val="false"/>
          <w:b w:val="true"/>
          <w:u w:val="none"/>
          <w:strike w:val="false"/>
          <w:sz w:val="20"/>
          <w:szCs w:val="20"/>
          <w:color w:val="000000"/>
        </w:rPr>
        <w:t xml:space="preserve">Table 4. Model performance: discrimination and calibration metrics for Iannuzzi 2020 (published lookup), Subramaniam mFI-5 (raw integer score), and Kraiss 2022 sVQI-FS (raw integer score).</w:t>
      </w:r>
      <w:r>
        <w:rPr>
          <w:rFonts w:ascii="Calibri" w:hAnsi="Calibri" w:eastAsia="Calibri" w:cs="Calibri"/>
          <w:i w:val="false"/>
          <w:b w:val="false"/>
          <w:u w:val="none"/>
          <w:strike w:val="false"/>
          <w:sz w:val="20"/>
          <w:szCs w:val="20"/>
          <w:color w:val="000000"/>
        </w:rPr>
        <w:t xml:space="preserve"> Six model specifications are compared. Iannuzzi 2020 (Lookup): predicted probabilities drawn from a refitted score-to-risk lookup (monotone isotonic fit, resolving the non-monotonic inversion in the published Table III). Iannuzzi 2020 (Recalibrated): logistic regression of the total Iannuzzi integer score on the observed NHD outcome, fitted on the chronologically earlier half of the cohort (training set) and evaluated on the later half (test set). mFI-5 (Raw score): discrimination from the raw integer score (0–5) only; no published NHD probability mapping exists so calibration metrics are N/A. mFI-5 (Recalibrated): logistic recalibration of the mFI-5 raw score on the same temporal training split as above; all four metrics reported on the test set. sVQI-FS (Raw score): discrimination from the raw integer score only; no published NHD probability mapping exists so calibration metrics are N/A. sVQI-FS (Recalibrated): logistic recalibration of the sVQI-FS raw score on the same temporal training split as above; all four metrics reported on the test set. Iannuzzi 2020: metrics reported on the test set (n = 98; after 2018-10-01). mFI-5: metrics reported on the test set (n = 98; after 2018-10-01). sVQI-FS: metrics reported on the test set (n = 98; after 2018-10-01). N/A = metric not applicable for this specification. 95% CI = 95% bootstrap percentile confidence interval (B = 500 resamples). — indicates CI not available.</w:t>
      </w:r>
    </w:p>
    <w:p>
      <w:pPr>
        <w:pStyle w:val="Normal"/>
      </w:pPr>
      <w:r>
        <w:t xml:space="preserve"/>
      </w:r>
    </w:p>
    <w:p>
      <w:pPr>
        <w:pStyle w:val="Normal"/>
      </w:pPr>
      <w:r>
        <w:rPr/>
        <w:drawing>
          <wp:inline distT="0" distB="0" distL="0" distR="0">
            <wp:extent cx="4572000" cy="45720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45720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3. NHD risk score calibration — four model specifications.</w:t>
      </w:r>
      <w:r>
        <w:rPr>
          <w:rFonts w:ascii="Calibri" w:hAnsi="Calibri" w:eastAsia="Calibri" w:cs="Calibri"/>
          <w:i w:val="false"/>
          <w:b w:val="false"/>
          <w:u w:val="none"/>
          <w:strike w:val="false"/>
          <w:sz w:val="20"/>
          <w:szCs w:val="20"/>
          <w:color w:val="000000"/>
        </w:rPr>
        <w:t xml:space="preserve"> Calibration curves for four NHD risk score specifications. Blue solid line: Iannuzzi 2020 refitted score-to-risk lookup (monotone isotonic). Red dashed line: Iannuzzi 2020 temporal recalibration — logistic regression of the total integer score fitted on the chronologically earlier half of the cohort and evaluated on the later half. Green dot-dash line: mFI-5 temporal recalibration — same split applied to the mFI-5 score. Orange dotted line: Kraiss 2022 sVQI-FS temporal recalibration — same split applied to the sVQI-FS score. Mean predicted NHD risk (x-axis) vs. observed NHD rate (y-axis) by quantile bin. Dotted diagonal = perfect calibration.</w:t>
      </w:r>
    </w:p>
    <w:p>
      <w:pPr>
        <w:pStyle w:val="Normal"/>
      </w:pPr>
      <w:r>
        <w:t xml:space="preserve"/>
      </w:r>
    </w:p>
    <w:p>
      <w:pPr>
        <w:pStyle w:val="Titre3"/>
      </w:pPr>
      <w:r>
        <w:t xml:space="preserve">2.5. Risk tier analysis</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1008"/>
        <w:gridCol w:w="1296"/>
        <w:gridCol w:w="230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Risk Tier</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NHD 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Observed NHD Rate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(Lookup, full cohort)</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mFI-5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sVQI-FS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published score strata (full cohort)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(score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 (published 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Moderate (score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 (published 36.7%)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(score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 (published 66.1%)</w:t>
            </w:r>
          </w:p>
        </w:tc>
      </w:tr>
    </w:tbl>
    <w:p>
      <w:pPr>
        <w:pStyle w:val="Normal"/>
      </w:pPr>
      <w:r>
        <w:rPr>
          <w:rFonts w:ascii="Calibri" w:hAnsi="Calibri" w:eastAsia="Calibri" w:cs="Calibri"/>
          <w:i w:val="false"/>
          <w:b w:val="true"/>
          <w:u w:val="none"/>
          <w:strike w:val="false"/>
          <w:sz w:val="20"/>
          <w:szCs w:val="20"/>
          <w:color w:val="000000"/>
        </w:rPr>
        <w:t xml:space="preserve">Table 5. Risk tier classification by model specification. Patients are stratified into three tiers based on each model's predicted NHD risk: Low (&lt;30%), Intermediate (30–70%), and High (&gt;70%); a final section instead uses the Iannuzzi 2020 publication's own raw-score strata. The observed NHD rate within each tier provides a direct assessment of clinical utility.</w:t>
      </w:r>
      <w:r>
        <w:rPr>
          <w:rFonts w:ascii="Calibri" w:hAnsi="Calibri" w:eastAsia="Calibri" w:cs="Calibri"/>
          <w:i w:val="false"/>
          <w:b w:val="false"/>
          <w:u w:val="none"/>
          <w:strike w:val="false"/>
          <w:sz w:val="20"/>
          <w:szCs w:val="20"/>
          <w:color w:val="000000"/>
        </w:rPr>
        <w:t xml:space="preserve"> five specifications are shown in separate sections: Iannuzzi 2020 (Lookup, full cohort); Iannuzzi 2020 (Recalibrated, test set); mFI-5 (Recalibrated, test set); sVQI-FS (Recalibrated, test set); Iannuzzi 2020 published score strata (full cohort). EVALUATION SET: recalibrated specifications are restricted to the temporal test partition, matching Table 4, because the training half was used to fit their recalibration. The published lookup and the published score strata involve no fitting and are therefore reported over the full cohort. N = number of patients assigned to that tier by the corresponding model. NHD Events = number with non-home discharge. Observed NHD Rate = NHD Events / N. Predicted risk thresholds: Low &lt;30%, Intermediate 30–70%, High &gt;70%. Iannuzzi published score strata: Low 0–4, Moderate 5–9, High ≥10, with the publication's own observed rates (10.1% / 36.7% / 66.1%) shown in parentheses for direct comparison. Note that logistic recalibration of a weakly discriminating integer score compresses the predicted probability range toward the cohort base rate; when this places every patient in a single probability tier, that is a substantive finding about the score's limited spread, not a computational artefact.</w:t>
      </w:r>
    </w:p>
    <w:p>
      <w:pPr>
        <w:pStyle w:val="Normal"/>
      </w:pPr>
      <w:r>
        <w:t xml:space="preserve"/>
      </w:r>
    </w:p>
    <w:p>
      <w:pPr/>
      <w:r>
        <w:br w:type="page"/>
      </w:r>
    </w:p>
    <w:p>
      <w:pPr>
        <w:pStyle w:val="Titre3"/>
      </w:pPr>
      <w:r>
        <w:t xml:space="preserve">2.6. Decision curve analysis</w:t>
      </w:r>
    </w:p>
    <w:p>
      <w:pPr>
        <w:pStyle w:val="Normal"/>
      </w:pPr>
      <w:r>
        <w:rPr/>
        <w:drawing>
          <wp:inline distT="0" distB="0" distL="0" distR="0">
            <wp:extent cx="5029200" cy="347472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029200" cy="347472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4. Decision curve analysis.</w:t>
      </w:r>
      <w:r>
        <w:rPr>
          <w:rFonts w:ascii="Calibri" w:hAnsi="Calibri" w:eastAsia="Calibri" w:cs="Calibri"/>
          <w:i w:val="false"/>
          <w:b w:val="false"/>
          <w:u w:val="none"/>
          <w:strike w:val="false"/>
          <w:sz w:val="20"/>
          <w:szCs w:val="20"/>
          <w:color w:val="000000"/>
        </w:rPr>
        <w:t xml:space="preserve"> Decision curve analysis for every NHD risk prediction model specification available in this run (Iannuzzi lookup and recalibrated; mFI-5 and sVQI-FS recalibrated, when their pipelines were run), evaluated on the temporal test partition so that all curves compare net benefit across the same patients. Net benefit is plotted across threshold probabilities from 1% to 99%. Model curves are compared with the 'treat-all' (dashed) and 'treat-none' (zero reference) strategies. Threshold probabilities correspond to the minimum predicted NHD risk at which a clinician would recommend an intervention.</w:t>
      </w:r>
    </w:p>
    <w:p>
      <w:pPr>
        <w:pStyle w:val="Normal"/>
      </w:pPr>
      <w:r>
        <w:t xml:space="preserve"/>
      </w:r>
    </w:p>
    <w:p>
      <w:pPr>
        <w:pStyle w:val="Titre3"/>
      </w:pPr>
      <w:r>
        <w:t xml:space="preserve">2.7. Subgroup bias assessment — Iannuzzi 2020 (Recalibrated)</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2304"/>
        <w:gridCol w:w="864"/>
        <w:gridCol w:w="1008"/>
        <w:gridCol w:w="1008"/>
        <w:gridCol w:w="172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Level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ECE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&lt;65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0.703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(0.664–0.74)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(0.469–0.601)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(0.566–0.674)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(0.606–0.699)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(0.475–0.6)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(0.641–0.719)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(0.6–0.746)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(0.591–0.666)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(0.545–0.712)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(0.537–0.743)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(0.583–0.727)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(0.628–0.764)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(0.598–0.77)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(0.535–0.71)</w:t>
            </w:r>
          </w:p>
        </w:tc>
      </w:tr>
    </w:tbl>
    <w:p>
      <w:pPr>
        <w:pStyle w:val="Normal"/>
      </w:pPr>
      <w:r>
        <w:rPr>
          <w:rFonts w:ascii="Calibri" w:hAnsi="Calibri" w:eastAsia="Calibri" w:cs="Calibri"/>
          <w:i w:val="false"/>
          <w:b w:val="true"/>
          <w:u w:val="none"/>
          <w:strike w:val="false"/>
          <w:sz w:val="20"/>
          <w:szCs w:val="20"/>
          <w:color w:val="000000"/>
        </w:rPr>
        <w:t xml:space="preserve">Supplemental Table S9. ECE by subgroup — Iannuzzi 2020 (Recalibrated).</w:t>
      </w:r>
      <w:r>
        <w:rPr>
          <w:rFonts w:ascii="Calibri" w:hAnsi="Calibri" w:eastAsia="Calibri" w:cs="Calibri"/>
          <w:i w:val="false"/>
          <w:b w:val="false"/>
          <w:u w:val="none"/>
          <w:strike w:val="false"/>
          <w:sz w:val="20"/>
          <w:szCs w:val="20"/>
          <w:color w:val="000000"/>
        </w:rPr>
        <w:t xml:space="preserve"> Subgroups with fewer than 10 observed NHD events are suppressed. Overall ECE = 0. 95% CI = bootstrap percentile interval (B = 200 resamples).</w:t>
      </w:r>
    </w:p>
    <w:p>
      <w:pPr>
        <w:pStyle w:val="Normal"/>
      </w:pPr>
      <w:r>
        <w:t xml:space="preserve"/>
      </w:r>
    </w:p>
    <w:p>
      <w:pPr>
        <w:pStyle w:val="Normal"/>
      </w:pPr>
      <w:r>
        <w:rPr/>
        <w:drawing>
          <wp:inline distT="0" distB="0" distL="0" distR="0">
            <wp:extent cx="5029200" cy="585216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029200" cy="585216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S10. Subgroup calibration forest plot — Iannuzzi 2020 (Recalibrated).</w:t>
      </w:r>
      <w:r>
        <w:rPr>
          <w:rFonts w:ascii="Calibri" w:hAnsi="Calibri" w:eastAsia="Calibri" w:cs="Calibri"/>
          <w:i w:val="false"/>
          <w:b w:val="false"/>
          <w:u w:val="none"/>
          <w:strike w:val="false"/>
          <w:sz w:val="20"/>
          <w:szCs w:val="20"/>
          <w:color w:val="000000"/>
        </w:rPr>
        <w:t xml:space="preserve"> Expected calibration error (ECE) with 95% bootstrap percentile CIs (B = 200) by subgroup. Dashed vertical line = overall ECE. Subgroups with &lt; 10 NHD events are suppressed.</w:t>
      </w:r>
    </w:p>
    <w:p>
      <w:pPr>
        <w:pStyle w:val="Normal"/>
      </w:pPr>
      <w:r>
        <w:t xml:space="preserve"/>
      </w:r>
    </w:p>
    <w:p>
      <w:pPr>
        <w:pStyle w:val="Titre2"/>
      </w:pPr>
      <w:r>
        <w:t xml:space="preserve">3. Supplemental Material</w:t>
      </w:r>
    </w:p>
    <w:p>
      <w:pPr>
        <w:pStyle w:val="Titre3"/>
      </w:pPr>
      <w:r>
        <w:t xml:space="preserve">CDM source metadata</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Source Name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 synthetic health database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Abbreviation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OHDSI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Vocabulary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v5.0 27-AUG-25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Start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End Date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bl>
    <w:p>
      <w:pPr>
        <w:pStyle w:val="Normal"/>
      </w:pPr>
      <w:r>
        <w:rPr>
          <w:rFonts w:ascii="Calibri" w:hAnsi="Calibri" w:eastAsia="Calibri" w:cs="Calibri"/>
          <w:i w:val="false"/>
          <w:b w:val="true"/>
          <w:u w:val="none"/>
          <w:strike w:val="false"/>
          <w:sz w:val="20"/>
          <w:szCs w:val="20"/>
          <w:color w:val="000000"/>
        </w:rPr>
        <w:t xml:space="preserve">Supplemental Table S1. CDM source metadata.</w:t>
      </w:r>
      <w:r>
        <w:rPr>
          <w:rFonts w:ascii="Calibri" w:hAnsi="Calibri" w:eastAsia="Calibri" w:cs="Calibri"/>
          <w:i w:val="false"/>
          <w:b w:val="false"/>
          <w:u w:val="none"/>
          <w:strike w:val="false"/>
          <w:sz w:val="20"/>
          <w:szCs w:val="20"/>
          <w:color w:val="000000"/>
        </w:rPr>
        <w:t xml:space="preserve"> Metadata from the cdm_source table of the OMOP CDM instance used for this analysis. CDM Version and Vocabulary Version confirm compliance with OMOP CDM v5.4 and the Athena vocabulary release used during ETL.</w:t>
      </w:r>
    </w:p>
    <w:p>
      <w:pPr>
        <w:pStyle w:val="Normal"/>
      </w:pPr>
      <w:r>
        <w:t xml:space="preserve"/>
      </w:r>
    </w:p>
    <w:p>
      <w:pPr>
        <w:pStyle w:val="Titre3"/>
      </w:pPr>
      <w:r>
        <w:t xml:space="preserve">Model descriptions</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676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Description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Iannuzzi 2020 NHD integer risk score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Iannuzzi JC et al. J Vasc Surg 2020;71:889-95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Study Group of New England (VSGNE), 2003-2017; elective lower extremity bypass (LEB) for peripheral arterial disease (n = 10,145)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urgent or emergent cases; not admitted from home; bedridden; died during index admission.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Non-home discharge (NHD): discharge to rehabilitation facility or skilled nursing facility (SNF) ONLY. Does NOT include hospice or long-term acute care (LTAC) — narrower than this study's NHD outcome definition, which additionally counts hospice and LTAC as non-home (see Methods 1.2 and the Limitations discussion of this population/outcome mismatch).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Prediction 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Index hospitalisation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Integer score (0-18 pts) from 9 pre-operative components: age 60-69 (+2), 70-79 (+4), &gt;=80 (+6) [reference: age &lt;60, 0 pts]; sex/race interaction modelled as white female (+1), nonwhite male (+2), nonwhite female (+3) [reference: white male, 0 pts; implemented in this study as two additive binary components, female +1 and non-White +2, which reproduces the published point totals exactly because the interaction's integer weights are exactly additive]; ambulation deficit (+3); tissue loss (+3); anemia (+2); insulin-dependent diabetes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0.77; Validation: 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Subramaniam 2018 modified Frailty Index - 5-item (mFI-5)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Subramaniam S et al. J Am Coll Surg 2018;226:173-181.e8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ACS NSQIP, 2012 (last NSQIP year all 11 mFI variables were captured, per source); general surgery procedures (not amputation- or PAD-specific)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MORTALITY, postoperative complications, and unplanned 30-day readmission — NOT non-home discharge. mFI-5 is a general frailty index, not an NHD-specific score; this study repurposes it to test whether frailty burden transports to NHD prediction in this cohort (see the transportability framing in Methods 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Modified Frailty Index (5-item, range 0-5): 1 point each for diabetes mellitus (any type), COPD, congestive heart failure (30-day lookback per the original publication), hypertension (medication requirement not enforced in this implementation — a documented proxy limitation), and dependent functional status.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Not reported for NHD (mFI-5 was not derived to predict NHD)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Kraiss 2022 simple VQI Frailty Score (sVQI-FS)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Kraiss LW, Al-Dulaimi R, Allen CM, Mell MW, Arya S, Presson AP, Brooke BS. J Vasc Surg 2022;76:1325-34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Quality Initiative (VQI) — seven registries, 2010-2017; non-emergent vascular surgery cases (not amputation- or PAD-specific) (n = 265,632)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emergent cases.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9-MONTH MORTALITY (AUC 0.724) — NOT non-home discharge. Like the mFI-5, this study repurposes the sVQI-FS to test transportability to NHD prediction rather than treating it as an NHD score being externally validated on its own terms.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published instrument is a PROPORTION, not an integer count: sVQI-FS = (number of positive frailty items) / (number of items evaluated), over 11 items, and is not computed at all when fewer than five domains have data. This study recasts it as an integer point sum (1 point per positive item) so it is directly comparable with the Iannuzzi and mFI-5 integer scores in this repo, and scores every patient rather than suppressing sparse records. Implemented here as 0-10; the published instrument's 11th item, non-home residence, is omitted — see covariates/covariates_vqifs.csv header. 1 point each for hypertension, congestive heart failure, coronary artery disease, peripheral vascular disease, diabetes mellitus, COPD, renal impairment (creatinine &gt;1.8 mg/dL or dialysis), anemia (sex-specific Hgb threshold), underweight (BMI &lt;18.5), and non-ambulatory status. NOTE: this is the EQUALLY weighted form. The paper states "The term VQI-FS refers to the differentially weighted model. We do not recommend the use of the equally weighted sVQI-FS to estimate 9-month mortality." That differentially weighted 7-item VQI-FS (AUC 0.758) requires nomogram regression coefficients plus a procedure-specific risk term whose categories (CEA, CAS, EVAR, open AAA, PVI, SUPRA, INFRA) do not include major amputation, so it cannot be applied in this cohort. The disavowal is scoped to estimating 9-month mortality, which this study does not do — the raw score is locally recalibrated to NHD instead.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 integer as implemented here; the original publication reports a 0-1 proportion (positive items / items evaluated; cohort mean and median 0.3), NOT an integer count.</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AUC 0.724 (9-month mortality, not NHD; equally weighted sVQI-FS. The authors' preferred differentially weighted VQI-FS with procedure-specific risk achieved AUC 0.758 and is not implemented here.)</w:t>
            </w:r>
          </w:p>
        </w:tc>
      </w:tr>
    </w:tbl>
    <w:p>
      <w:pPr>
        <w:pStyle w:val="Normal"/>
      </w:pPr>
      <w:r>
        <w:rPr>
          <w:rFonts w:ascii="Calibri" w:hAnsi="Calibri" w:eastAsia="Calibri" w:cs="Calibri"/>
          <w:i w:val="false"/>
          <w:b w:val="true"/>
          <w:u w:val="none"/>
          <w:strike w:val="false"/>
          <w:sz w:val="20"/>
          <w:szCs w:val="20"/>
          <w:color w:val="000000"/>
        </w:rPr>
        <w:t xml:space="preserve">Supplemental Table S2. Description of integer risk score models evaluated.</w:t>
      </w:r>
      <w:r>
        <w:rPr>
          <w:rFonts w:ascii="Calibri" w:hAnsi="Calibri" w:eastAsia="Calibri" w:cs="Calibri"/>
          <w:i w:val="false"/>
          <w:b w:val="false"/>
          <w:u w:val="none"/>
          <w:strike w:val="false"/>
          <w:sz w:val="20"/>
          <w:szCs w:val="20"/>
          <w:color w:val="000000"/>
        </w:rPr>
        <w:t xml:space="preserve"> Derivation details for each score are read from covariates/model_metadata.yaml. None of these instruments was derived to predict non-home discharge after major lower-extremity amputation (see Methods 1.3 for the transportability framing this study uses instead of describing itself as an external validation). The Iannuzzi 2020 score's own outcome definition (rehabilitation or SNF discharge only) is narrower than this study's NHD definition, which additionally counts hospice and LTAC discharges as non-home — see the Limitations discussion. The Iannuzzi 2020 NHD score uses a published lookup table to convert integer score to predicted probability; a temporally recalibrated version is also evaluated. The Subramaniam mFI-5 — derived to predict mortality and postoperative complications, not NHD — is evaluated via temporal logistic recalibration only (no published NHD lookup table exists). The Kraiss 2022 sVQI-FS — derived to predict 9-month mortality, not NHD — is likewise evaluated via temporal logistic recalibration only. </w:t>
      </w:r>
    </w:p>
    <w:p>
      <w:pPr>
        <w:pStyle w:val="Normal"/>
      </w:pPr>
      <w:r>
        <w:t xml:space="preserve"/>
      </w:r>
    </w:p>
    <w:p>
      <w:pPr>
        <w:pStyle w:val="Titre3"/>
      </w:pPr>
      <w:r>
        <w:t xml:space="preserve">Index procedure CPT codes</w:t>
      </w:r>
    </w:p>
    <w:p>
      <w:pPr>
        <w:pStyle w:val="Normal"/>
      </w:pPr>
      <w:r>
        <w:t xml:space="preserve">No CPT-4/HCPCS-coded procedure records were found for the target cohort at their index amputation date. Index amputations in this dataset are captured using native standard (SNOMED) procedure concepts rather than CPT-4 source codes (see Table 1 and the amputation-level concept IDs cited in its footnote); a CPT-4 crosswalk table is therefore not applicable to this data source and is omitted rather than shown as an uninformative all-zero table.</w:t>
      </w:r>
    </w:p>
    <w:p>
      <w:pPr>
        <w:pStyle w:val="Normal"/>
      </w:pPr>
      <w:r>
        <w:t xml:space="preserve"/>
      </w:r>
    </w:p>
    <w:p>
      <w:pPr>
        <w:pStyle w:val="Titre3"/>
      </w:pPr>
      <w:r>
        <w:t xml:space="preserve">Discharge destination source codes</w:t>
      </w:r>
    </w:p>
    <w:tbl xmlns:a="http://schemas.openxmlformats.org/drawingml/2006/main" xmlns:pic="http://schemas.openxmlformats.org/drawingml/2006/picture">
      <w:tblPr>
        <w:tblLayout w:type="fixed"/>
        <w:jc w:val="center"/>
        <w:tblLook w:firstRow="1" w:lastRow="0" w:firstColumn="0" w:lastColumn="0" w:noHBand="0" w:noVBand="1"/>
      </w:tblPr>
      <w:tblGrid>
        <w:gridCol w:w="1296"/>
        <w:gridCol w:w="1584"/>
        <w:gridCol w:w="3168"/>
        <w:gridCol w:w="1872"/>
        <w:gridCol w:w="1008"/>
        <w:gridCol w:w="100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NUBC Code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Concept ID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Concept Name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Classification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Visits (n)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Persons (n)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581476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 Visit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Skilled Nursing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38004285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Rehabilitation Hospital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IRF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w:t>
            </w:r>
          </w:p>
        </w:tc>
      </w:tr>
    </w:tbl>
    <w:p>
      <w:pPr>
        <w:pStyle w:val="Normal"/>
      </w:pPr>
      <w:r>
        <w:rPr>
          <w:rFonts w:ascii="Calibri" w:hAnsi="Calibri" w:eastAsia="Calibri" w:cs="Calibri"/>
          <w:i w:val="false"/>
          <w:b w:val="true"/>
          <w:u w:val="none"/>
          <w:strike w:val="false"/>
          <w:sz w:val="20"/>
          <w:szCs w:val="20"/>
          <w:color w:val="000000"/>
        </w:rPr>
        <w:t xml:space="preserve">Supplemental Table S4. UB-04 NUBC discharge disposition codes observed in the validation cohort.</w:t>
      </w:r>
      <w:r>
        <w:rPr>
          <w:rFonts w:ascii="Calibri" w:hAnsi="Calibri" w:eastAsia="Calibri" w:cs="Calibri"/>
          <w:i w:val="false"/>
          <w:b w:val="false"/>
          <w:u w:val="none"/>
          <w:strike w:val="false"/>
          <w:sz w:val="20"/>
          <w:szCs w:val="20"/>
          <w:color w:val="000000"/>
        </w:rPr>
        <w:t xml:space="preserve"> All distinct values of visit_occurrence.discharged_to_source_value for the index inpatient visit (visit_concept_id 9201) among target cohort patients, including rows with no source code recorded ('(none / NULL)'). OMOP Concept ID and Concept Name are drawn from discharged_to_concept_id. Classification: Home = confirmed home discharge (not-NHD); SNF/IRF/Hospice/LTAC/Other NHD = confirmed non-home discharge; HO = classified Home (source value treated as authoritative) even when the ETL has assigned a conflicting non-home concept_id; AM = Against Medical Advice, classified as home discharge (not-NHD); Other / Unknown = destination not classifiable from source code or concept ID, also classified not-NHD (presumed home) — a conservative default, not a removal from the analytic denominator; see Methods 1.2. Visits (n) = total index hospitalizations; Persons (n) = distinct patients.</w:t>
      </w:r>
    </w:p>
    <w:p>
      <w:pPr>
        <w:pStyle w:val="Normal"/>
      </w:pPr>
      <w:r>
        <w:t xml:space="preserve"/>
      </w:r>
    </w:p>
    <w:p>
      <w:pPr>
        <w:pStyle w:val="Titre3"/>
      </w:pPr>
      <w:r>
        <w:t xml:space="preserve">NHD rate by month</w:t>
      </w:r>
    </w:p>
    <w:p>
      <w:pPr>
        <w:pStyle w:val="Normal"/>
      </w:pPr>
      <w:r>
        <w:rPr/>
        <w:drawing>
          <wp:inline distT="0" distB="0" distL="0" distR="0">
            <wp:extent cx="5029200" cy="32004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S5. Non-home discharge (NHD) rate by calendar month of amputation.</w:t>
      </w:r>
      <w:r>
        <w:rPr>
          <w:rFonts w:ascii="Calibri" w:hAnsi="Calibri" w:eastAsia="Calibri" w:cs="Calibri"/>
          <w:i w:val="false"/>
          <w:b w:val="false"/>
          <w:u w:val="none"/>
          <w:strike w:val="false"/>
          <w:sz w:val="20"/>
          <w:szCs w:val="20"/>
          <w:color w:val="000000"/>
        </w:rPr>
        <w:t xml:space="preserve"> Observed non-home discharge rate (%) for each calendar month (January through December), pooled across all study years. Bar height represents the NHD rate; numbers above each bar show the total procedure count for that month. Months with fewer than 5 procedures are suppressed.</w:t>
      </w:r>
    </w:p>
    <w:p>
      <w:pPr>
        <w:pStyle w:val="Normal"/>
      </w:pPr>
      <w:r>
        <w:t xml:space="preserve"/>
      </w:r>
    </w:p>
    <w:p>
      <w:pPr>
        <w:pStyle w:val="Titre3"/>
      </w:pPr>
      <w:r>
        <w:t xml:space="preserve">Score distribution — Iannuzzi 2020</w:t>
      </w:r>
    </w:p>
    <w:p>
      <w:pPr>
        <w:pStyle w:val="Normal"/>
      </w:pPr>
      <w:r>
        <w:rPr/>
        <w:drawing>
          <wp:inline distT="0" distB="0" distL="0" distR="0">
            <wp:extent cx="5029200" cy="32004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S6. Distribution of Iannuzzi 2020 integer risk score by outcome group.</w:t>
      </w:r>
      <w:r>
        <w:rPr>
          <w:rFonts w:ascii="Calibri" w:hAnsi="Calibri" w:eastAsia="Calibri" w:cs="Calibri"/>
          <w:i w:val="false"/>
          <w:b w:val="false"/>
          <w:u w:val="none"/>
          <w:strike w:val="false"/>
          <w:sz w:val="20"/>
          <w:szCs w:val="20"/>
          <w:color w:val="000000"/>
        </w:rPr>
        <w:t xml:space="preserve"> Stacked count histogram of Iannuzzi 2020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mFI-5</w:t>
      </w:r>
    </w:p>
    <w:p>
      <w:pPr>
        <w:pStyle w:val="Normal"/>
      </w:pPr>
      <w:r>
        <w:rPr/>
        <w:drawing>
          <wp:inline distT="0" distB="0" distL="0" distR="0">
            <wp:extent cx="5029200" cy="32004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S7. Distribution of mFI-5 integer risk score by outcome group.</w:t>
      </w:r>
      <w:r>
        <w:rPr>
          <w:rFonts w:ascii="Calibri" w:hAnsi="Calibri" w:eastAsia="Calibri" w:cs="Calibri"/>
          <w:i w:val="false"/>
          <w:b w:val="false"/>
          <w:u w:val="none"/>
          <w:strike w:val="false"/>
          <w:sz w:val="20"/>
          <w:szCs w:val="20"/>
          <w:color w:val="000000"/>
        </w:rPr>
        <w:t xml:space="preserve"> Stacked count histogram of mFI-5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sVQI-FS</w:t>
      </w:r>
    </w:p>
    <w:p>
      <w:pPr>
        <w:pStyle w:val="Normal"/>
      </w:pPr>
      <w:r>
        <w:rPr/>
        <w:drawing>
          <wp:inline distT="0" distB="0" distL="0" distR="0">
            <wp:extent cx="5029200" cy="32004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S8. Distribution of sVQI-FS integer risk score by outcome group.</w:t>
      </w:r>
      <w:r>
        <w:rPr>
          <w:rFonts w:ascii="Calibri" w:hAnsi="Calibri" w:eastAsia="Calibri" w:cs="Calibri"/>
          <w:i w:val="false"/>
          <w:b w:val="false"/>
          <w:u w:val="none"/>
          <w:strike w:val="false"/>
          <w:sz w:val="20"/>
          <w:szCs w:val="20"/>
          <w:color w:val="000000"/>
        </w:rPr>
        <w:t xml:space="preserve"> Stacked count histogram of sVQI-FS integer scores. Blue bars = patients without NHD; red bars = patients with NHD. Bars are stacked so the total bar height equals the count of all patients at that score. NHD = non-home discharge.</w:t>
      </w:r>
    </w:p>
    <w:p>
      <w:pPr>
        <w:pStyle w:val="Normal"/>
      </w:pPr>
      <w:r>
        <w:t xml:space="preserve"/>
      </w:r>
    </w:p>
    <w:sectPr>
      <w:pgMar w:header="432" w:bottom="720" w:top="720" w:right="720" w:left="720" w:footer="432"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9c52566ad6bec4af1af626d1b26228383af10ac9.png"/>
<Relationship Id="rId8" Type="http://schemas.openxmlformats.org/officeDocument/2006/relationships/image" Target="media/bfc42c041162b75236f1142b9e1be837cd00293f.png"/>
<Relationship Id="rId9" Type="http://schemas.openxmlformats.org/officeDocument/2006/relationships/image" Target="media/a7e4f4d006c58d76df35786e2e8182482c8a50b4.png"/>
<Relationship Id="rId10" Type="http://schemas.openxmlformats.org/officeDocument/2006/relationships/image" Target="media/de6c915e7db01b6bb2ca7b56ca85493c6285aab9.png"/>
<Relationship Id="rId11" Type="http://schemas.openxmlformats.org/officeDocument/2006/relationships/image" Target="media/30f45f97e252e4cbe390cfcae49c1301bce6d9f2.png"/>
<Relationship Id="rId12" Type="http://schemas.openxmlformats.org/officeDocument/2006/relationships/image" Target="media/428712844f9bf84e092abbb71f72014895a9388d.png"/>
<Relationship Id="rId13" Type="http://schemas.openxmlformats.org/officeDocument/2006/relationships/image" Target="media/11f9a95205b72e734f8b2e994c907327876117f9.png"/>
<Relationship Id="rId14" Type="http://schemas.openxmlformats.org/officeDocument/2006/relationships/image" Target="media/4b4f83ae98a60c427a43b6b3a9449d8b3da583d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2026-08-03T03:17:49Z</dcterms:modified>
  <cp:category/>
</cp:coreProperties>
</file>