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External Validation of the Iannuzzi 2020 Score, the Subramaniam mFI-5, and the Kraiss 2022 sVQI-FS</w:t>
      </w:r>
    </w:p>
    <w:p>
      <w:pPr>
        <w:pStyle w:val="Normal"/>
      </w:pPr>
      <w:r>
        <w:t xml:space="preserve">Date: 2026-08-03</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N/A to N/A. Full data source metadata are reported in Supplemental Table S1; the analytic implementation and its portability to other OMOP CDM v5 sources are described under Implementation and code deployment, below.</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Implementation and code deployment</w:t>
      </w:r>
    </w:p>
    <w:p>
      <w:pPr>
        <w:pStyle w:val="Normal"/>
      </w:pPr>
      <w:r>
        <w:t xml:space="preserve">	The analysis was implemented as an OHDSI Strategus (v1.5.0) study package, so that the same code and cohort definitions can be executed unmodified at any site holding an OMOP CDM v5 instance. Cohort construction, cohort diagnostics, and baseline characterization are delegated to standard HADES modules — CohortGenerator, CohortDiagnostics, and Characterization — invoked from a single declarative analysis specification. Cohorts are specified as OHDSI Circe JSON expressions and are rendered to dialect-specific SQL by CirceR at execution time, so no site-specific SQL editing is required. All schema and table names are supplied at run time; no credentials or institution-specific identifiers are embedded in the analytic code.</w:t>
      </w:r>
    </w:p>
    <w:p>
      <w:pPr>
        <w:pStyle w:val="Normal"/>
      </w:pPr>
      <w:r>
        <w:t xml:space="preserve">	Predictor ascertainment is likewise cohort-based rather than expressed as ad hoc queries against the CDM domain tables. Each component of each risk score is resolved to a named cohort definition, and a single mapping table links every published score item to the cohort that operationalizes it, together with that item's point value and its lookback window. Where an equivalent cohort definition already existed in the investigators' shared phenotype library it was reused unchanged; the remainder were authored for this study and are named and versioned for later contribution to that library. Two consequences of this design are reported transparently in the Limitations, because they affect what the scores measure: some reused definitions are broader than the corresponding published score item, and some cannot carry a lookback window.</w:t>
      </w:r>
    </w:p>
    <w:p>
      <w:pPr>
        <w:pStyle w:val="Normal"/>
      </w:pPr>
      <w:r>
        <w:t xml:space="preserve">	Three elements fall outside what the Strategus modules can express and are implemented as documented extensions. First, the non-home discharge outcome is derived from visit_occurrence.discharged_to_concept_id, an attribute the Circe cohort-definition schema does not support; it is therefore implemented as hand-authored, parameterized SQL that is applied to the generated cohort table before any analysis reads it, and is protected by an automated check that halts the pipeline if the definition is ever silently replaced. Second, application of the three published scoring rules is performed by a study-specific step, because the Strategus prediction module fits new models rather than applying fixed published weights. Third, three predictors requiring arithmetic on measurement values — body mass index computed from height and weight, and unit normalization of laboratory results — are computed in analytic code rather than as cohort definitions. Every such deviation is recorded in the study repository alongside the definition it applies to.</w:t>
      </w:r>
    </w:p>
    <w:p>
      <w:pPr>
        <w:pStyle w:val="Normal"/>
      </w:pPr>
      <w:r>
        <w:t xml:space="preserve">	To verify that moving predictor ascertainment from direct CDM queries to cohort definitions did not change what was measured, both implementations are retained and an automated regression test scores every instrument twice — once by each route — and compares the resulting per-patient predictor values. Predictors whose definitions are semantically identical between the two routes are required to agree exactly; predictors that are expected to differ, because the reused cohort definition cannot carry a lookback window, are quantified rather than suppressed, and the magnitude of each difference is reported. A second automated check confirms that each authored cohort's concept set still matches the concept set recorded for that score component, so that a later revision of a shared definition cannot silently change this study's predictors.</w:t>
      </w:r>
    </w:p>
    <w:p>
      <w:pPr>
        <w:pStyle w:val="Titre3"/>
      </w:pPr>
      <w:r>
        <w:t xml:space="preserve">1.4.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1.5.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78 experienced non-home discharge (NHD), corresponding to an observed NHD rate of 40.0%.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 (57–71)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99 (50.8%)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96 (49.2%)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 (66.7%)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 (30.8%)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 (1.0%)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 (14.9%)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166 (85.1%)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168 (86.2%)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183 (93.8%)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 (11.3%)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 (41.0%)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 (59.0%)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 (40.0%)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pStyle w:val="Titre3"/>
      </w:pPr>
      <w:r>
        <w:t xml:space="preserve">2.2. NHD patient outcomes</w:t>
      </w:r>
    </w:p>
    <w:p>
      <w:pPr>
        <w:pStyle w:val="Normal"/>
      </w:pPr>
      <w:r>
        <w:t xml:space="preserve">Among the 78 patients who experienced non-home discharge (NHD) at the end of the index hospitalization, Table 2 summarises key post-discharge outcomes.</w:t>
      </w:r>
    </w:p>
    <w:tbl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Index hospitalization length of stay,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 days (IQR: 11–18)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Discharge destination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 (67.9%)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Rehabilitation Hospital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 (32.1%)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readmission,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 (25.6%)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mortality, 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 (1.3%)</w:t>
            </w:r>
          </w:p>
        </w:tc>
      </w:tr>
    </w:tbl>
    <w:p>
      <w:pPr>
        <w:pStyle w:val="Normal"/>
      </w:pPr>
      <w:r>
        <w:rPr>
          <w:rFonts w:ascii="Calibri" w:hAnsi="Calibri" w:eastAsia="Calibri" w:cs="Calibri"/>
          <w:i w:val="false"/>
          <w:b w:val="true"/>
          <w:u w:val="none"/>
          <w:strike w:val="false"/>
          <w:sz w:val="20"/>
          <w:szCs w:val="20"/>
          <w:color w:val="000000"/>
        </w:rPr>
        <w:t xml:space="preserve">Table 2. NHD patient outcomes at the index hospitalization and within 90 days.</w:t>
      </w:r>
      <w:r>
        <w:rPr>
          <w:rFonts w:ascii="Calibri" w:hAnsi="Calibri" w:eastAsia="Calibri" w:cs="Calibri"/>
          <w:i w:val="false"/>
          <w:b w:val="false"/>
          <w:u w:val="none"/>
          <w:strike w:val="false"/>
          <w:sz w:val="20"/>
          <w:szCs w:val="20"/>
          <w:color w:val="000000"/>
        </w:rPr>
        <w:t xml:space="preserve"> Denominator is all patients with non-home discharge at the index hospitalization (n = 78). Index hospitalization LOS: length of the inpatient visit (visit_concept_id 9201) containing the index procedure date, calculated as DATEDIFF(DAY, visit_start_date, COALESCE(visit_end_date, visit_start_date)). Discharge destination: destination concept name from visit_occurrence.discharged_to_concept_id joined to the vocabulary concept table; destinations with fewer than 11 patients are suppressed. 90-day readmission: any inpatient visit (visit_concept_id 9201) starting after the index hospitalization's discharge date and within 90 days of that discharge date (anchored on discharge, not admission, so patients with a longer index stay are not given a shorter effective follow-up window). 90-day mortality: any death record on or after the discharge date and within 90 days of it.</w:t>
      </w:r>
    </w:p>
    <w:p>
      <w:pPr>
        <w:pStyle w:val="Normal"/>
      </w:pPr>
      <w:r>
        <w:t xml:space="preserve"/>
      </w:r>
    </w:p>
    <w:p>
      <w:pPr>
        <w:pStyle w:val="Normal"/>
      </w:pPr>
      <w:r>
        <w:rPr/>
        <w:drawing>
          <wp:inline distT="0" distB="0" distL="0" distR="0">
            <wp:extent cx="50292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1. Non-home discharge (NHD) rate by disposition type and amputation year.</w:t>
      </w:r>
      <w:r>
        <w:rPr>
          <w:rFonts w:ascii="Calibri" w:hAnsi="Calibri" w:eastAsia="Calibri" w:cs="Calibri"/>
          <w:i w:val="false"/>
          <w:b w:val="false"/>
          <w:u w:val="none"/>
          <w:strike w:val="false"/>
          <w:sz w:val="20"/>
          <w:szCs w:val="20"/>
          <w:color w:val="000000"/>
        </w:rPr>
        <w:t xml:space="preserve"> Non-home discharge (NHD) rate (%) by calendar year of index amputation, stratified by discharge disposition (SNF = Skilled Nursing Facility; IRF = Inpatient Rehabilitation Facility; LTAC = Long-term Acute Care; Hospice; Other NHD). Stacked bands show the cumulative NHD rate by disposition; the top edge of the uppermost band equals the overall NHD rate for that year. Points and lines trace the top edge of each disposition's contribution. Years with fewer than 11 patients are suppressed (small-cell privacy rule, matching Table 2's discharge-destination suppression threshold). Disposition is mapped from UB-04 discharged_to_source_value codes.</w:t>
      </w:r>
    </w:p>
    <w:p>
      <w:pPr>
        <w:pStyle w:val="Normal"/>
      </w:pPr>
      <w:r>
        <w:t xml:space="preserve"/>
      </w:r>
    </w:p>
    <w:p>
      <w:pPr/>
      <w:r>
        <w:br w:type="page"/>
      </w:r>
    </w:p>
    <w:p>
      <w:pPr>
        <w:pStyle w:val="Titre3"/>
      </w:pPr>
      <w:r>
        <w:t xml:space="preserve">2.3.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2.4.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0.539 (0.460–0.614)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0.472 (0.349–0.600)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0.479 (0.361–0.613)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0.479 (0.361–0.613)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0.440 (0.346–0.559)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0.305 (0.206–0.454)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0.358 (0.237–0.508)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0.358 (0.237–0.508)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0.261 (0.232–0.291)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(0.223–0.257)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(0.233–0.248)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0.240 (0.230–0.250)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0.163 (0.122–0.236)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0.134 (0.107–0.247)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0.128 (0.081–0.229)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0.141 (0.082–0.242)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-0.042 (-0.329–0.315)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-0.417 (-0.853–0.031)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 (-0.980–-0.122)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-0.508 (-0.958–-0.106)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0.194 (-0.106–0.531)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-0.330 (-1.873–1.339)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-0.969 (-7.025–4.334)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-0.484 (-3.979–3.164)</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1148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2. Receiver operating characteristic (ROC) curves.</w:t>
      </w:r>
      <w:r>
        <w:rPr>
          <w:rFonts w:ascii="Calibri" w:hAnsi="Calibri" w:eastAsia="Calibri" w:cs="Calibri"/>
          <w:i w:val="false"/>
          <w:b w:val="false"/>
          <w:u w:val="none"/>
          <w:strike w:val="false"/>
          <w:sz w:val="20"/>
          <w:szCs w:val="20"/>
          <w:color w:val="000000"/>
        </w:rPr>
        <w:t xml:space="preserve"> ROC curves for the Iannuzzi 2020 NHD score (published lookup, blue solid), the Subramaniam mFI-5 (raw integer score 0–5, red dashed), and the Kraiss 2022 sVQI-FS (raw integer score, orange dot-dash) predicting non-home discharge. For mFI-5 and sVQI-FS, the raw score is normalised to [0, 1] for curve plotting. AUROC with 95% bootstrap percentile CI (B = 500 resamples).</w:t>
      </w:r>
    </w:p>
    <w:p>
      <w:pPr>
        <w:pStyle w:val="Normal"/>
      </w:pPr>
      <w:r>
        <w:t xml:space="preserve"/>
      </w:r>
    </w:p>
    <w:p>
      <w:pPr>
        <w:pStyle w:val="Normal"/>
      </w:pPr>
      <w:r>
        <w:rPr/>
        <w:drawing>
          <wp:inline distT="0" distB="0" distL="0" distR="0">
            <wp:extent cx="45720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2.5.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33.3%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37.8%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2.6. Decision curve analysis</w:t>
      </w:r>
    </w:p>
    <w:p>
      <w:pPr>
        <w:pStyle w:val="Normal"/>
      </w:pPr>
      <w:r>
        <w:rPr/>
        <w:drawing>
          <wp:inline distT="0" distB="0" distL="0" distR="0">
            <wp:extent cx="5029200" cy="34747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2.7.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(0.108–0.271)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(0.213–0.478)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(0.19–0.403)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(0.081–0.3)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(0.103–0.293)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(0.113–0.285)</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0.134. 95% CI = bootstrap percentile interval (B = 200 resamples).</w:t>
      </w:r>
    </w:p>
    <w:p>
      <w:pPr>
        <w:pStyle w:val="Normal"/>
      </w:pPr>
      <w:r>
        <w:t xml:space="preserve"/>
      </w:r>
    </w:p>
    <w:p>
      <w:pPr>
        <w:pStyle w:val="Normal"/>
      </w:pPr>
      <w:r>
        <w:rPr/>
        <w:drawing>
          <wp:inline distT="0" distB="0" distL="0" distR="0">
            <wp:extent cx="50292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6576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Index procedure CPT codes</w:t>
      </w:r>
    </w:p>
    <w:p>
      <w:pPr>
        <w:pStyle w:val="Normal"/>
      </w:pPr>
      <w:r>
        <w:t xml:space="preserve">No CPT-4/HCPCS-coded procedure records were found for the target cohort at their index amputation date. Index amputations in this dataset are captured using native standard (SNOMED) procedure concepts rather than CPT-4 source codes (see Table 1 and the amputation-level concept IDs cited in its footnote); a CPT-4 crosswalk table is therefore not applicable to this data source and is omitted rather than shown as an uninformative all-zero table.</w:t>
      </w:r>
    </w:p>
    <w:p>
      <w:pPr>
        <w:pStyle w:val="Normal"/>
      </w:pPr>
      <w:r>
        <w:t xml:space="preserve"/>
      </w:r>
    </w:p>
    <w:p>
      <w:pPr>
        <w:pStyle w:val="Titre3"/>
      </w:pPr>
      <w:r>
        <w:t xml:space="preserve">Discharge destination source codes</w:t>
      </w:r>
    </w:p>
    <w:tbl xmlns:a="http://schemas.openxmlformats.org/drawingml/2006/main" xmlns:pic="http://schemas.openxmlformats.org/drawingml/2006/picture">
      <w:tblPr>
        <w:tblLayout w:type="fixed"/>
        <w:jc w:val="center"/>
        <w:tblLook w:firstRow="1" w:lastRow="0" w:firstColumn="0" w:lastColumn="0" w:noHBand="0" w:noVBand="1"/>
      </w:tblPr>
      <w:tblGrid>
        <w:gridCol w:w="1296"/>
        <w:gridCol w:w="1584"/>
        <w:gridCol w:w="3168"/>
        <w:gridCol w:w="1872"/>
        <w:gridCol w:w="1008"/>
        <w:gridCol w:w="100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NUBC Code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Concept ID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Concept Name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Classification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Visits (n)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Persons (n)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581476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Visit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38004285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Rehabilitation Hospital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r>
    </w:tbl>
    <w:p>
      <w:pPr>
        <w:pStyle w:val="Normal"/>
      </w:pPr>
      <w:r>
        <w:rPr>
          <w:rFonts w:ascii="Calibri" w:hAnsi="Calibri" w:eastAsia="Calibri" w:cs="Calibri"/>
          <w:i w:val="false"/>
          <w:b w:val="true"/>
          <w:u w:val="none"/>
          <w:strike w:val="false"/>
          <w:sz w:val="20"/>
          <w:szCs w:val="20"/>
          <w:color w:val="000000"/>
        </w:rPr>
        <w:t xml:space="preserve">Supplemental Table S4. UB-04 NUBC discharge disposition codes observed in the validation cohort.</w:t>
      </w:r>
      <w:r>
        <w:rPr>
          <w:rFonts w:ascii="Calibri" w:hAnsi="Calibri" w:eastAsia="Calibri" w:cs="Calibri"/>
          <w:i w:val="false"/>
          <w:b w:val="false"/>
          <w:u w:val="none"/>
          <w:strike w:val="false"/>
          <w:sz w:val="20"/>
          <w:szCs w:val="20"/>
          <w:color w:val="000000"/>
        </w:rPr>
        <w:t xml:space="preserve"> All distinct values of visit_occurrence.discharged_to_source_value for the index inpatient visit (visit_concept_id 9201) among target cohort patients, including rows with no source code recorded ('(none / NULL)'). OMOP Concept ID and Concept Name are drawn from discharged_to_concept_id. Classification: Home = confirmed home discharge (not-NHD); SNF/IRF/Hospice/LTAC/Other NHD = confirmed non-home discharge; HO = classified Home (source value treated as authoritative) even when the ETL has assigned a conflicting non-home concept_id; AM = Against Medical Advice, classified as home discharge (not-NHD); Other / Unknown = destination not classifiable from source code or concept ID, also classified not-NHD (presumed home) — a conservative default, not a removal from the analytic denominator; see Methods 1.2. Visits (n) = total index hospitalizations; Persons (n) = distinct patients.</w:t>
      </w:r>
    </w:p>
    <w:p>
      <w:pPr>
        <w:pStyle w:val="Normal"/>
      </w:pPr>
      <w:r>
        <w:t xml:space="preserve"/>
      </w:r>
    </w:p>
    <w:p>
      <w:pPr>
        <w:pStyle w:val="Titre3"/>
      </w:pPr>
      <w:r>
        <w:t xml:space="preserve">NHD rate by month</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c52566ad6bec4af1af626d1b26228383af10ac9.png"/>
<Relationship Id="rId8" Type="http://schemas.openxmlformats.org/officeDocument/2006/relationships/image" Target="media/7b916c8b30b1120e5a66ec994024b441bffe1599.png"/>
<Relationship Id="rId9" Type="http://schemas.openxmlformats.org/officeDocument/2006/relationships/image" Target="media/ebd5aeddec79b7b0ec000c17b326dbfa1cb2b576.png"/>
<Relationship Id="rId10" Type="http://schemas.openxmlformats.org/officeDocument/2006/relationships/image" Target="media/d314c640dc3a350283365288509c1c675efcc6c6.png"/>
<Relationship Id="rId11" Type="http://schemas.openxmlformats.org/officeDocument/2006/relationships/image" Target="media/94a0df3a30af89dca3de22c7bb25a46050bc7e0e.png"/>
<Relationship Id="rId12" Type="http://schemas.openxmlformats.org/officeDocument/2006/relationships/image" Target="media/8d86f88fdc841d466e4c5f3b60cc21c4fd3dcbea.png"/>
<Relationship Id="rId13" Type="http://schemas.openxmlformats.org/officeDocument/2006/relationships/image" Target="media/2f72abc7c4dd8922b428467f3eb55fb66798f806.png"/>
<Relationship Id="rId14" Type="http://schemas.openxmlformats.org/officeDocument/2006/relationships/image" Target="media/77702267313750e0300034c027db3e3deabd949f.png"/>
<Relationship Id="rId15" Type="http://schemas.openxmlformats.org/officeDocument/2006/relationships/image" Target="media/cfe2344e2b7969d0e5f0cbfd1e9b81377be26e8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2026-08-03T12:27:47Z</dcterms:modified>
  <cp:category/>
</cp:coreProperties>
</file>