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External Validation of the Iannuzzi 2020 Score, the Subramaniam mFI-5, and the Kraiss 2022 sVQI-FS</w:t>
      </w:r>
    </w:p>
    <w:p>
      <w:pPr>
        <w:pStyle w:val="Normal"/>
      </w:pPr>
      <w:r>
        <w:t xml:space="preserve">Date: 2026-08-10</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January 01, 2017 to December 31, 2025. Full data source metadata are reported in Supplemental Table S1; the analytic implementation and its portability to other OMOP CDM v5 sources are described under Implementation and code deployment, below.</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Implementation and code deployment</w:t>
      </w:r>
    </w:p>
    <w:p>
      <w:pPr>
        <w:pStyle w:val="Normal"/>
      </w:pPr>
      <w:r>
        <w:t xml:space="preserve">	The analysis was implemented as an OHDSI Strategus (v1.5.0) study package, so that the same code and cohort definitions can be executed unmodified at any site holding an OMOP CDM v5 instance. Cohort construction, cohort diagnostics, and baseline characterization are delegated to standard HADES modules — CohortGenerator, CohortDiagnostics, and Characterization — invoked from a single declarative analysis specification. Cohorts are specified as OHDSI Circe JSON expressions and are rendered to dialect-specific SQL by CirceR at execution time, so no site-specific SQL editing is required. All schema and table names are supplied at run time; no credentials or institution-specific identifiers are embedded in the analytic code.</w:t>
      </w:r>
    </w:p>
    <w:p>
      <w:pPr>
        <w:pStyle w:val="Normal"/>
      </w:pPr>
      <w:r>
        <w:t xml:space="preserve">	Predictor ascertainment is likewise cohort-based rather than expressed as ad hoc queries against the CDM domain tables. Each component of each risk score is resolved to a named cohort definition, and a single mapping table links every published score item to the cohort that operationalizes it, together with that item's point value and its lookback window. Where an equivalent cohort definition already existed in the investigators' shared phenotype library it was reused unchanged; the remainder were authored for this study and are named and versioned for later contribution to that library. Two consequences of this design are reported transparently in the Limitations, because they affect what the scores measure: some reused definitions are broader than the corresponding published score item, and some cannot carry a lookback window.</w:t>
      </w:r>
    </w:p>
    <w:p>
      <w:pPr>
        <w:pStyle w:val="Normal"/>
      </w:pPr>
      <w:r>
        <w:t xml:space="preserve">	Three elements fall outside what the Strategus modules can express and are implemented as documented extensions. First, the non-home discharge outcome is derived from visit_occurrence.discharged_to_concept_id, an attribute the Circe cohort-definition schema does not support; it is therefore implemented as hand-authored, parameterized SQL that is applied to the generated cohort table before any analysis reads it, and is protected by an automated check that halts the pipeline if the definition is ever silently replaced. Second, application of the three published scoring rules is performed by a study-specific step, because the Strategus prediction module fits new models rather than applying fixed published weights. Third, three predictors requiring arithmetic on measurement values — body mass index computed from height and weight, and unit normalization of laboratory results — are computed in analytic code rather than as cohort definitions. Every such deviation is recorded in the study repository alongside the definition it applies to.</w:t>
      </w:r>
    </w:p>
    <w:p>
      <w:pPr>
        <w:pStyle w:val="Normal"/>
      </w:pPr>
      <w:r>
        <w:t xml:space="preserve">	To verify that moving predictor ascertainment from direct CDM queries to cohort definitions did not change what was measured, both implementations are retained and an automated regression test scores every instrument twice — once by each route — and compares the resulting per-patient predictor values. Predictors whose definitions are semantically identical between the two routes are required to agree exactly; predictors that are expected to differ, because the reused cohort definition cannot carry a lookback window, are quantified rather than suppressed, and the magnitude of each difference is reported. A second automated check confirms that each authored cohort's concept set still matches the concept set recorded for that score component, so that a later revision of a shared definition cannot silently change this study's predictors.</w:t>
      </w:r>
    </w:p>
    <w:p>
      <w:pPr>
        <w:pStyle w:val="Titre3"/>
      </w:pPr>
      <w:r>
        <w:t xml:space="preserve">1.4.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1.5.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78 experienced non-home discharge (NHD), corresponding to an observed NHD rate of 40.0%.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 (40.0%)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r>
        <w:br w:type="page"/>
      </w:r>
    </w:p>
    <w:p>
      <w:pPr>
        <w:pStyle w:val="Titre3"/>
      </w:pPr>
      <w:r>
        <w:t xml:space="preserve">2.2.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38.5%</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2.3.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(0.453–0.619)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0.460 (0.339–0.579)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0.444 (0.345–0.559)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0.301 (0.204–0.426)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0.260 (0.233–0.290)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0.243 (0.220–0.263)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(0.233–0.248)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0.240 (0.229–0.252)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0.158 (0.117–0.235)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0.149 (0.109–0.254)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0.128 (0.081–0.229)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0.160 (0.095–0.254)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-0.062 (-0.415–0.266)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-0.401 (-0.914–0.022)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 (-0.980–-0.122)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-0.499 (-0.948–-0.093)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0.205 (-0.115–0.538)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-0.383 (-1.755–0.892)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-0.969 (-7.025–4.334)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-0.533 (-3.563–2.380)</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41148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2. Receiver operating characteristic (ROC) curves.</w:t>
      </w:r>
      <w:r>
        <w:rPr>
          <w:rFonts w:ascii="Calibri" w:hAnsi="Calibri" w:eastAsia="Calibri" w:cs="Calibri"/>
          <w:i w:val="false"/>
          <w:b w:val="false"/>
          <w:u w:val="none"/>
          <w:strike w:val="false"/>
          <w:sz w:val="20"/>
          <w:szCs w:val="20"/>
          <w:color w:val="000000"/>
        </w:rPr>
        <w:t xml:space="preserve"> ROC curves for the Iannuzzi 2020 NHD score (published lookup, blue solid), the Subramaniam mFI-5 (raw integer score 0–5, red dashed), and the Kraiss 2022 sVQI-FS (raw integer score, orange dot-dash) predicting non-home discharge. For mFI-5 and sVQI-FS, the raw score is normalised to [0, 1] for curve plotting. AUROC with 95% bootstrap percentile CI (B = 500 resamples).</w:t>
      </w:r>
    </w:p>
    <w:p>
      <w:pPr>
        <w:pStyle w:val="Normal"/>
      </w:pPr>
      <w:r>
        <w:t xml:space="preserve"/>
      </w:r>
    </w:p>
    <w:p>
      <w:pPr>
        <w:pStyle w:val="Normal"/>
      </w:pPr>
      <w:r>
        <w:rPr/>
        <w:drawing>
          <wp:inline distT="0" distB="0" distL="0" distR="0">
            <wp:extent cx="45720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2.4.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32.4%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42.6%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39.1%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2.5. Decision curve analysis</w:t>
      </w:r>
    </w:p>
    <w:p>
      <w:pPr>
        <w:pStyle w:val="Normal"/>
      </w:pPr>
      <w:r>
        <w:rPr/>
        <w:drawing>
          <wp:inline distT="0" distB="0" distL="0" distR="0">
            <wp:extent cx="5029200" cy="34747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2.6.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(0.113–0.287)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(0.213–0.478)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(0.206–0.435)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(0.081–0.3)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(0.114–0.315)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(0.115–0.292)</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0.149. 95% CI = bootstrap percentile interval (B = 200 resamples).</w:t>
      </w:r>
    </w:p>
    <w:p>
      <w:pPr>
        <w:pStyle w:val="Normal"/>
      </w:pPr>
      <w:r>
        <w:t xml:space="preserve"/>
      </w:r>
    </w:p>
    <w:p>
      <w:pPr>
        <w:pStyle w:val="Normal"/>
      </w:pPr>
      <w:r>
        <w:rPr/>
        <w:drawing>
          <wp:inline distT="0" distB="0" distL="0" distR="0">
            <wp:extent cx="50292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6576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2017-01-01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2025-12-31</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NHD rate by month</w:t>
      </w:r>
    </w:p>
    <w:p>
      <w:pPr>
        <w:pStyle w:val="Normal"/>
      </w:pPr>
      <w:r>
        <w:rPr/>
        <w:drawing>
          <wp:inline distT="0" distB="0" distL="0" distR="0">
            <wp:extent cx="5029200" cy="32004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d487813d63c6313af1d012bd91d256b0b626929.png"/>
<Relationship Id="rId8" Type="http://schemas.openxmlformats.org/officeDocument/2006/relationships/image" Target="media/827d34cc102e34801d635e4a98408a6d8e71d20a.png"/>
<Relationship Id="rId9" Type="http://schemas.openxmlformats.org/officeDocument/2006/relationships/image" Target="media/2e1fdc81bb191f7e7dde3b659e21d5d888fbbf1e.png"/>
<Relationship Id="rId10" Type="http://schemas.openxmlformats.org/officeDocument/2006/relationships/image" Target="media/5ee144cde881268ed7c009c3c06d66c28b5003fe.png"/>
<Relationship Id="rId11" Type="http://schemas.openxmlformats.org/officeDocument/2006/relationships/image" Target="media/8d86f88fdc841d466e4c5f3b60cc21c4fd3dcbea.png"/>
<Relationship Id="rId12" Type="http://schemas.openxmlformats.org/officeDocument/2006/relationships/image" Target="media/08e90ab0ba24a0bc1684698f915edb345101cc1a.png"/>
<Relationship Id="rId13" Type="http://schemas.openxmlformats.org/officeDocument/2006/relationships/image" Target="media/817fd08a17a86933d8af7d08172ca9e870c9b14a.png"/>
<Relationship Id="rId14" Type="http://schemas.openxmlformats.org/officeDocument/2006/relationships/image" Target="media/976f4bcf21edc9475dea43b0e180c0742497b97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2026-08-10T13:34:25Z</dcterms:modified>
  <cp:category/>
</cp:coreProperties>
</file>