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rFonts w:ascii="Google Sans" w:cs="Google Sans" w:eastAsia="Google Sans" w:hAnsi="Google Sans"/>
          <w:sz w:val="24"/>
          <w:szCs w:val="24"/>
        </w:rPr>
      </w:pPr>
      <w:bookmarkStart w:id="0" w:name="_heading=h.gjdgxs" w:colFirst="0" w:colLast="0"/>
      <w:bookmarkEnd w:id="0"/>
      <w:r>
        <w:rPr>
          <w:rFonts w:ascii="Google Sans" w:cs="Google Sans" w:eastAsia="Google Sans" w:hAnsi="Google Sans"/>
        </w:rPr>
        <w:t>Controls and compliance checklis</w:t>
      </w:r>
      <w:r>
        <w:rPr>
          <w:rFonts w:cs="Google Sans" w:eastAsia="Google Sans" w:hAnsi="Google Sans"/>
          <w:lang w:val="en-US"/>
        </w:rPr>
        <w:t>t</w:t>
      </w:r>
    </w:p>
    <w:p>
      <w:pPr>
        <w:pStyle w:val="style0"/>
        <w:rPr>
          <w:rFonts w:ascii="Google Sans" w:cs="Google Sans" w:eastAsia="Google Sans" w:hAnsi="Google Sans"/>
        </w:rPr>
      </w:pPr>
    </w:p>
    <w:p>
      <w:pPr>
        <w:pStyle w:val="style0"/>
        <w:rPr>
          <w:rFonts w:ascii="Google Sans" w:cs="Google Sans" w:eastAsia="Google Sans" w:hAnsi="Google Sans"/>
          <w:i/>
          <w:sz w:val="24"/>
          <w:szCs w:val="24"/>
        </w:rPr>
      </w:pPr>
      <w:r>
        <w:rPr>
          <w:rFonts w:ascii="Google Sans" w:cs="Google Sans" w:eastAsia="Google Sans" w:hAnsi="Google Sans"/>
          <w:sz w:val="24"/>
          <w:szCs w:val="24"/>
        </w:rPr>
        <w:t xml:space="preserve">Type an X in the “yes” or “no” column to answer the question: </w:t>
      </w:r>
      <w:r>
        <w:rPr>
          <w:rFonts w:ascii="Google Sans" w:cs="Google Sans" w:eastAsia="Google Sans" w:hAnsi="Google Sans"/>
          <w:i/>
          <w:sz w:val="24"/>
          <w:szCs w:val="24"/>
        </w:rPr>
        <w:t>Does Botium Toys currently have this control in place?</w:t>
      </w:r>
    </w:p>
    <w:p>
      <w:pPr>
        <w:pStyle w:val="style0"/>
        <w:rPr>
          <w:rFonts w:ascii="Google Sans" w:cs="Google Sans" w:eastAsia="Google Sans" w:hAnsi="Google Sans"/>
          <w:sz w:val="24"/>
          <w:szCs w:val="24"/>
        </w:rPr>
      </w:pPr>
    </w:p>
    <w:p>
      <w:pPr>
        <w:pStyle w:val="style0"/>
        <w:rPr>
          <w:rFonts w:ascii="Google Sans" w:cs="Google Sans" w:eastAsia="Google Sans" w:hAnsi="Google Sans"/>
          <w:sz w:val="26"/>
          <w:szCs w:val="26"/>
        </w:rPr>
      </w:pPr>
      <w:r>
        <w:rPr>
          <w:rFonts w:ascii="Google Sans" w:cs="Google Sans" w:eastAsia="Google Sans" w:hAnsi="Google Sans"/>
          <w:b/>
          <w:sz w:val="24"/>
          <w:szCs w:val="24"/>
        </w:rPr>
        <w:t>Controls assessment checklist</w:t>
      </w:r>
    </w:p>
    <w:p>
      <w:pPr>
        <w:pStyle w:val="style0"/>
        <w:rPr>
          <w:rFonts w:ascii="Google Sans" w:cs="Google Sans" w:eastAsia="Google Sans" w:hAnsi="Google Sans"/>
        </w:rPr>
      </w:pPr>
    </w:p>
    <w:tbl>
      <w:tblPr>
        <w:tblStyle w:val="style4105"/>
        <w:tblW w:w="8895" w:type="dxa"/>
        <w:jc w:val="lef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5"/>
        <w:gridCol w:w="1020"/>
        <w:gridCol w:w="3225"/>
        <w:gridCol w:w="3525"/>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jc w:val="right"/>
              <w:rPr>
                <w:rFonts w:ascii="Google Sans" w:cs="Google Sans" w:eastAsia="Google Sans" w:hAnsi="Google Sans"/>
                <w:b/>
                <w:sz w:val="24"/>
                <w:szCs w:val="24"/>
              </w:rPr>
            </w:pPr>
            <w:r>
              <w:rPr>
                <w:rFonts w:ascii="Google Sans" w:cs="Google Sans" w:eastAsia="Google Sans" w:hAnsi="Google Sans"/>
                <w:b/>
                <w:sz w:val="24"/>
                <w:szCs w:val="24"/>
              </w:rPr>
              <w:t xml:space="preserve">  Yes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jc w:val="center"/>
              <w:rPr>
                <w:rFonts w:ascii="Google Sans" w:cs="Google Sans" w:eastAsia="Google Sans" w:hAnsi="Google Sans"/>
                <w:b/>
                <w:sz w:val="24"/>
                <w:szCs w:val="24"/>
              </w:rPr>
            </w:pPr>
            <w:r>
              <w:rPr>
                <w:rFonts w:ascii="Google Sans" w:cs="Google Sans" w:eastAsia="Google Sans" w:hAnsi="Google Sans"/>
                <w:b/>
                <w:sz w:val="24"/>
                <w:szCs w:val="24"/>
              </w:rPr>
              <w:t xml:space="preserve">    No</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Control</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b/>
                <w:i/>
                <w:sz w:val="24"/>
                <w:szCs w:val="24"/>
              </w:rPr>
            </w:pPr>
            <w:r>
              <w:rPr>
                <w:rFonts w:ascii="Google Sans" w:cs="Google Sans" w:eastAsia="Google Sans" w:hAnsi="Google Sans"/>
                <w:b/>
                <w:i/>
                <w:sz w:val="24"/>
                <w:szCs w:val="24"/>
              </w:rPr>
              <w:t>Explanation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sz w:val="24"/>
                <w:szCs w:val="24"/>
              </w:rPr>
              <w:t xml:space="preserve">Least Privilege </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i/>
                <w:sz w:val="24"/>
                <w:szCs w:val="24"/>
              </w:rPr>
              <w:t>Currently, all employees have access to customer data; privileges need to be limited to reduce the risk of a breach.</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rPr>
                <w:rFonts w:ascii="Google Sans" w:cs="Google Sans" w:eastAsia="Google Sans" w:hAnsi="Google Sans"/>
                <w:sz w:val="24"/>
                <w:szCs w:val="24"/>
              </w:rPr>
            </w:pPr>
            <w:r>
              <w:rPr>
                <w:rFonts w:ascii="Google Sans" w:cs="Google Sans" w:eastAsia="Google Sans" w:hAnsi="Google Sans"/>
                <w:sz w:val="24"/>
                <w:szCs w:val="24"/>
              </w:rPr>
              <w:t>Disaster recovery plans</w:t>
            </w:r>
          </w:p>
        </w:tc>
        <w:tc>
          <w:tcPr>
            <w:tcW w:w="0" w:type="auto"/>
            <w:tcBorders/>
            <w:shd w:val="clear" w:color="auto" w:fill="auto"/>
            <w:tcMar>
              <w:top w:w="100" w:type="dxa"/>
              <w:left w:w="100" w:type="dxa"/>
              <w:bottom w:w="100" w:type="dxa"/>
              <w:right w:w="100" w:type="dxa"/>
            </w:tcMar>
          </w:tcPr>
          <w:p>
            <w:pPr>
              <w:pStyle w:val="style0"/>
              <w:rPr>
                <w:rFonts w:ascii="Google Sans" w:cs="Google Sans" w:eastAsia="Google Sans" w:hAnsi="Google Sans"/>
                <w:i/>
                <w:sz w:val="24"/>
                <w:szCs w:val="24"/>
              </w:rPr>
            </w:pPr>
            <w:r>
              <w:rPr>
                <w:rFonts w:ascii="Google Sans" w:cs="Google Sans" w:eastAsia="Google Sans" w:hAnsi="Google Sans"/>
                <w:i/>
                <w:sz w:val="24"/>
                <w:szCs w:val="24"/>
              </w:rPr>
              <w:t>There are no disaster recovery plans in place. These need to be implemented to ensure business continuity.</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Password policies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Employee password requirements are minimal, which could allow a threat actor to more easily access secure data/other assets via employee work equipment/the internal network.</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Separation of duties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Needs to be implemented to reduce the possibility of fraud/access to critical data, since the company CEO currently runs day-to-day operations and manages the payroll.</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Firewall</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existing firewall blocks traffic based on an appropriately defined set of security rules.</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hanging="36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hanging="36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Intrusion detection system (IDS)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IT department needs an IDS in place to help identify possible intrusions by threat actors.</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Backups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IT department needs to have backups of critical data, in the case of a breach, to ensure business continuity.</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Antivirus software</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Antivirus software is installed and monitored regularly by the IT department.</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Manual monitoring, maintenance, and intervention for legacy systems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Encryption</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Encryption is not currently used; implementing it would provide greater confidentiality of sensitive information.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Password management system</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There is no password management system currently in place; implementing this control would improve IT department/other employee productivity in the case of password issues.</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Locks (offices, storefront, warehouse)</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store’s physical location, which includes the company’s main offices, store front, and warehouse of products, has sufficient locks.</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Closed-circuit television (CCTV) surveillance</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CCTV is installed/functioning at the store’s physical location.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Fire detection/prevention (fire alarm, sprinkler system, etc.)</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Botium Toys’ physical location has a functioning fire detection and prevention system.</w:t>
            </w:r>
          </w:p>
        </w:tc>
      </w:tr>
    </w:tbl>
    <w:p>
      <w:pPr>
        <w:pStyle w:val="style0"/>
        <w:rPr>
          <w:rFonts w:ascii="Google Sans" w:cs="Google Sans" w:eastAsia="Google Sans" w:hAnsi="Google Sans"/>
          <w:sz w:val="24"/>
          <w:szCs w:val="24"/>
        </w:rPr>
      </w:pPr>
    </w:p>
    <w:p>
      <w:pPr>
        <w:pStyle w:val="style0"/>
        <w:rPr>
          <w:rFonts w:ascii="Google Sans" w:cs="Google Sans" w:eastAsia="Google Sans" w:hAnsi="Google Sans"/>
          <w:sz w:val="24"/>
          <w:szCs w:val="24"/>
        </w:rPr>
      </w:pPr>
      <w:r>
        <w:rPr/>
        <w:pict>
          <v:rect id="1026" fillcolor="#a0a0a0" stroked="f" style="margin-left:0.0pt;margin-top:0.0pt;width:0.0pt;height:1.5pt;mso-wrap-distance-left:0.0pt;mso-wrap-distance-right:0.0pt;visibility:visible;" o:hr="t" o:hralign="center" o:hrstd="t">
            <v:stroke on="f"/>
            <v:fill/>
          </v:rect>
        </w:pict>
      </w:r>
    </w:p>
    <w:p>
      <w:pPr>
        <w:pStyle w:val="style0"/>
        <w:rPr>
          <w:rFonts w:ascii="Google Sans" w:cs="Google Sans" w:eastAsia="Google Sans" w:hAnsi="Google Sans"/>
          <w:sz w:val="24"/>
          <w:szCs w:val="24"/>
        </w:rPr>
      </w:pPr>
    </w:p>
    <w:p>
      <w:pPr>
        <w:pStyle w:val="style0"/>
        <w:rPr>
          <w:rFonts w:ascii="Google Sans" w:cs="Google Sans" w:eastAsia="Google Sans" w:hAnsi="Google Sans"/>
          <w:b/>
          <w:sz w:val="24"/>
          <w:szCs w:val="24"/>
        </w:rPr>
      </w:pPr>
      <w:r>
        <w:rPr>
          <w:rFonts w:ascii="Google Sans" w:cs="Google Sans" w:eastAsia="Google Sans" w:hAnsi="Google Sans"/>
          <w:b/>
          <w:sz w:val="24"/>
          <w:szCs w:val="24"/>
        </w:rPr>
        <w:t>Compliance checklist</w:t>
      </w:r>
    </w:p>
    <w:p>
      <w:pPr>
        <w:pStyle w:val="style0"/>
        <w:rPr>
          <w:rFonts w:ascii="Google Sans" w:cs="Google Sans" w:eastAsia="Google Sans" w:hAnsi="Google Sans"/>
          <w:b/>
          <w:sz w:val="24"/>
          <w:szCs w:val="24"/>
        </w:rPr>
      </w:pPr>
    </w:p>
    <w:p>
      <w:pPr>
        <w:pStyle w:val="style0"/>
        <w:rPr>
          <w:rFonts w:ascii="Google Sans" w:cs="Google Sans" w:eastAsia="Google Sans" w:hAnsi="Google Sans"/>
          <w:b/>
          <w:i/>
          <w:sz w:val="24"/>
          <w:szCs w:val="24"/>
        </w:rPr>
      </w:pPr>
      <w:r>
        <w:rPr>
          <w:rFonts w:ascii="Google Sans" w:cs="Google Sans" w:eastAsia="Google Sans" w:hAnsi="Google Sans"/>
          <w:sz w:val="24"/>
          <w:szCs w:val="24"/>
        </w:rPr>
        <w:t xml:space="preserve">Type an X in the “yes” or “no” column to answer the question: </w:t>
      </w:r>
      <w:r>
        <w:rPr>
          <w:rFonts w:ascii="Google Sans" w:cs="Google Sans" w:eastAsia="Google Sans" w:hAnsi="Google Sans"/>
          <w:i/>
          <w:sz w:val="24"/>
          <w:szCs w:val="24"/>
        </w:rPr>
        <w:t>Does Botium Toys currently adhere to this compliance best practice?</w:t>
      </w:r>
    </w:p>
    <w:p>
      <w:pPr>
        <w:pStyle w:val="style0"/>
        <w:rPr>
          <w:rFonts w:ascii="Google Sans" w:cs="Google Sans" w:eastAsia="Google Sans" w:hAnsi="Google Sans"/>
          <w:b/>
          <w:sz w:val="24"/>
          <w:szCs w:val="24"/>
        </w:rPr>
      </w:pPr>
    </w:p>
    <w:p>
      <w:pPr>
        <w:pStyle w:val="style0"/>
        <w:spacing w:after="200" w:lineRule="auto" w:line="360"/>
        <w:rPr>
          <w:rFonts w:ascii="Google Sans" w:cs="Google Sans" w:eastAsia="Google Sans" w:hAnsi="Google Sans"/>
          <w:sz w:val="24"/>
          <w:szCs w:val="24"/>
          <w:u w:val="single"/>
        </w:rPr>
      </w:pPr>
      <w:r>
        <w:rPr>
          <w:rFonts w:ascii="Google Sans" w:cs="Google Sans" w:eastAsia="Google Sans" w:hAnsi="Google Sans"/>
          <w:sz w:val="24"/>
          <w:szCs w:val="24"/>
          <w:u w:val="single"/>
        </w:rPr>
        <w:t>Payment Card Industry Data Security Standard (PCI DSS)</w:t>
      </w:r>
    </w:p>
    <w:tbl>
      <w:tblPr>
        <w:tblStyle w:val="style4106"/>
        <w:tblW w:w="9345" w:type="dxa"/>
        <w:jc w:val="lef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10"/>
        <w:gridCol w:w="1080"/>
        <w:gridCol w:w="3255"/>
        <w:gridCol w:w="390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jc w:val="right"/>
              <w:rPr>
                <w:rFonts w:ascii="Google Sans" w:cs="Google Sans" w:eastAsia="Google Sans" w:hAnsi="Google Sans"/>
                <w:b/>
                <w:sz w:val="24"/>
                <w:szCs w:val="24"/>
              </w:rPr>
            </w:pPr>
            <w:r>
              <w:rPr>
                <w:rFonts w:ascii="Google Sans" w:cs="Google Sans" w:eastAsia="Google Sans" w:hAnsi="Google Sans"/>
                <w:b/>
                <w:sz w:val="24"/>
                <w:szCs w:val="24"/>
              </w:rPr>
              <w:t>Yes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jc w:val="center"/>
              <w:rPr>
                <w:rFonts w:ascii="Google Sans" w:cs="Google Sans" w:eastAsia="Google Sans" w:hAnsi="Google Sans"/>
                <w:b/>
                <w:sz w:val="24"/>
                <w:szCs w:val="24"/>
              </w:rPr>
            </w:pPr>
            <w:r>
              <w:rPr>
                <w:rFonts w:ascii="Google Sans" w:cs="Google Sans" w:eastAsia="Google Sans" w:hAnsi="Google Sans"/>
                <w:b/>
                <w:sz w:val="24"/>
                <w:szCs w:val="24"/>
              </w:rPr>
              <w:t xml:space="preserve">    No</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Best practice</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b/>
                <w:i/>
                <w:sz w:val="24"/>
                <w:szCs w:val="24"/>
              </w:rPr>
            </w:pPr>
            <w:r>
              <w:rPr>
                <w:rFonts w:ascii="Google Sans" w:cs="Google Sans" w:eastAsia="Google Sans" w:hAnsi="Google Sans"/>
                <w:b/>
                <w:i/>
                <w:sz w:val="24"/>
                <w:szCs w:val="24"/>
              </w:rPr>
              <w:t>Explanation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rPr>
                <w:rFonts w:ascii="Google Sans" w:cs="Google Sans" w:eastAsia="Google Sans" w:hAnsi="Google Sans"/>
                <w:sz w:val="24"/>
                <w:szCs w:val="24"/>
              </w:rPr>
            </w:pPr>
            <w:r>
              <w:rPr>
                <w:rFonts w:ascii="Google Sans" w:cs="Google Sans" w:eastAsia="Google Sans" w:hAnsi="Google Sans"/>
                <w:sz w:val="24"/>
                <w:szCs w:val="24"/>
              </w:rPr>
              <w:t xml:space="preserve">Only authorized users have access to customers’ credit card information. </w:t>
            </w:r>
          </w:p>
        </w:tc>
        <w:tc>
          <w:tcPr>
            <w:tcW w:w="0" w:type="auto"/>
            <w:tcBorders/>
            <w:shd w:val="clear" w:color="auto" w:fill="auto"/>
            <w:tcMar>
              <w:top w:w="100" w:type="dxa"/>
              <w:left w:w="100" w:type="dxa"/>
              <w:bottom w:w="100" w:type="dxa"/>
              <w:right w:w="100" w:type="dxa"/>
            </w:tcMar>
          </w:tcPr>
          <w:p>
            <w:pPr>
              <w:pStyle w:val="style0"/>
              <w:rPr>
                <w:rFonts w:ascii="Google Sans" w:cs="Google Sans" w:eastAsia="Google Sans" w:hAnsi="Google Sans"/>
                <w:i/>
                <w:sz w:val="24"/>
                <w:szCs w:val="24"/>
              </w:rPr>
            </w:pPr>
            <w:r>
              <w:rPr>
                <w:rFonts w:ascii="Google Sans" w:cs="Google Sans" w:eastAsia="Google Sans" w:hAnsi="Google Sans"/>
                <w:i/>
                <w:sz w:val="24"/>
                <w:szCs w:val="24"/>
              </w:rPr>
              <w:t>Currently, all employees have access to the company’s internal data.</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Credit card information is accepted, processed, transmitted, and stored internally, in a secure environment.</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Credit card information is not encrypted and all employees currently have access to internal data, including customers’ credit card information.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highlight w:val="yellow"/>
              </w:rPr>
            </w:pPr>
            <w:r>
              <w:rPr>
                <w:rFonts w:ascii="Google Sans" w:cs="Google Sans" w:eastAsia="Google Sans" w:hAnsi="Google Sans"/>
                <w:sz w:val="24"/>
                <w:szCs w:val="24"/>
              </w:rPr>
              <w:t>Implement data encryption procedures to better secure credit card transaction touchpoints and data.</w:t>
            </w:r>
            <w:r>
              <w:rPr>
                <w:rFonts w:ascii="Google Sans" w:cs="Google Sans" w:eastAsia="Google Sans" w:hAnsi="Google Sans"/>
                <w:sz w:val="24"/>
                <w:szCs w:val="24"/>
                <w:highlight w:val="yellow"/>
              </w:rPr>
              <w:t xml:space="preserve"> </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i/>
                <w:sz w:val="24"/>
                <w:szCs w:val="24"/>
              </w:rPr>
              <w:t>The company does not currently use encryption to better ensure the confidentiality of customers’ financial information.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Adopt secure password management policies.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Password policies are nominal and no password management system is currently in place.</w:t>
            </w:r>
          </w:p>
        </w:tc>
      </w:tr>
    </w:tbl>
    <w:p>
      <w:pPr>
        <w:pStyle w:val="style0"/>
        <w:rPr>
          <w:rFonts w:ascii="Google Sans" w:cs="Google Sans" w:eastAsia="Google Sans" w:hAnsi="Google Sans"/>
          <w:sz w:val="24"/>
          <w:szCs w:val="24"/>
        </w:rPr>
      </w:pPr>
    </w:p>
    <w:p>
      <w:pPr>
        <w:pStyle w:val="style0"/>
        <w:rPr>
          <w:rFonts w:ascii="Google Sans" w:cs="Google Sans" w:eastAsia="Google Sans" w:hAnsi="Google Sans"/>
          <w:sz w:val="24"/>
          <w:szCs w:val="24"/>
        </w:rPr>
      </w:pPr>
    </w:p>
    <w:p>
      <w:pPr>
        <w:pStyle w:val="style0"/>
        <w:spacing w:after="200" w:lineRule="auto" w:line="360"/>
        <w:rPr>
          <w:rFonts w:ascii="Google Sans" w:cs="Google Sans" w:eastAsia="Google Sans" w:hAnsi="Google Sans"/>
          <w:sz w:val="24"/>
          <w:szCs w:val="24"/>
          <w:u w:val="single"/>
        </w:rPr>
      </w:pPr>
      <w:r>
        <w:rPr>
          <w:rFonts w:ascii="Google Sans" w:cs="Google Sans" w:eastAsia="Google Sans" w:hAnsi="Google Sans"/>
          <w:sz w:val="24"/>
          <w:szCs w:val="24"/>
          <w:u w:val="single"/>
        </w:rPr>
        <w:t>General Data Protection Regulation (GDPR)</w:t>
      </w:r>
    </w:p>
    <w:tbl>
      <w:tblPr>
        <w:tblStyle w:val="style4107"/>
        <w:tblW w:w="9480" w:type="dxa"/>
        <w:jc w:val="lef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00"/>
        <w:gridCol w:w="1140"/>
        <w:gridCol w:w="3120"/>
        <w:gridCol w:w="4020"/>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jc w:val="right"/>
              <w:rPr>
                <w:rFonts w:ascii="Google Sans" w:cs="Google Sans" w:eastAsia="Google Sans" w:hAnsi="Google Sans"/>
                <w:b/>
                <w:sz w:val="24"/>
                <w:szCs w:val="24"/>
              </w:rPr>
            </w:pPr>
            <w:r>
              <w:rPr>
                <w:rFonts w:ascii="Google Sans" w:cs="Google Sans" w:eastAsia="Google Sans" w:hAnsi="Google Sans"/>
                <w:b/>
                <w:sz w:val="24"/>
                <w:szCs w:val="24"/>
              </w:rPr>
              <w:t>Yes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jc w:val="center"/>
              <w:rPr>
                <w:rFonts w:ascii="Google Sans" w:cs="Google Sans" w:eastAsia="Google Sans" w:hAnsi="Google Sans"/>
                <w:b/>
                <w:sz w:val="24"/>
                <w:szCs w:val="24"/>
              </w:rPr>
            </w:pPr>
            <w:r>
              <w:rPr>
                <w:rFonts w:ascii="Google Sans" w:cs="Google Sans" w:eastAsia="Google Sans" w:hAnsi="Google Sans"/>
                <w:b/>
                <w:sz w:val="24"/>
                <w:szCs w:val="24"/>
              </w:rPr>
              <w:t xml:space="preserve">    No</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Best practice</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i/>
                <w:sz w:val="24"/>
                <w:szCs w:val="24"/>
              </w:rPr>
              <w:t>Explanation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rPr>
                <w:rFonts w:ascii="Google Sans" w:cs="Google Sans" w:eastAsia="Google Sans" w:hAnsi="Google Sans"/>
                <w:sz w:val="24"/>
                <w:szCs w:val="24"/>
              </w:rPr>
            </w:pPr>
            <w:r>
              <w:rPr>
                <w:rFonts w:ascii="Google Sans" w:cs="Google Sans" w:eastAsia="Google Sans" w:hAnsi="Google Sans"/>
                <w:sz w:val="24"/>
                <w:szCs w:val="24"/>
              </w:rPr>
              <w:t>E.U. customers’ data is kept private/secured.</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 company does not currently use encryption to better ensure the confidentiality of customers’ financial information.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There is a plan in place to notify E.U. customers within 72 hours if their data is compromised/there is a breach.</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There is a plan to notify E.U. customers within 72 hours of a data breach.</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Ensure data is properly classified and inventoried.</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Current assets have been inventoried/listed, but not classified.</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Enforce privacy policies, procedures, and processes to properly document and maintain data.</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Privacy policies, procedures, and processes have been developed and enforced among IT team members and other employees, as needed.</w:t>
            </w:r>
          </w:p>
        </w:tc>
      </w:tr>
    </w:tbl>
    <w:p>
      <w:pPr>
        <w:pStyle w:val="style0"/>
        <w:rPr>
          <w:rFonts w:ascii="Google Sans" w:cs="Google Sans" w:eastAsia="Google Sans" w:hAnsi="Google Sans"/>
          <w:sz w:val="24"/>
          <w:szCs w:val="24"/>
        </w:rPr>
      </w:pPr>
    </w:p>
    <w:p>
      <w:pPr>
        <w:pStyle w:val="style0"/>
        <w:rPr>
          <w:rFonts w:ascii="Google Sans" w:cs="Google Sans" w:eastAsia="Google Sans" w:hAnsi="Google Sans"/>
          <w:sz w:val="24"/>
          <w:szCs w:val="24"/>
        </w:rPr>
      </w:pPr>
    </w:p>
    <w:p>
      <w:pPr>
        <w:pStyle w:val="style0"/>
        <w:spacing w:after="200" w:lineRule="auto" w:line="360"/>
        <w:rPr>
          <w:rFonts w:ascii="Google Sans" w:cs="Google Sans" w:eastAsia="Google Sans" w:hAnsi="Google Sans"/>
          <w:sz w:val="24"/>
          <w:szCs w:val="24"/>
        </w:rPr>
      </w:pPr>
      <w:r>
        <w:rPr>
          <w:rFonts w:ascii="Google Sans" w:cs="Google Sans" w:eastAsia="Google Sans" w:hAnsi="Google Sans"/>
          <w:sz w:val="24"/>
          <w:szCs w:val="24"/>
          <w:u w:val="single"/>
        </w:rPr>
        <w:t>System and Organizations Controls (SOC type 1, SOC type 2)</w:t>
      </w:r>
      <w:r>
        <w:rPr>
          <w:rFonts w:ascii="Google Sans" w:cs="Google Sans" w:eastAsia="Google Sans" w:hAnsi="Google Sans"/>
          <w:sz w:val="24"/>
          <w:szCs w:val="24"/>
        </w:rPr>
        <w:t xml:space="preserve"> </w:t>
      </w:r>
    </w:p>
    <w:tbl>
      <w:tblPr>
        <w:tblStyle w:val="style4108"/>
        <w:tblW w:w="9135" w:type="dxa"/>
        <w:jc w:val="lef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15"/>
        <w:gridCol w:w="1140"/>
        <w:gridCol w:w="3285"/>
        <w:gridCol w:w="3495"/>
      </w:tblGrid>
      <w:tr>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jc w:val="right"/>
              <w:rPr>
                <w:rFonts w:ascii="Google Sans" w:cs="Google Sans" w:eastAsia="Google Sans" w:hAnsi="Google Sans"/>
                <w:b/>
                <w:sz w:val="24"/>
                <w:szCs w:val="24"/>
              </w:rPr>
            </w:pPr>
            <w:r>
              <w:rPr>
                <w:rFonts w:ascii="Google Sans" w:cs="Google Sans" w:eastAsia="Google Sans" w:hAnsi="Google Sans"/>
                <w:b/>
                <w:sz w:val="24"/>
                <w:szCs w:val="24"/>
              </w:rPr>
              <w:t>Yes</w:t>
            </w:r>
          </w:p>
        </w:tc>
        <w:tc>
          <w:tcPr>
            <w:tcW w:w="0" w:type="auto"/>
            <w:tcBorders/>
            <w:shd w:val="clear" w:color="auto" w:fill="auto"/>
            <w:tcMar>
              <w:top w:w="100" w:type="dxa"/>
              <w:left w:w="100" w:type="dxa"/>
              <w:bottom w:w="100" w:type="dxa"/>
              <w:right w:w="100" w:type="dxa"/>
            </w:tcMar>
          </w:tcPr>
          <w:p>
            <w:pPr>
              <w:pStyle w:val="style0"/>
              <w:widowControl w:val="false"/>
              <w:spacing w:lineRule="auto" w:line="240"/>
              <w:jc w:val="center"/>
              <w:rPr>
                <w:rFonts w:ascii="Google Sans" w:cs="Google Sans" w:eastAsia="Google Sans" w:hAnsi="Google Sans"/>
                <w:b/>
                <w:sz w:val="24"/>
                <w:szCs w:val="24"/>
              </w:rPr>
            </w:pPr>
            <w:r>
              <w:rPr>
                <w:rFonts w:ascii="Google Sans" w:cs="Google Sans" w:eastAsia="Google Sans" w:hAnsi="Google Sans"/>
                <w:b/>
                <w:sz w:val="24"/>
                <w:szCs w:val="24"/>
              </w:rPr>
              <w:t xml:space="preserve">    No</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b/>
                <w:sz w:val="24"/>
                <w:szCs w:val="24"/>
              </w:rPr>
            </w:pPr>
            <w:r>
              <w:rPr>
                <w:rFonts w:ascii="Google Sans" w:cs="Google Sans" w:eastAsia="Google Sans" w:hAnsi="Google Sans"/>
                <w:b/>
                <w:sz w:val="24"/>
                <w:szCs w:val="24"/>
              </w:rPr>
              <w:t>Best practice</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b/>
                <w:i/>
                <w:sz w:val="24"/>
                <w:szCs w:val="24"/>
              </w:rPr>
              <w:t>Explanation</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numPr>
                <w:ilvl w:val="0"/>
                <w:numId w:val="1"/>
              </w:numPr>
              <w:spacing w:lineRule="auto" w:line="240"/>
              <w:ind w:left="720" w:hanging="36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rPr>
                <w:rFonts w:ascii="Google Sans" w:cs="Google Sans" w:eastAsia="Google Sans" w:hAnsi="Google Sans"/>
                <w:sz w:val="24"/>
                <w:szCs w:val="24"/>
              </w:rPr>
            </w:pPr>
            <w:r>
              <w:rPr>
                <w:rFonts w:ascii="Google Sans" w:cs="Google Sans" w:eastAsia="Google Sans" w:hAnsi="Google Sans"/>
                <w:sz w:val="24"/>
                <w:szCs w:val="24"/>
              </w:rPr>
              <w:t>User access policies are established.</w:t>
            </w:r>
          </w:p>
        </w:tc>
        <w:tc>
          <w:tcPr>
            <w:tcW w:w="0" w:type="auto"/>
            <w:tcBorders/>
            <w:shd w:val="clear" w:color="auto" w:fill="auto"/>
            <w:tcMar>
              <w:top w:w="100" w:type="dxa"/>
              <w:left w:w="100" w:type="dxa"/>
              <w:bottom w:w="100" w:type="dxa"/>
              <w:right w:w="100" w:type="dxa"/>
            </w:tcMar>
          </w:tcPr>
          <w:p>
            <w:pPr>
              <w:pStyle w:val="style0"/>
              <w:rPr>
                <w:rFonts w:ascii="Google Sans" w:cs="Google Sans" w:eastAsia="Google Sans" w:hAnsi="Google Sans"/>
                <w:i/>
                <w:sz w:val="24"/>
                <w:szCs w:val="24"/>
              </w:rPr>
            </w:pPr>
            <w:r>
              <w:rPr>
                <w:rFonts w:ascii="Google Sans" w:cs="Google Sans" w:eastAsia="Google Sans" w:hAnsi="Google Sans"/>
                <w:i/>
                <w:sz w:val="24"/>
                <w:szCs w:val="24"/>
              </w:rPr>
              <w:t>Controls of Least Privilege and separation of duties are not currently in place; all employees have access to internally stored data.</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Sensitive data (PII/SPII) is confidential/private.</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Encryption is not currently used to better ensure the confidentiality of PII/SPII.</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Data integrity ensures the data is consistent, complete, accurate, and has been validated.</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Data integrity is in place.</w:t>
            </w:r>
          </w:p>
        </w:tc>
      </w:tr>
      <w:tr>
        <w:tblPrEx/>
        <w:trPr>
          <w:cantSplit w:val="false"/>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p>
        </w:tc>
        <w:tc>
          <w:tcPr>
            <w:tcW w:w="0" w:type="auto"/>
            <w:tcBorders/>
            <w:shd w:val="clear" w:color="auto" w:fill="auto"/>
            <w:tcMar>
              <w:top w:w="100" w:type="dxa"/>
              <w:left w:w="100" w:type="dxa"/>
              <w:bottom w:w="100" w:type="dxa"/>
              <w:right w:w="100" w:type="dxa"/>
            </w:tcMar>
          </w:tcPr>
          <w:p>
            <w:pPr>
              <w:pStyle w:val="style0"/>
              <w:widowControl w:val="false"/>
              <w:spacing w:lineRule="auto" w:line="240"/>
              <w:ind w:left="720" w:firstLine="0"/>
              <w:jc w:val="both"/>
              <w:rPr>
                <w:rFonts w:ascii="Google Sans" w:cs="Google Sans" w:eastAsia="Google Sans" w:hAnsi="Google Sans"/>
                <w:sz w:val="24"/>
                <w:szCs w:val="24"/>
              </w:rPr>
            </w:pPr>
            <w:r>
              <w:rPr>
                <w:rFonts w:ascii="Google Sans" w:cs="Google Sans" w:eastAsia="Google Sans" w:hAnsi="Google Sans"/>
                <w:sz w:val="24"/>
                <w:szCs w:val="24"/>
              </w:rPr>
              <w:t>X</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sz w:val="24"/>
                <w:szCs w:val="24"/>
              </w:rPr>
            </w:pPr>
            <w:r>
              <w:rPr>
                <w:rFonts w:ascii="Google Sans" w:cs="Google Sans" w:eastAsia="Google Sans" w:hAnsi="Google Sans"/>
                <w:sz w:val="24"/>
                <w:szCs w:val="24"/>
              </w:rPr>
              <w:t>Data is available to individuals authorized to access it.</w:t>
            </w:r>
          </w:p>
        </w:tc>
        <w:tc>
          <w:tcPr>
            <w:tcW w:w="0" w:type="auto"/>
            <w:tcBorders/>
            <w:shd w:val="clear" w:color="auto" w:fill="auto"/>
            <w:tcMar>
              <w:top w:w="100" w:type="dxa"/>
              <w:left w:w="100" w:type="dxa"/>
              <w:bottom w:w="100" w:type="dxa"/>
              <w:right w:w="100" w:type="dxa"/>
            </w:tcMar>
          </w:tcPr>
          <w:p>
            <w:pPr>
              <w:pStyle w:val="style0"/>
              <w:widowControl w:val="false"/>
              <w:spacing w:lineRule="auto" w:line="240"/>
              <w:rPr>
                <w:rFonts w:ascii="Google Sans" w:cs="Google Sans" w:eastAsia="Google Sans" w:hAnsi="Google Sans"/>
                <w:i/>
                <w:sz w:val="24"/>
                <w:szCs w:val="24"/>
              </w:rPr>
            </w:pPr>
            <w:r>
              <w:rPr>
                <w:rFonts w:ascii="Google Sans" w:cs="Google Sans" w:eastAsia="Google Sans" w:hAnsi="Google Sans"/>
                <w:i/>
                <w:sz w:val="24"/>
                <w:szCs w:val="24"/>
              </w:rPr>
              <w:t>While data is available to all employees, authorization needs to be limited to only the individuals who need access to it to do their jobs.</w:t>
            </w:r>
          </w:p>
        </w:tc>
      </w:tr>
    </w:tbl>
    <w:p>
      <w:pPr>
        <w:pStyle w:val="style0"/>
        <w:spacing w:after="200" w:lineRule="auto" w:line="360"/>
        <w:rPr>
          <w:rFonts w:ascii="Google Sans" w:cs="Google Sans" w:eastAsia="Google Sans" w:hAnsi="Google Sans"/>
          <w:sz w:val="24"/>
          <w:szCs w:val="24"/>
        </w:rPr>
      </w:pPr>
    </w:p>
    <w:p>
      <w:pPr>
        <w:pStyle w:val="style0"/>
        <w:spacing w:after="200" w:lineRule="auto" w:line="360"/>
        <w:rPr>
          <w:rFonts w:ascii="Google Sans" w:cs="Google Sans" w:eastAsia="Google Sans" w:hAnsi="Google Sans"/>
          <w:sz w:val="24"/>
          <w:szCs w:val="24"/>
        </w:rPr>
      </w:pPr>
      <w:r>
        <w:rPr/>
        <w:pict>
          <v:rect id="1027" fillcolor="#a0a0a0" stroked="f" style="margin-left:0.0pt;margin-top:0.0pt;width:0.0pt;height:1.5pt;mso-wrap-distance-left:0.0pt;mso-wrap-distance-right:0.0pt;visibility:visible;" o:hr="t" o:hralign="center" o:hrstd="t">
            <v:stroke on="f"/>
            <v:fill/>
          </v:rect>
        </w:pict>
      </w:r>
    </w:p>
    <w:p>
      <w:pPr>
        <w:pStyle w:val="style0"/>
        <w:spacing w:after="200" w:lineRule="auto" w:line="276"/>
        <w:rPr/>
      </w:pPr>
      <w:r>
        <w:rPr>
          <w:rFonts w:ascii="Google Sans" w:cs="Google Sans" w:eastAsia="Google Sans" w:hAnsi="Google Sans"/>
          <w:b/>
          <w:sz w:val="24"/>
          <w:szCs w:val="24"/>
        </w:rPr>
        <w:t xml:space="preserve">Recommendations (optional):  </w:t>
      </w:r>
      <w:r>
        <w:rPr>
          <w:rFonts w:ascii="Google Sans" w:cs="Google Sans" w:eastAsia="Google Sans" w:hAnsi="Google Sans"/>
          <w:sz w:val="24"/>
          <w:szCs w:val="24"/>
        </w:rPr>
        <w:t>In this section, provide recommendations, related to controls and/or compliance needs, that your IT manager could communicate to stakeholders to reduce risks to assets and improve Botium Toys’ security posture.</w:t>
      </w:r>
    </w:p>
    <w:p>
      <w:pPr>
        <w:pStyle w:val="style0"/>
        <w:rPr>
          <w:rFonts w:ascii="Google Sans" w:cs="Google Sans" w:eastAsia="Google Sans" w:hAnsi="Google Sans"/>
          <w:i/>
          <w:sz w:val="24"/>
          <w:szCs w:val="24"/>
        </w:rPr>
      </w:pPr>
      <w:r>
        <w:rPr>
          <w:rFonts w:ascii="Google Sans" w:cs="Google Sans" w:eastAsia="Google Sans" w:hAnsi="Google Sans"/>
          <w:i/>
          <w:sz w:val="24"/>
          <w:szCs w:val="24"/>
        </w:rPr>
        <w:t>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pPr>
        <w:pStyle w:val="style0"/>
        <w:rPr>
          <w:rFonts w:ascii="Google Sans" w:cs="Google Sans" w:eastAsia="Google Sans" w:hAnsi="Google Sans"/>
          <w:i/>
          <w:sz w:val="24"/>
          <w:szCs w:val="24"/>
        </w:rPr>
      </w:pPr>
    </w:p>
    <w:p>
      <w:pPr>
        <w:pStyle w:val="style0"/>
        <w:rPr>
          <w:rFonts w:ascii="Google Sans" w:cs="Google Sans" w:eastAsia="Google Sans" w:hAnsi="Google Sans"/>
          <w:i/>
          <w:sz w:val="24"/>
          <w:szCs w:val="24"/>
        </w:rPr>
      </w:pPr>
      <w:r>
        <w:rPr>
          <w:rFonts w:ascii="Google Sans" w:cs="Google Sans" w:eastAsia="Google Sans" w:hAnsi="Google Sans"/>
          <w:i/>
          <w:sz w:val="24"/>
          <w:szCs w:val="24"/>
        </w:rPr>
        <w:t>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headerReference w:type="default" r:id="rId2"/>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9">
    <w:name w:val="normal"/>
    <w:next w:val="style4099"/>
    <w:pPr/>
  </w:style>
  <w:style w:type="table" w:customStyle="1" w:styleId="style4100">
    <w:name w:val="Table Normal"/>
    <w:next w:val="style4100"/>
    <w:pPr/>
    <w:tcPr>
      <w:tcBorders/>
    </w:tcPr>
  </w:style>
  <w:style w:type="paragraph" w:styleId="style1">
    <w:name w:val="heading 1"/>
    <w:basedOn w:val="style4099"/>
    <w:next w:val="style4099"/>
    <w:pPr>
      <w:keepNext/>
      <w:keepLines/>
      <w:pageBreakBefore w:val="false"/>
      <w:spacing w:before="400" w:after="120"/>
    </w:pPr>
    <w:rPr>
      <w:sz w:val="40"/>
      <w:szCs w:val="40"/>
    </w:rPr>
  </w:style>
  <w:style w:type="paragraph" w:styleId="style2">
    <w:name w:val="heading 2"/>
    <w:basedOn w:val="style4099"/>
    <w:next w:val="style4099"/>
    <w:pPr>
      <w:keepNext/>
      <w:keepLines/>
      <w:pageBreakBefore w:val="false"/>
      <w:spacing w:before="360" w:after="120"/>
    </w:pPr>
    <w:rPr>
      <w:b w:val="false"/>
      <w:sz w:val="32"/>
      <w:szCs w:val="32"/>
    </w:rPr>
  </w:style>
  <w:style w:type="paragraph" w:styleId="style3">
    <w:name w:val="heading 3"/>
    <w:basedOn w:val="style4099"/>
    <w:next w:val="style4099"/>
    <w:pPr>
      <w:keepNext/>
      <w:keepLines/>
      <w:pageBreakBefore w:val="false"/>
      <w:spacing w:before="320" w:after="80"/>
    </w:pPr>
    <w:rPr>
      <w:b w:val="false"/>
      <w:color w:val="434343"/>
      <w:sz w:val="28"/>
      <w:szCs w:val="28"/>
    </w:rPr>
  </w:style>
  <w:style w:type="paragraph" w:styleId="style4">
    <w:name w:val="heading 4"/>
    <w:basedOn w:val="style4099"/>
    <w:next w:val="style4099"/>
    <w:pPr>
      <w:keepNext/>
      <w:keepLines/>
      <w:pageBreakBefore w:val="false"/>
      <w:spacing w:before="280" w:after="80"/>
    </w:pPr>
    <w:rPr>
      <w:color w:val="666666"/>
      <w:sz w:val="24"/>
      <w:szCs w:val="24"/>
    </w:rPr>
  </w:style>
  <w:style w:type="paragraph" w:styleId="style5">
    <w:name w:val="heading 5"/>
    <w:basedOn w:val="style4099"/>
    <w:next w:val="style4099"/>
    <w:pPr>
      <w:keepNext/>
      <w:keepLines/>
      <w:pageBreakBefore w:val="false"/>
      <w:spacing w:before="240" w:after="80"/>
    </w:pPr>
    <w:rPr>
      <w:color w:val="666666"/>
      <w:sz w:val="22"/>
      <w:szCs w:val="22"/>
    </w:rPr>
  </w:style>
  <w:style w:type="paragraph" w:styleId="style6">
    <w:name w:val="heading 6"/>
    <w:basedOn w:val="style4099"/>
    <w:next w:val="style4099"/>
    <w:pPr>
      <w:keepNext/>
      <w:keepLines/>
      <w:pageBreakBefore w:val="false"/>
      <w:spacing w:before="240" w:after="80"/>
    </w:pPr>
    <w:rPr>
      <w:i/>
      <w:color w:val="666666"/>
      <w:sz w:val="22"/>
      <w:szCs w:val="22"/>
    </w:rPr>
  </w:style>
  <w:style w:type="paragraph" w:styleId="style62">
    <w:name w:val="Title"/>
    <w:basedOn w:val="style4099"/>
    <w:next w:val="style4099"/>
    <w:pPr>
      <w:keepNext/>
      <w:keepLines/>
      <w:pageBreakBefore w:val="false"/>
      <w:spacing w:before="0" w:after="60"/>
    </w:pPr>
    <w:rPr>
      <w:sz w:val="52"/>
      <w:szCs w:val="52"/>
    </w:rPr>
  </w:style>
  <w:style w:type="paragraph" w:styleId="style74">
    <w:name w:val="Subtitle"/>
    <w:basedOn w:val="style4099"/>
    <w:next w:val="style4099"/>
    <w:pPr>
      <w:keepNext/>
      <w:keepLines/>
      <w:pageBreakBefore w:val="false"/>
      <w:spacing w:before="0" w:after="320"/>
    </w:pPr>
    <w:rPr>
      <w:rFonts w:ascii="Arial" w:cs="Arial" w:eastAsia="Arial" w:hAnsi="Arial"/>
      <w:i w:val="false"/>
      <w:color w:val="666666"/>
      <w:sz w:val="30"/>
      <w:szCs w:val="30"/>
    </w:rPr>
  </w:style>
  <w:style w:type="table" w:customStyle="1" w:styleId="style4105">
    <w:basedOn w:val="style4100"/>
    <w:next w:val="style4105"/>
    <w:pPr/>
    <w:rPr/>
    <w:tblPr>
      <w:tblStyleRowBandSize w:val="1"/>
      <w:tblStyleColBandSize w:val="1"/>
      <w:tblCellMar>
        <w:top w:w="100" w:type="dxa"/>
        <w:left w:w="100" w:type="dxa"/>
        <w:bottom w:w="100" w:type="dxa"/>
        <w:right w:w="100" w:type="dxa"/>
      </w:tblCellMar>
    </w:tblPr>
    <w:tcPr>
      <w:tcBorders/>
    </w:tcPr>
  </w:style>
  <w:style w:type="table" w:customStyle="1" w:styleId="style4106">
    <w:basedOn w:val="style4100"/>
    <w:next w:val="style4106"/>
    <w:pPr/>
    <w:rPr/>
    <w:tblPr>
      <w:tblStyleRowBandSize w:val="1"/>
      <w:tblStyleColBandSize w:val="1"/>
      <w:tblCellMar>
        <w:top w:w="100" w:type="dxa"/>
        <w:left w:w="100" w:type="dxa"/>
        <w:bottom w:w="100" w:type="dxa"/>
        <w:right w:w="100" w:type="dxa"/>
      </w:tblCellMar>
    </w:tblPr>
    <w:tcPr>
      <w:tcBorders/>
    </w:tcPr>
  </w:style>
  <w:style w:type="table" w:customStyle="1" w:styleId="style4107">
    <w:basedOn w:val="style4100"/>
    <w:next w:val="style4107"/>
    <w:pPr/>
    <w:rPr/>
    <w:tblPr>
      <w:tblStyleRowBandSize w:val="1"/>
      <w:tblStyleColBandSize w:val="1"/>
      <w:tblCellMar>
        <w:top w:w="100" w:type="dxa"/>
        <w:left w:w="100" w:type="dxa"/>
        <w:bottom w:w="100" w:type="dxa"/>
        <w:right w:w="100" w:type="dxa"/>
      </w:tblCellMar>
    </w:tblPr>
    <w:tcPr>
      <w:tcBorders/>
    </w:tcPr>
  </w:style>
  <w:style w:type="table" w:customStyle="1" w:styleId="style4108">
    <w:basedOn w:val="style4100"/>
    <w:next w:val="style4108"/>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865</Words>
  <Characters>4986</Characters>
  <Application>WPS Office</Application>
  <Paragraphs>183</Paragraphs>
  <CharactersWithSpaces>5770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2025-04-28T11:13:09Z</dcterms:created>
  <dc:creator>WPS Office</dc:creator>
  <lastModifiedBy>23106RN0DA</lastModifiedBy>
  <dcterms:modified xsi:type="dcterms:W3CDTF">2025-04-28T11:13:10Z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e168c5b7eedb4be38a8c1bea8a9ca599</vt:lpwstr>
  </property>
</Properties>
</file>