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Date: 22/03-2017 </w:t>
        <w:br w:type="textWrapping"/>
        <w:t xml:space="preserve">Chair: Alex Nitsche</w:t>
        <w:br w:type="textWrapping"/>
        <w:t xml:space="preserve">Participants: Alex Nitsche, Ken Bäcklund, Adam Grandén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1. Objectives (5 min).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User cases is the next top priority to do. Project has been decided (Pong+Breakout, with upgrades and additional features)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-First meeting, no previous reports.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3. Discussion items (35 min)</w:t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Hit detection, and bouncing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Design choices, (bricks)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User cases, MoveBall , MovePad, Collision, HitBrick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Name of Game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Add use cases, added “Player” to word book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Ken is tasked to create use-case MovePad and HitBrick (due to similarity)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Adam is tasked to create use-case MoveBall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Alex is tasked to create use-case Collision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Everyone is tasked to come up with name suggestions (low-priority)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mo" w:cs="Arimo" w:eastAsia="Arimo" w:hAnsi="Arimo"/>
          <w:color w:val="000000"/>
        </w:rPr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No unresolved issues since this is the first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- Monday 27/03-2017, EDIT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