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6.png" ContentType="image/png"/>
  <Override PartName="/word/media/rId55.png" ContentType="image/png"/>
  <Override PartName="/word/media/rId60.png" ContentType="image/png"/>
  <Override PartName="/word/media/rId59.png" ContentType="image/png"/>
  <Override PartName="/word/media/rId58.png" ContentType="image/png"/>
  <Override PartName="/word/media/rId34.jpg" ContentType="image/jpeg"/>
  <Override PartName="/word/media/rId35.png" ContentType="image/png"/>
  <Override PartName="/word/media/rId36.png" ContentType="image/png"/>
  <Override PartName="/word/media/rId41.png" ContentType="image/png"/>
  <Override PartName="/word/media/rId26.png" ContentType="image/png"/>
  <Override PartName="/word/media/rId61.png" ContentType="image/png"/>
  <Override PartName="/word/media/rId27.png" ContentType="image/png"/>
  <Override PartName="/word/media/rId31.png" ContentType="image/png"/>
  <Override PartName="/word/media/rId32.png" ContentType="image/png"/>
  <Override PartName="/word/media/rId50.png" ContentType="image/png"/>
  <Override PartName="/word/media/rId40.png" ContentType="image/png"/>
  <Override PartName="/word/media/rId44.png" ContentType="image/png"/>
  <Override PartName="/word/media/rId4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Modeling</w:t>
      </w:r>
      <w:r>
        <w:t xml:space="preserve"> </w:t>
      </w:r>
      <w:r>
        <w:t xml:space="preserve">Federal</w:t>
      </w:r>
      <w:r>
        <w:t xml:space="preserve"> </w:t>
      </w:r>
      <w:r>
        <w:t xml:space="preserve">Employees</w:t>
      </w:r>
      <w:r>
        <w:t xml:space="preserve"> </w:t>
      </w:r>
      <w:r>
        <w:t xml:space="preserve">Data</w:t>
      </w:r>
      <w:r>
        <w:t xml:space="preserve"> </w:t>
      </w:r>
      <w:r>
        <w:t xml:space="preserve">to</w:t>
      </w:r>
      <w:r>
        <w:t xml:space="preserve"> </w:t>
      </w:r>
      <w:r>
        <w:t xml:space="preserve">Predict</w:t>
      </w:r>
      <w:r>
        <w:t xml:space="preserve"> </w:t>
      </w:r>
      <w:r>
        <w:t xml:space="preserve">Promotion</w:t>
      </w:r>
    </w:p>
    <w:p>
      <w:pPr>
        <w:pStyle w:val="Author"/>
      </w:pPr>
      <w:r>
        <w:t xml:space="preserve">Chia-Rui</w:t>
      </w:r>
      <w:r>
        <w:t xml:space="preserve"> </w:t>
      </w:r>
      <w:r>
        <w:t xml:space="preserve">(Jerry)</w:t>
      </w:r>
      <w:r>
        <w:t xml:space="preserve"> </w:t>
      </w:r>
      <w:r>
        <w:t xml:space="preserve">Chang</w:t>
      </w:r>
    </w:p>
    <w:p>
      <w:pPr>
        <w:pStyle w:val="Date"/>
      </w:pPr>
      <w:r>
        <w:t xml:space="preserve">May</w:t>
      </w:r>
      <w:r>
        <w:t xml:space="preserve"> </w:t>
      </w:r>
      <w:r>
        <w:t xml:space="preserve">2018</w:t>
      </w:r>
    </w:p>
    <w:p>
      <w:pPr>
        <w:pStyle w:val="Heading1"/>
      </w:pPr>
      <w:bookmarkStart w:id="21" w:name="abstract"/>
      <w:bookmarkEnd w:id="21"/>
      <w:r>
        <w:t xml:space="preserve">Abstract</w:t>
      </w:r>
    </w:p>
    <w:p>
      <w:pPr>
        <w:pStyle w:val="FirstParagraph"/>
      </w:pPr>
      <w:r>
        <w:t xml:space="preserve">The Senior Executive Service (SES) is a key leadership position within the Federal government. Federal employee with the SES position serves as the primary link between top political appointees and the rest of the Federal workforce. This study aims to understand factors that impact the SES promotion outcome, where we built a predictive model to predict promotion based on federal employees’ personal and career information. Due to recording error and time constraints, multiple variables have missing data, with some over 80% missing. To address potential data analysis challenges, we adopted multiple imputation technique to impute missing data. First, we generated 12 completed datasets through multivariate imputation by chained equations, with Classification and Regression Tree specified as the conditional distribution. Predictive check was then used to assess the robustness of imputation results. Second, we experimented various statistical models based on one completed dataset, where piecewise linear regression model provided appropriate fit to the data. Lastly, we estimated model coefficients with two approaches - maximum likelihood estimates and Bayesian posterior distribution. We then combined each completed dataset’s coefficient estimates to conduct inference.</w:t>
      </w:r>
    </w:p>
    <w:p>
      <w:pPr>
        <w:pStyle w:val="Heading1"/>
      </w:pPr>
      <w:bookmarkStart w:id="22" w:name="introduction"/>
      <w:bookmarkEnd w:id="22"/>
      <w:r>
        <w:t xml:space="preserve">Introduction</w:t>
      </w:r>
    </w:p>
    <w:p>
      <w:pPr>
        <w:pStyle w:val="FirstParagraph"/>
      </w:pPr>
      <w:r>
        <w:t xml:space="preserve">The Senior Executive Service (SES) was established by the Civil Service Reform Act (CSRA) in 1978. The introduction of the SES program is to select and develop high-level executives corps with exceptional management skills. Granted with high authority, members of the SES not only ensure productivity and efficiency within the government but also provide leadership to agencies across administration. Each executive holds key position below the top political appointees, and serves as primary link between these appointees and government career workers</w:t>
      </w:r>
      <w:r>
        <w:t xml:space="preserve"> </w:t>
      </w:r>
      <w:r>
        <w:t xml:space="preserve">(“Guide to the senior executive service,” 2017)</w:t>
      </w:r>
      <w:r>
        <w:t xml:space="preserve">. Before the existence of the SES, the federal government was a fragmented bureaucracy. The creation of these centralized senior leaders therefore brought a</w:t>
      </w:r>
      <w:r>
        <w:t xml:space="preserve"> </w:t>
      </w:r>
      <w:r>
        <w:t xml:space="preserve">“</w:t>
      </w:r>
      <w:r>
        <w:t xml:space="preserve">measure of coherence</w:t>
      </w:r>
      <w:r>
        <w:t xml:space="preserve">”</w:t>
      </w:r>
      <w:r>
        <w:t xml:space="preserve"> </w:t>
      </w:r>
      <w:r>
        <w:t xml:space="preserve">to fulfil the larger corporate interests of the federal government</w:t>
      </w:r>
      <w:r>
        <w:t xml:space="preserve"> </w:t>
      </w:r>
      <w:r>
        <w:t xml:space="preserve">(Huddleston &amp; Boyer, 1996)</w:t>
      </w:r>
      <w:r>
        <w:t xml:space="preserve">. With more than thirty years of establishment, the SES became</w:t>
      </w:r>
      <w:r>
        <w:t xml:space="preserve"> </w:t>
      </w:r>
      <w:r>
        <w:t xml:space="preserve">“</w:t>
      </w:r>
      <w:r>
        <w:t xml:space="preserve">the backbone of Federal executive leadership</w:t>
      </w:r>
      <w:r>
        <w:t xml:space="preserve">”</w:t>
      </w:r>
      <w:r>
        <w:t xml:space="preserve">, where its members</w:t>
      </w:r>
      <w:r>
        <w:t xml:space="preserve"> </w:t>
      </w:r>
      <w:r>
        <w:t xml:space="preserve">“</w:t>
      </w:r>
      <w:r>
        <w:t xml:space="preserve">play a crucial role in addressing unprecedented challenges facing our nation</w:t>
      </w:r>
      <w:r>
        <w:t xml:space="preserve">”</w:t>
      </w:r>
      <w:r>
        <w:t xml:space="preserve"> </w:t>
      </w:r>
      <w:r>
        <w:t xml:space="preserve">(“Statement of Jeffrey D. Zients, U.S. Congress, Senate Committee on Homeland Security and Governmental Affairs, Subcommittee on Oversight of Government Management, the Federal Workforce, and the District of Columbia,” 2011)</w:t>
      </w:r>
      <w:r>
        <w:t xml:space="preserve">.</w:t>
      </w:r>
      <w:r>
        <w:br w:type="textWrapping"/>
      </w:r>
    </w:p>
    <w:p>
      <w:pPr>
        <w:pStyle w:val="BodyText"/>
      </w:pPr>
      <w:r>
        <w:t xml:space="preserve">The Office of Personnel Management (OPM), also established by the CSRA, is tasked to manage the overall SES program. There are four types of appointments in the SES. The first type is career appointment, where incumbents are selected through merit-based staffing and usually hold permanent position within the government. The other three types are either non-career appointment or appointment with limited terms. Since the majority of the SES positions are career appointments, the primary interest of this study focuses on career-track SES.</w:t>
      </w:r>
    </w:p>
    <w:p>
      <w:pPr>
        <w:pStyle w:val="BodyText"/>
      </w:pPr>
      <w:r>
        <w:t xml:space="preserve">The selection of career-track SES is based on OPM’s Executive Core Qualifications (ECQ), which specifies a candidate’s competencies to build successful teams and bring out strategic integration within and outside the organization. Specifically, the OPM identifies various critical leadership skills for executives to succeed. For example, executives need to have the abilities to lead strategic changes and achieve organizational goals with high-quality results. Qualifications Review Boards (QRBs), consisting of three SES members from distinct agencies, further reviewed the approval of a candidate.</w:t>
      </w:r>
      <w:r>
        <w:t xml:space="preserve"> </w:t>
      </w:r>
    </w:p>
    <w:p>
      <w:pPr>
        <w:pStyle w:val="BodyText"/>
      </w:pPr>
      <w:r>
        <w:t xml:space="preserve">Tthe recruiting of the SES position consists of multiple phases, and we are interested in understanding factors that affect promotion outcomes. For example, promotion bias towards people with technical expertise existed in the early establishment of the SES program. Furthermore, some of the outside observers have raised concern about the diversity of the SES. As a result, various studies have been conducted on the current SES system. For example, Powell and Butterfield investigated the impact of gender on the SES promotion outcomes</w:t>
      </w:r>
      <w:r>
        <w:t xml:space="preserve"> </w:t>
      </w:r>
      <w:r>
        <w:t xml:space="preserve">(Powell &amp; Butterfield, 1994)</w:t>
      </w:r>
      <w:r>
        <w:t xml:space="preserve">. Shafritz argued that the quality of the SES can be improved with more racial, ethnic and gender diversity</w:t>
      </w:r>
      <w:r>
        <w:t xml:space="preserve"> </w:t>
      </w:r>
      <w:r>
        <w:t xml:space="preserve">(Carey, 2011)</w:t>
      </w:r>
      <w:r>
        <w:t xml:space="preserve">. The motivation behind this project, therefore, is to build a statistical model in predicting promotion outcomes of the SES positions based on federal employees’ personal and career information.</w:t>
      </w:r>
    </w:p>
    <w:p>
      <w:pPr>
        <w:pStyle w:val="Heading1"/>
      </w:pPr>
      <w:bookmarkStart w:id="23" w:name="data"/>
      <w:bookmarkEnd w:id="23"/>
      <w:r>
        <w:t xml:space="preserve">Data</w:t>
      </w:r>
    </w:p>
    <w:p>
      <w:pPr>
        <w:pStyle w:val="FirstParagraph"/>
      </w:pPr>
      <w:r>
        <w:t xml:space="preserve">The data of this study comes from the Office of Personal Management (OPM), consisting of the federal employees data from 1988 to 2011. It contains not only an employee’s personal information such as gender and race but also career-related information such as years of services, pay plan, and salary. The study used 10% samples of the OPM data, with 36,751 total employees.</w:t>
      </w:r>
    </w:p>
    <w:p>
      <w:pPr>
        <w:pStyle w:val="BodyText"/>
      </w:pPr>
    </w:p>
    <w:p>
      <w:pPr>
        <w:pStyle w:val="TableCaption"/>
      </w:pPr>
      <w:r>
        <w:rPr>
          <w:i/>
        </w:rPr>
        <w:t xml:space="preserve">Personal Information</w:t>
      </w:r>
    </w:p>
    <w:tbl>
      <w:tblPr>
        <w:tblStyle w:val="TableNormal"/>
        <w:tblW w:type="pct" w:w="0.0"/>
        <w:tblLook w:firstRow="1"/>
        <w:tblCaption w:val="Personal Information"/>
      </w:tblPr>
      <w:tblGrid/>
      <w:tr>
        <w:trPr>
          <w:cnfStyle w:firstRow="1"/>
        </w:trPr>
        <w:tc>
          <w:tcPr>
            <w:tcBorders>
              <w:bottom w:val="single"/>
            </w:tcBorders>
            <w:vAlign w:val="bottom"/>
          </w:tcPr>
          <w:p>
            <w:pPr>
              <w:pStyle w:val="Compact"/>
              <w:jc w:val="left"/>
            </w:pPr>
            <w:r>
              <w:rPr>
                <w:b/>
              </w:rPr>
              <w:t xml:space="preserve">Variable Name</w:t>
            </w:r>
          </w:p>
        </w:tc>
        <w:tc>
          <w:tcPr>
            <w:tcBorders>
              <w:bottom w:val="single"/>
            </w:tcBorders>
            <w:vAlign w:val="bottom"/>
          </w:tcPr>
          <w:p>
            <w:pPr>
              <w:pStyle w:val="Compact"/>
              <w:jc w:val="left"/>
            </w:pPr>
            <w:r>
              <w:rPr>
                <w:b/>
              </w:rPr>
              <w:t xml:space="preserve">Short Description</w:t>
            </w:r>
          </w:p>
        </w:tc>
        <w:tc>
          <w:tcPr>
            <w:tcBorders>
              <w:bottom w:val="single"/>
            </w:tcBorders>
            <w:vAlign w:val="bottom"/>
          </w:tcPr>
          <w:p>
            <w:pPr>
              <w:pStyle w:val="Compact"/>
              <w:jc w:val="left"/>
            </w:pPr>
            <w:r>
              <w:rPr>
                <w:b/>
              </w:rPr>
              <w:t xml:space="preserve">Type</w:t>
            </w:r>
          </w:p>
        </w:tc>
      </w:tr>
      <w:tr>
        <w:tc>
          <w:p>
            <w:pPr>
              <w:pStyle w:val="Compact"/>
              <w:jc w:val="left"/>
            </w:pPr>
            <w:r>
              <w:t xml:space="preserve">Sex</w:t>
            </w:r>
          </w:p>
        </w:tc>
        <w:tc>
          <w:p>
            <w:pPr>
              <w:pStyle w:val="Compact"/>
              <w:jc w:val="left"/>
            </w:pPr>
            <w:r>
              <w:t xml:space="preserve">gender of an employee</w:t>
            </w:r>
          </w:p>
        </w:tc>
        <w:tc>
          <w:p>
            <w:pPr>
              <w:pStyle w:val="Compact"/>
              <w:jc w:val="left"/>
            </w:pPr>
            <w:r>
              <w:t xml:space="preserve">categorical</w:t>
            </w:r>
          </w:p>
        </w:tc>
      </w:tr>
      <w:tr>
        <w:tc>
          <w:p>
            <w:pPr>
              <w:pStyle w:val="Compact"/>
              <w:jc w:val="left"/>
            </w:pPr>
            <w:r>
              <w:t xml:space="preserve">Race</w:t>
            </w:r>
          </w:p>
        </w:tc>
        <w:tc>
          <w:p>
            <w:pPr>
              <w:pStyle w:val="Compact"/>
              <w:jc w:val="left"/>
            </w:pPr>
            <w:r>
              <w:t xml:space="preserve">race or national origin of an employee</w:t>
            </w:r>
          </w:p>
        </w:tc>
        <w:tc>
          <w:p>
            <w:pPr>
              <w:pStyle w:val="Compact"/>
              <w:jc w:val="left"/>
            </w:pPr>
            <w:r>
              <w:t xml:space="preserve">categorical</w:t>
            </w:r>
          </w:p>
        </w:tc>
      </w:tr>
      <w:tr>
        <w:tc>
          <w:p>
            <w:pPr>
              <w:pStyle w:val="Compact"/>
              <w:jc w:val="left"/>
            </w:pPr>
            <w:r>
              <w:t xml:space="preserve">Education</w:t>
            </w:r>
          </w:p>
        </w:tc>
        <w:tc>
          <w:p>
            <w:pPr>
              <w:pStyle w:val="Compact"/>
              <w:jc w:val="left"/>
            </w:pPr>
            <w:r>
              <w:t xml:space="preserve">educational degree an employee obtained</w:t>
            </w:r>
          </w:p>
        </w:tc>
        <w:tc>
          <w:p>
            <w:pPr>
              <w:pStyle w:val="Compact"/>
              <w:jc w:val="left"/>
            </w:pPr>
            <w:r>
              <w:t xml:space="preserve">categorical</w:t>
            </w:r>
          </w:p>
        </w:tc>
      </w:tr>
    </w:tbl>
    <w:p>
      <w:pPr>
        <w:pStyle w:val="TableCaption"/>
      </w:pPr>
      <w:r>
        <w:rPr>
          <w:i/>
        </w:rPr>
        <w:t xml:space="preserve">Career-related Information</w:t>
      </w:r>
      <w:r>
        <w:br w:type="textWrapping"/>
      </w:r>
    </w:p>
    <w:tbl>
      <w:tblPr>
        <w:tblStyle w:val="TableNormal"/>
        <w:tblW w:type="pct" w:w="5000.0"/>
        <w:tblLook w:firstRow="1"/>
        <w:tblCaption w:val="Career-related Information "/>
      </w:tblPr>
      <w:tblGrid>
        <w:gridCol w:w="1440"/>
        <w:gridCol w:w="4937"/>
        <w:gridCol w:w="1542"/>
      </w:tblGrid>
      <w:tr>
        <w:trPr>
          <w:cnfStyle w:firstRow="1"/>
        </w:trPr>
        <w:tc>
          <w:tcPr>
            <w:tcBorders>
              <w:bottom w:val="single"/>
            </w:tcBorders>
            <w:vAlign w:val="bottom"/>
          </w:tcPr>
          <w:p>
            <w:pPr>
              <w:pStyle w:val="Compact"/>
              <w:jc w:val="left"/>
            </w:pPr>
            <w:r>
              <w:rPr>
                <w:b/>
              </w:rPr>
              <w:t xml:space="preserve">Variable Name</w:t>
            </w:r>
          </w:p>
        </w:tc>
        <w:tc>
          <w:tcPr>
            <w:tcBorders>
              <w:bottom w:val="single"/>
            </w:tcBorders>
            <w:vAlign w:val="bottom"/>
          </w:tcPr>
          <w:p>
            <w:pPr>
              <w:pStyle w:val="Compact"/>
              <w:jc w:val="left"/>
            </w:pPr>
            <w:r>
              <w:rPr>
                <w:b/>
              </w:rPr>
              <w:t xml:space="preserve">Short Description</w:t>
            </w:r>
          </w:p>
        </w:tc>
        <w:tc>
          <w:tcPr>
            <w:tcBorders>
              <w:bottom w:val="single"/>
            </w:tcBorders>
            <w:vAlign w:val="bottom"/>
          </w:tcPr>
          <w:p>
            <w:pPr>
              <w:pStyle w:val="Compact"/>
              <w:jc w:val="left"/>
            </w:pPr>
            <w:r>
              <w:rPr>
                <w:b/>
              </w:rPr>
              <w:t xml:space="preserve">Type</w:t>
            </w:r>
          </w:p>
        </w:tc>
      </w:tr>
      <w:tr>
        <w:tc>
          <w:p>
            <w:pPr>
              <w:pStyle w:val="Compact"/>
              <w:jc w:val="left"/>
            </w:pPr>
            <w:r>
              <w:t xml:space="preserve">Start Year</w:t>
            </w:r>
          </w:p>
        </w:tc>
        <w:tc>
          <w:p>
            <w:pPr>
              <w:pStyle w:val="Compact"/>
              <w:jc w:val="left"/>
            </w:pPr>
            <w:r>
              <w:t xml:space="preserve">fiscal year an employee started working</w:t>
            </w:r>
          </w:p>
        </w:tc>
        <w:tc>
          <w:p>
            <w:pPr>
              <w:pStyle w:val="Compact"/>
              <w:jc w:val="left"/>
            </w:pPr>
            <w:r>
              <w:t xml:space="preserve">continuous</w:t>
            </w:r>
          </w:p>
        </w:tc>
      </w:tr>
      <w:tr>
        <w:tc>
          <w:p>
            <w:pPr>
              <w:pStyle w:val="Compact"/>
              <w:jc w:val="left"/>
            </w:pPr>
            <w:r>
              <w:t xml:space="preserve">Service Fiscal Year Count</w:t>
            </w:r>
          </w:p>
        </w:tc>
        <w:tc>
          <w:p>
            <w:pPr>
              <w:pStyle w:val="Compact"/>
              <w:jc w:val="left"/>
            </w:pPr>
            <w:r>
              <w:t xml:space="preserve">number of years an employee has worked in the government excluding any break in services</w:t>
            </w:r>
          </w:p>
        </w:tc>
        <w:tc>
          <w:p>
            <w:pPr>
              <w:pStyle w:val="Compact"/>
              <w:jc w:val="left"/>
            </w:pPr>
            <w:r>
              <w:t xml:space="preserve">continuous</w:t>
            </w:r>
          </w:p>
        </w:tc>
      </w:tr>
      <w:tr>
        <w:tc>
          <w:p>
            <w:pPr>
              <w:pStyle w:val="Compact"/>
              <w:jc w:val="left"/>
            </w:pPr>
            <w:r>
              <w:t xml:space="preserve">Department Switch</w:t>
            </w:r>
          </w:p>
        </w:tc>
        <w:tc>
          <w:p>
            <w:pPr>
              <w:pStyle w:val="Compact"/>
              <w:jc w:val="left"/>
            </w:pPr>
            <w:r>
              <w:t xml:space="preserve">number of times an employee switched department</w:t>
            </w:r>
          </w:p>
        </w:tc>
        <w:tc>
          <w:p>
            <w:pPr>
              <w:pStyle w:val="Compact"/>
              <w:jc w:val="left"/>
            </w:pPr>
            <w:r>
              <w:t xml:space="preserve">continuous</w:t>
            </w:r>
          </w:p>
        </w:tc>
      </w:tr>
      <w:tr>
        <w:tc>
          <w:p>
            <w:pPr>
              <w:pStyle w:val="Compact"/>
              <w:jc w:val="left"/>
            </w:pPr>
            <w:r>
              <w:t xml:space="preserve">Occupational Category</w:t>
            </w:r>
          </w:p>
        </w:tc>
        <w:tc>
          <w:p>
            <w:pPr>
              <w:pStyle w:val="Compact"/>
              <w:jc w:val="left"/>
            </w:pPr>
            <w:r>
              <w:t xml:space="preserve">occupational category based on the nature of the work</w:t>
            </w:r>
          </w:p>
        </w:tc>
        <w:tc>
          <w:p>
            <w:pPr>
              <w:pStyle w:val="Compact"/>
              <w:jc w:val="left"/>
            </w:pPr>
            <w:r>
              <w:t xml:space="preserve">categorical</w:t>
            </w:r>
          </w:p>
        </w:tc>
      </w:tr>
      <w:tr>
        <w:tc>
          <w:p>
            <w:pPr>
              <w:pStyle w:val="Compact"/>
              <w:jc w:val="left"/>
            </w:pPr>
            <w:r>
              <w:t xml:space="preserve">Pay Plan</w:t>
            </w:r>
          </w:p>
        </w:tc>
        <w:tc>
          <w:p>
            <w:pPr>
              <w:pStyle w:val="Compact"/>
              <w:jc w:val="left"/>
            </w:pPr>
            <w:r>
              <w:t xml:space="preserve">a two-dimensional matrix of basic pay rates for certain employees prescribed by law or other authoritative sources</w:t>
            </w:r>
          </w:p>
        </w:tc>
        <w:tc>
          <w:p>
            <w:pPr>
              <w:pStyle w:val="Compact"/>
              <w:jc w:val="left"/>
            </w:pPr>
            <w:r>
              <w:t xml:space="preserve">categorical</w:t>
            </w:r>
          </w:p>
        </w:tc>
      </w:tr>
      <w:tr>
        <w:tc>
          <w:p>
            <w:pPr>
              <w:pStyle w:val="Compact"/>
              <w:jc w:val="left"/>
            </w:pPr>
            <w:r>
              <w:t xml:space="preserve">Grade</w:t>
            </w:r>
          </w:p>
        </w:tc>
        <w:tc>
          <w:p>
            <w:pPr>
              <w:pStyle w:val="Compact"/>
              <w:jc w:val="left"/>
            </w:pPr>
            <w:r>
              <w:t xml:space="preserve">hierarchical relationships among positions covered by the same pay plan or system</w:t>
            </w:r>
          </w:p>
        </w:tc>
        <w:tc>
          <w:p>
            <w:pPr>
              <w:pStyle w:val="Compact"/>
              <w:jc w:val="left"/>
            </w:pPr>
            <w:r>
              <w:t xml:space="preserve">categorical</w:t>
            </w:r>
          </w:p>
        </w:tc>
      </w:tr>
      <w:tr>
        <w:tc>
          <w:p>
            <w:pPr>
              <w:pStyle w:val="Compact"/>
              <w:jc w:val="left"/>
            </w:pPr>
            <w:r>
              <w:t xml:space="preserve">Step Rate</w:t>
            </w:r>
          </w:p>
        </w:tc>
        <w:tc>
          <w:p>
            <w:pPr>
              <w:pStyle w:val="Compact"/>
              <w:jc w:val="left"/>
            </w:pPr>
            <w:r>
              <w:t xml:space="preserve">an indicator of salary range within certain pay plan and grade</w:t>
            </w:r>
          </w:p>
        </w:tc>
        <w:tc>
          <w:p>
            <w:pPr>
              <w:pStyle w:val="Compact"/>
              <w:jc w:val="left"/>
            </w:pPr>
            <w:r>
              <w:t xml:space="preserve">categorical</w:t>
            </w:r>
          </w:p>
        </w:tc>
      </w:tr>
      <w:tr>
        <w:tc>
          <w:p>
            <w:pPr>
              <w:pStyle w:val="Compact"/>
              <w:jc w:val="left"/>
            </w:pPr>
            <w:r>
              <w:t xml:space="preserve">Pay Basic</w:t>
            </w:r>
          </w:p>
        </w:tc>
        <w:tc>
          <w:p>
            <w:pPr>
              <w:pStyle w:val="Compact"/>
              <w:jc w:val="left"/>
            </w:pPr>
            <w:r>
              <w:t xml:space="preserve">an employee’s basic pay rate adjusted for inflation based on 2011 standard</w:t>
            </w:r>
          </w:p>
        </w:tc>
        <w:tc>
          <w:p>
            <w:pPr>
              <w:pStyle w:val="Compact"/>
              <w:jc w:val="left"/>
            </w:pPr>
            <w:r>
              <w:t xml:space="preserve">continuous</w:t>
            </w:r>
          </w:p>
        </w:tc>
      </w:tr>
      <w:tr>
        <w:tc>
          <w:p>
            <w:pPr>
              <w:pStyle w:val="Compact"/>
              <w:jc w:val="left"/>
            </w:pPr>
            <w:r>
              <w:t xml:space="preserve">Promoted</w:t>
            </w:r>
          </w:p>
        </w:tc>
        <w:tc>
          <w:p>
            <w:pPr>
              <w:pStyle w:val="Compact"/>
              <w:jc w:val="left"/>
            </w:pPr>
            <w:r>
              <w:t xml:space="preserve">an indicator variable of whether an employee has ever been promoted into the Senior Executive Service (SES) position</w:t>
            </w:r>
          </w:p>
        </w:tc>
        <w:tc>
          <w:p>
            <w:pPr>
              <w:pStyle w:val="Compact"/>
              <w:jc w:val="left"/>
            </w:pPr>
            <w:r>
              <w:t xml:space="preserve">categorical</w:t>
            </w:r>
          </w:p>
        </w:tc>
      </w:tr>
    </w:tbl>
    <w:p>
      <w:pPr>
        <w:pStyle w:val="BodyText"/>
      </w:pPr>
      <w:r>
        <w:t xml:space="preserve">The underlying goal of this study is to better understand the SES promotion outcomes without political sponsorship. Currently, the SES positions account for less than 1 percent of all positions in the government. With such low proportion, it is important to identify potential candidates before conducting statistical modeling and inference.</w:t>
      </w:r>
      <w:r>
        <w:t xml:space="preserve"> </w:t>
      </w:r>
    </w:p>
    <w:p>
      <w:pPr>
        <w:pStyle w:val="BodyText"/>
      </w:pPr>
      <w:r>
        <w:t xml:space="preserve">First, we defined our population to be career-track employees who started working in the federal government between 1978 to 1997 and had at least 15 years of working experiences. The reasons to choose this time period are twofold. First, it took around 22 years on average for a federal employee to be promoted in to the SES position</w:t>
      </w:r>
      <w:r>
        <w:t xml:space="preserve"> </w:t>
      </w:r>
      <w:r>
        <w:t xml:space="preserve">(Powell &amp; Butterfield, 1994)</w:t>
      </w:r>
      <w:r>
        <w:t xml:space="preserve">. Because 2011 is the last year recorded in the OPM data, employees starting after 1997 would have less than 15 years of working experiences and are unlikely to be promoted within such a short period of time. We found it appropriate to remove them. Second, the OPM database was not established until 1988, so obtaining information of employees starting in the 1950s or 1960s periods would be challenging. Furthermore, the characteristics of employees in the past were much different from characteristics of employees nowadays. For example, the attainment of higher education and the proportion of women working are significantly higher nowadays. Given such constraints, we excluded employees who started before 1978.</w:t>
      </w:r>
      <w:r>
        <w:br w:type="textWrapping"/>
      </w:r>
    </w:p>
    <w:p>
      <w:pPr>
        <w:pStyle w:val="BodyText"/>
      </w:pPr>
      <w:r>
        <w:t xml:space="preserve">Second, though it usually took more than 10 years for a federal employee to get promoted into the SES position, we recognized that very few employees achieved the SES position with less than 10 years of working experiences. Since we were more interested in understanding the long-term career promotion, we excluded employees who were promoted into the SES positions with less than 10 years of working experiences.</w:t>
      </w:r>
      <w:r>
        <w:br w:type="textWrapping"/>
      </w:r>
    </w:p>
    <w:p>
      <w:pPr>
        <w:pStyle w:val="BodyText"/>
      </w:pPr>
      <w:r>
        <w:t xml:space="preserve">Third, we observed that those who got promoted usually made significant progress in their mid-career, which can be illustrated by features such as salary and grade achieved at working year 10. An employee’s grade demonstrates the hierarchical relationships among positions covered by the same pay plan or system. For example, the grades for General Pay Schedule (GS and GM pay plans) range from 1 to 15, with 15 being the highest grade. Since both pay plans account for approximately 75% of the employees in the data, we can gain some insights from the grade distribution of employees with GS or GM pay plan at working year 10. Specifically, most GS or GM pay plan employees who got promoted achieved grade 13 and above at working year 10, with few between grade 9 to 12, and none below grade 8. Based on this information, we believed employees with GS or GM pay plan had limited chance for promotion if they did not achieve grade 9 and above at working year 10; therefore, we found it suitable to exclude GS/GM pay plan employees whose grade were below 9 at working year 10.</w:t>
      </w:r>
      <w:r>
        <w:br w:type="textWrapping"/>
      </w:r>
    </w:p>
    <w:p>
      <w:pPr>
        <w:pStyle w:val="TableCaption"/>
      </w:pPr>
      <w:r>
        <w:rPr>
          <w:i/>
        </w:rPr>
        <w:t xml:space="preserve">Grade achieved at yr10 for employees who were later promoted into the SES position with GS or GM pay plan</w:t>
      </w:r>
      <w:r>
        <w:t xml:space="preserve"> </w:t>
      </w:r>
      <w:r>
        <w:t xml:space="preserve"> </w:t>
      </w:r>
    </w:p>
    <w:tbl>
      <w:tblPr>
        <w:tblStyle w:val="TableNormal"/>
        <w:tblW w:type="pct" w:w="0.0"/>
        <w:tblLook w:firstRow="1"/>
        <w:tblCaption w:val="Grade achieved at yr10 for employees who were later promoted into the SES position with GS or GM pay plan  "/>
      </w:tblPr>
      <w:tblGrid/>
      <w:tr>
        <w:trPr>
          <w:cnfStyle w:firstRow="1"/>
        </w:trPr>
        <w:tc>
          <w:tcPr>
            <w:tcBorders>
              <w:bottom w:val="single"/>
            </w:tcBorders>
            <w:vAlign w:val="bottom"/>
          </w:tcPr>
          <w:p>
            <w:pPr>
              <w:pStyle w:val="Compact"/>
              <w:jc w:val="left"/>
            </w:pPr>
            <w:r>
              <w:rPr>
                <w:b/>
              </w:rPr>
              <w:t xml:space="preserve">Grade 1-8</w:t>
            </w:r>
          </w:p>
        </w:tc>
        <w:tc>
          <w:tcPr>
            <w:tcBorders>
              <w:bottom w:val="single"/>
            </w:tcBorders>
            <w:vAlign w:val="bottom"/>
          </w:tcPr>
          <w:p>
            <w:pPr>
              <w:pStyle w:val="Compact"/>
              <w:jc w:val="left"/>
            </w:pPr>
            <w:r>
              <w:rPr>
                <w:b/>
              </w:rPr>
              <w:t xml:space="preserve">Grade 9</w:t>
            </w:r>
          </w:p>
        </w:tc>
        <w:tc>
          <w:tcPr>
            <w:tcBorders>
              <w:bottom w:val="single"/>
            </w:tcBorders>
            <w:vAlign w:val="bottom"/>
          </w:tcPr>
          <w:p>
            <w:pPr>
              <w:pStyle w:val="Compact"/>
              <w:jc w:val="left"/>
            </w:pPr>
            <w:r>
              <w:rPr>
                <w:b/>
              </w:rPr>
              <w:t xml:space="preserve">Grade 10</w:t>
            </w:r>
          </w:p>
        </w:tc>
        <w:tc>
          <w:tcPr>
            <w:tcBorders>
              <w:bottom w:val="single"/>
            </w:tcBorders>
            <w:vAlign w:val="bottom"/>
          </w:tcPr>
          <w:p>
            <w:pPr>
              <w:pStyle w:val="Compact"/>
              <w:jc w:val="left"/>
            </w:pPr>
            <w:r>
              <w:rPr>
                <w:b/>
              </w:rPr>
              <w:t xml:space="preserve">Grade 11</w:t>
            </w:r>
          </w:p>
        </w:tc>
        <w:tc>
          <w:tcPr>
            <w:tcBorders>
              <w:bottom w:val="single"/>
            </w:tcBorders>
            <w:vAlign w:val="bottom"/>
          </w:tcPr>
          <w:p>
            <w:pPr>
              <w:pStyle w:val="Compact"/>
              <w:jc w:val="left"/>
            </w:pPr>
            <w:r>
              <w:rPr>
                <w:b/>
              </w:rPr>
              <w:t xml:space="preserve">Grade 12</w:t>
            </w:r>
          </w:p>
        </w:tc>
        <w:tc>
          <w:tcPr>
            <w:tcBorders>
              <w:bottom w:val="single"/>
            </w:tcBorders>
            <w:vAlign w:val="bottom"/>
          </w:tcPr>
          <w:p>
            <w:pPr>
              <w:pStyle w:val="Compact"/>
              <w:jc w:val="left"/>
            </w:pPr>
            <w:r>
              <w:rPr>
                <w:b/>
              </w:rPr>
              <w:t xml:space="preserve">Grade 13</w:t>
            </w:r>
          </w:p>
        </w:tc>
        <w:tc>
          <w:tcPr>
            <w:tcBorders>
              <w:bottom w:val="single"/>
            </w:tcBorders>
            <w:vAlign w:val="bottom"/>
          </w:tcPr>
          <w:p>
            <w:pPr>
              <w:pStyle w:val="Compact"/>
              <w:jc w:val="left"/>
            </w:pPr>
            <w:r>
              <w:rPr>
                <w:b/>
              </w:rPr>
              <w:t xml:space="preserve">Grade 14</w:t>
            </w:r>
          </w:p>
        </w:tc>
        <w:tc>
          <w:tcPr>
            <w:tcBorders>
              <w:bottom w:val="single"/>
            </w:tcBorders>
            <w:vAlign w:val="bottom"/>
          </w:tcPr>
          <w:p>
            <w:pPr>
              <w:pStyle w:val="Compact"/>
              <w:jc w:val="left"/>
            </w:pPr>
            <w:r>
              <w:rPr>
                <w:b/>
              </w:rPr>
              <w:t xml:space="preserve">Grade 15</w:t>
            </w:r>
          </w:p>
        </w:tc>
      </w:tr>
      <w:tr>
        <w:tc>
          <w:p>
            <w:pPr>
              <w:pStyle w:val="Compact"/>
              <w:jc w:val="left"/>
            </w:pPr>
            <w:r>
              <w:t xml:space="preserve">0</w:t>
            </w:r>
          </w:p>
        </w:tc>
        <w:tc>
          <w:p>
            <w:pPr>
              <w:pStyle w:val="Compact"/>
              <w:jc w:val="left"/>
            </w:pPr>
            <w:r>
              <w:t xml:space="preserve">5</w:t>
            </w:r>
          </w:p>
        </w:tc>
        <w:tc>
          <w:p>
            <w:pPr>
              <w:pStyle w:val="Compact"/>
              <w:jc w:val="left"/>
            </w:pPr>
            <w:r>
              <w:t xml:space="preserve">2</w:t>
            </w:r>
          </w:p>
        </w:tc>
        <w:tc>
          <w:p>
            <w:pPr>
              <w:pStyle w:val="Compact"/>
              <w:jc w:val="left"/>
            </w:pPr>
            <w:r>
              <w:t xml:space="preserve">16</w:t>
            </w:r>
          </w:p>
        </w:tc>
        <w:tc>
          <w:p>
            <w:pPr>
              <w:pStyle w:val="Compact"/>
              <w:jc w:val="left"/>
            </w:pPr>
            <w:r>
              <w:t xml:space="preserve">50</w:t>
            </w:r>
          </w:p>
        </w:tc>
        <w:tc>
          <w:p>
            <w:pPr>
              <w:pStyle w:val="Compact"/>
              <w:jc w:val="left"/>
            </w:pPr>
            <w:r>
              <w:t xml:space="preserve">96</w:t>
            </w:r>
          </w:p>
        </w:tc>
        <w:tc>
          <w:p>
            <w:pPr>
              <w:pStyle w:val="Compact"/>
              <w:jc w:val="left"/>
            </w:pPr>
            <w:r>
              <w:t xml:space="preserve">126</w:t>
            </w:r>
          </w:p>
        </w:tc>
        <w:tc>
          <w:p>
            <w:pPr>
              <w:pStyle w:val="Compact"/>
              <w:jc w:val="left"/>
            </w:pPr>
            <w:r>
              <w:t xml:space="preserve">146</w:t>
            </w:r>
          </w:p>
        </w:tc>
      </w:tr>
    </w:tbl>
    <w:p>
      <w:pPr>
        <w:pStyle w:val="BodyText"/>
      </w:pPr>
      <w:r>
        <w:t xml:space="preserve">Lastly, the federal government classifies each employee’s occupation into five occupational categories based on the nature of the work. Respectively, they are</w:t>
      </w:r>
      <w:r>
        <w:t xml:space="preserve"> </w:t>
      </w:r>
      <w:r>
        <w:rPr>
          <w:i/>
        </w:rPr>
        <w:t xml:space="preserve">Blue collar</w:t>
      </w:r>
      <w:r>
        <w:t xml:space="preserve">,</w:t>
      </w:r>
      <w:r>
        <w:t xml:space="preserve"> </w:t>
      </w:r>
      <w:r>
        <w:rPr>
          <w:i/>
        </w:rPr>
        <w:t xml:space="preserve">Professional</w:t>
      </w:r>
      <w:r>
        <w:t xml:space="preserve">,</w:t>
      </w:r>
      <w:r>
        <w:t xml:space="preserve"> </w:t>
      </w:r>
      <w:r>
        <w:rPr>
          <w:i/>
        </w:rPr>
        <w:t xml:space="preserve">Administrative</w:t>
      </w:r>
      <w:r>
        <w:t xml:space="preserve">,</w:t>
      </w:r>
      <w:r>
        <w:t xml:space="preserve"> </w:t>
      </w:r>
      <w:r>
        <w:rPr>
          <w:i/>
        </w:rPr>
        <w:t xml:space="preserve">Technical</w:t>
      </w:r>
      <w:r>
        <w:t xml:space="preserve">,</w:t>
      </w:r>
      <w:r>
        <w:t xml:space="preserve"> </w:t>
      </w:r>
      <w:r>
        <w:rPr>
          <w:i/>
        </w:rPr>
        <w:t xml:space="preserve">Clerical</w:t>
      </w:r>
      <w:r>
        <w:t xml:space="preserve">, and</w:t>
      </w:r>
      <w:r>
        <w:t xml:space="preserve"> </w:t>
      </w:r>
      <w:r>
        <w:rPr>
          <w:i/>
        </w:rPr>
        <w:t xml:space="preserve">Other white collar</w:t>
      </w:r>
      <w:r>
        <w:t xml:space="preserve">. The table below shows the detailed descriptions of each occupational category. We noticed that none of the SES positions contained</w:t>
      </w:r>
      <w:r>
        <w:t xml:space="preserve"> </w:t>
      </w:r>
      <w:r>
        <w:rPr>
          <w:i/>
        </w:rPr>
        <w:t xml:space="preserve">Blue collar</w:t>
      </w:r>
      <w:r>
        <w:t xml:space="preserve"> </w:t>
      </w:r>
      <w:r>
        <w:t xml:space="preserve">occupational category and less than one percent contained</w:t>
      </w:r>
      <w:r>
        <w:t xml:space="preserve"> </w:t>
      </w:r>
      <w:r>
        <w:rPr>
          <w:i/>
        </w:rPr>
        <w:t xml:space="preserve">Technical</w:t>
      </w:r>
      <w:r>
        <w:t xml:space="preserve"> </w:t>
      </w:r>
      <w:r>
        <w:t xml:space="preserve">and</w:t>
      </w:r>
      <w:r>
        <w:t xml:space="preserve"> </w:t>
      </w:r>
      <w:r>
        <w:rPr>
          <w:i/>
        </w:rPr>
        <w:t xml:space="preserve">Clerical</w:t>
      </w:r>
      <w:r>
        <w:t xml:space="preserve">, we removed employees in these occupational categories.</w:t>
      </w:r>
      <w:r>
        <w:t xml:space="preserve"> </w:t>
      </w:r>
    </w:p>
    <w:p>
      <w:pPr>
        <w:pStyle w:val="TableCaption"/>
      </w:pPr>
      <w:r>
        <w:rPr>
          <w:i/>
        </w:rPr>
        <w:t xml:space="preserve">Occupational Categories</w:t>
      </w:r>
      <w:r>
        <w:t xml:space="preserve"> </w:t>
      </w:r>
      <w:r>
        <w:t xml:space="preserve"> </w:t>
      </w:r>
    </w:p>
    <w:tbl>
      <w:tblPr>
        <w:tblStyle w:val="TableNormal"/>
        <w:tblW w:type="pct" w:w="4305.555555555556"/>
        <w:tblLook w:firstRow="1"/>
        <w:tblCaption w:val="Occupational Categories  "/>
      </w:tblPr>
      <w:tblGrid>
        <w:gridCol w:w="1540"/>
        <w:gridCol w:w="5280"/>
      </w:tblGrid>
      <w:tr>
        <w:trPr>
          <w:cnfStyle w:firstRow="1"/>
        </w:trPr>
        <w:tc>
          <w:tcPr>
            <w:tcBorders>
              <w:bottom w:val="single"/>
            </w:tcBorders>
            <w:vAlign w:val="bottom"/>
          </w:tcPr>
          <w:p>
            <w:pPr>
              <w:pStyle w:val="Compact"/>
              <w:jc w:val="left"/>
            </w:pPr>
            <w:r>
              <w:rPr>
                <w:b/>
              </w:rPr>
              <w:t xml:space="preserve">Occupational Category</w:t>
            </w:r>
          </w:p>
        </w:tc>
        <w:tc>
          <w:tcPr>
            <w:tcBorders>
              <w:bottom w:val="single"/>
            </w:tcBorders>
            <w:vAlign w:val="bottom"/>
          </w:tcPr>
          <w:p>
            <w:pPr>
              <w:pStyle w:val="Compact"/>
              <w:jc w:val="left"/>
            </w:pPr>
            <w:r>
              <w:rPr>
                <w:b/>
              </w:rPr>
              <w:t xml:space="preserve">Description</w:t>
            </w:r>
          </w:p>
        </w:tc>
      </w:tr>
      <w:tr>
        <w:tc>
          <w:p>
            <w:pPr>
              <w:pStyle w:val="Compact"/>
              <w:jc w:val="left"/>
            </w:pPr>
            <w:r>
              <w:t xml:space="preserve">Blue collar</w:t>
            </w:r>
          </w:p>
        </w:tc>
        <w:tc>
          <w:p>
            <w:pPr>
              <w:pStyle w:val="Compact"/>
              <w:jc w:val="left"/>
            </w:pPr>
            <w:r>
              <w:t xml:space="preserve">Occupations comprising the trades, crafts, and manual labor</w:t>
            </w:r>
          </w:p>
        </w:tc>
      </w:tr>
      <w:tr>
        <w:tc>
          <w:p>
            <w:pPr>
              <w:pStyle w:val="Compact"/>
              <w:jc w:val="left"/>
            </w:pPr>
            <w:r>
              <w:t xml:space="preserve">Professional</w:t>
            </w:r>
          </w:p>
        </w:tc>
        <w:tc>
          <w:p>
            <w:pPr>
              <w:pStyle w:val="Compact"/>
              <w:jc w:val="left"/>
            </w:pPr>
            <w:r>
              <w:t xml:space="preserve">White collar occupations that require knowledge in a field of science or learning characteristically acquired through education or training equivalent to a bachelor’s or higher degree with major study in or pertinent to the specialized field</w:t>
            </w:r>
          </w:p>
        </w:tc>
      </w:tr>
      <w:tr>
        <w:tc>
          <w:p>
            <w:pPr>
              <w:pStyle w:val="Compact"/>
              <w:jc w:val="left"/>
            </w:pPr>
            <w:r>
              <w:t xml:space="preserve">Administrative</w:t>
            </w:r>
          </w:p>
        </w:tc>
        <w:tc>
          <w:p>
            <w:pPr>
              <w:pStyle w:val="Compact"/>
              <w:jc w:val="left"/>
            </w:pPr>
            <w:r>
              <w:t xml:space="preserve">White collar occupations that involve the exercise of analytical ability, judgment, discretion, and personal responsibility, and the application of a substantial body of knowledge of principles, concepts, and practices applicable to one of more fields of administration or management</w:t>
            </w:r>
          </w:p>
        </w:tc>
      </w:tr>
      <w:tr>
        <w:tc>
          <w:p>
            <w:pPr>
              <w:pStyle w:val="Compact"/>
              <w:jc w:val="left"/>
            </w:pPr>
            <w:r>
              <w:t xml:space="preserve">Technical</w:t>
            </w:r>
          </w:p>
        </w:tc>
        <w:tc>
          <w:p>
            <w:pPr>
              <w:pStyle w:val="Compact"/>
              <w:jc w:val="left"/>
            </w:pPr>
            <w:r>
              <w:t xml:space="preserve">White collar occupations that involve work typically associated with and supportive of a professional or administrative field</w:t>
            </w:r>
          </w:p>
        </w:tc>
      </w:tr>
      <w:tr>
        <w:tc>
          <w:p>
            <w:pPr>
              <w:pStyle w:val="Compact"/>
              <w:jc w:val="left"/>
            </w:pPr>
            <w:r>
              <w:t xml:space="preserve">Clerical</w:t>
            </w:r>
          </w:p>
        </w:tc>
        <w:tc>
          <w:p>
            <w:pPr>
              <w:pStyle w:val="Compact"/>
              <w:jc w:val="left"/>
            </w:pPr>
            <w:r>
              <w:t xml:space="preserve">White collar occupations that involve structured work in support of office, business, or fiscal operations</w:t>
            </w:r>
          </w:p>
        </w:tc>
      </w:tr>
      <w:tr>
        <w:tc>
          <w:p>
            <w:pPr>
              <w:pStyle w:val="Compact"/>
              <w:jc w:val="left"/>
            </w:pPr>
            <w:r>
              <w:t xml:space="preserve">Other white collar</w:t>
            </w:r>
          </w:p>
        </w:tc>
        <w:tc>
          <w:p>
            <w:pPr>
              <w:pStyle w:val="Compact"/>
              <w:jc w:val="left"/>
            </w:pPr>
            <w:r>
              <w:t xml:space="preserve">White collar occupations that cannot be related to the above professional, administrative, technical, or clerical categories</w:t>
            </w:r>
          </w:p>
        </w:tc>
      </w:tr>
    </w:tbl>
    <w:p>
      <w:pPr>
        <w:pStyle w:val="Heading1"/>
      </w:pPr>
      <w:bookmarkStart w:id="24" w:name="missing-data-multiple-imputation"/>
      <w:bookmarkEnd w:id="24"/>
      <w:r>
        <w:t xml:space="preserve">Missing Data &amp; Multiple Imputation</w:t>
      </w:r>
    </w:p>
    <w:p>
      <w:pPr>
        <w:pStyle w:val="Heading2"/>
      </w:pPr>
      <w:bookmarkStart w:id="25" w:name="missing-data"/>
      <w:bookmarkEnd w:id="25"/>
      <w:r>
        <w:t xml:space="preserve">Missing data</w:t>
      </w:r>
    </w:p>
    <w:p>
      <w:pPr>
        <w:pStyle w:val="FirstParagraph"/>
      </w:pPr>
      <w:r>
        <w:t xml:space="preserve">In social science research, survey item-nonresponse and data recording errors often lead to missing data. The OPM data is no exception. Rubin classified missing data into three properties: missing completely at random (MCAR), missing at random (MAR), and not missing at random (NMAR)</w:t>
      </w:r>
      <w:r>
        <w:t xml:space="preserve"> </w:t>
      </w:r>
      <w:r>
        <w:t xml:space="preserve">(Little &amp; Rubin, 2014)</w:t>
      </w:r>
      <w:r>
        <w:t xml:space="preserve">. First, data has MCAR property when the probability of observations being missing is unrelated to any variables. Second, data has MAR property when the probability of missing only depends on observed values but not on unobserved values. Though there are no formal ways to verify the MAR property, it is usually a reasonable assumption when we do not have comprehensive knowledge of the data. Third, data that cannot be attributed to either MCAR or MAR has NMAR property - the probability of missing depends on both observed and unobserved values.</w:t>
      </w:r>
    </w:p>
    <w:p>
      <w:pPr>
        <w:pStyle w:val="BodyText"/>
      </w:pPr>
      <w:r>
        <w:t xml:space="preserve">We examined variables with missing data to assess the OPM data’s missing mechanism. In general, the missingness of the OPM data can be summarized into two categories - inherent missingness and missingness due to time constraint.</w:t>
      </w:r>
    </w:p>
    <w:p>
      <w:pPr>
        <w:pStyle w:val="BodyText"/>
      </w:pPr>
      <w:r>
        <w:t xml:space="preserve">First, the OPM data contain more than 20 years of federal employees’ information. As rules and standards change overtime, recording errors would naturally lead to missing data. For example,</w:t>
      </w:r>
      <w:r>
        <w:t xml:space="preserve"> </w:t>
      </w:r>
      <w:r>
        <w:rPr>
          <w:i/>
        </w:rPr>
        <w:t xml:space="preserve">Race</w:t>
      </w:r>
      <w:r>
        <w:t xml:space="preserve"> </w:t>
      </w:r>
      <w:r>
        <w:t xml:space="preserve">variable was originally classified into 16 categories, but new standard established in 2016 simplified it into 6 categories. The main strategy to address the missingness of</w:t>
      </w:r>
      <w:r>
        <w:t xml:space="preserve"> </w:t>
      </w:r>
      <w:r>
        <w:rPr>
          <w:i/>
        </w:rPr>
        <w:t xml:space="preserve">Race</w:t>
      </w:r>
      <w:r>
        <w:t xml:space="preserve"> </w:t>
      </w:r>
      <w:r>
        <w:t xml:space="preserve">variable is to convert old recording standard to new standard. However, small percentage (less than 0.01%) of data is still missing even after conversion.</w:t>
      </w:r>
      <w:r>
        <w:t xml:space="preserve"> </w:t>
      </w:r>
      <w:r>
        <w:rPr>
          <w:i/>
        </w:rPr>
        <w:t xml:space="preserve">Education Level</w:t>
      </w:r>
      <w:r>
        <w:t xml:space="preserve"> </w:t>
      </w:r>
      <w:r>
        <w:t xml:space="preserve">is another variable that has missing data. The fact that employees might not fill in and update their personal information could lead to the missingness of</w:t>
      </w:r>
      <w:r>
        <w:t xml:space="preserve"> </w:t>
      </w:r>
      <w:r>
        <w:rPr>
          <w:i/>
        </w:rPr>
        <w:t xml:space="preserve">Education Level</w:t>
      </w:r>
      <w:r>
        <w:t xml:space="preserve"> </w:t>
      </w:r>
      <w:r>
        <w:t xml:space="preserve">(Figure</w:t>
      </w:r>
      <w:r>
        <w:t xml:space="preserve"> </w:t>
      </w:r>
      <w:r>
        <w:t xml:space="preserve">1</w:t>
      </w:r>
      <w:r>
        <w:t xml:space="preserve">).</w:t>
      </w:r>
    </w:p>
    <w:p>
      <w:pPr>
        <w:pStyle w:val="FigureWithCaption"/>
      </w:pPr>
      <w:r>
        <w:drawing>
          <wp:inline>
            <wp:extent cx="5334000" cy="7092067"/>
            <wp:effectExtent b="0" l="0" r="0" t="0"/>
            <wp:docPr descr="Figure 1 Inherent Missingness Independent of Time" title="" id="1" name="Picture"/>
            <a:graphic>
              <a:graphicData uri="http://schemas.openxmlformats.org/drawingml/2006/picture">
                <pic:pic>
                  <pic:nvPicPr>
                    <pic:cNvPr descr="figure/fixedmissing.png" id="0" name="Picture"/>
                    <pic:cNvPicPr>
                      <a:picLocks noChangeArrowheads="1" noChangeAspect="1"/>
                    </pic:cNvPicPr>
                  </pic:nvPicPr>
                  <pic:blipFill>
                    <a:blip r:embed="rId26"/>
                    <a:stretch>
                      <a:fillRect/>
                    </a:stretch>
                  </pic:blipFill>
                  <pic:spPr bwMode="auto">
                    <a:xfrm>
                      <a:off x="0" y="0"/>
                      <a:ext cx="5334000" cy="7092067"/>
                    </a:xfrm>
                    <a:prstGeom prst="rect">
                      <a:avLst/>
                    </a:prstGeom>
                    <a:noFill/>
                    <a:ln w="9525">
                      <a:noFill/>
                      <a:headEnd/>
                      <a:tailEnd/>
                    </a:ln>
                  </pic:spPr>
                </pic:pic>
              </a:graphicData>
            </a:graphic>
          </wp:inline>
        </w:drawing>
      </w:r>
    </w:p>
    <w:p>
      <w:pPr>
        <w:pStyle w:val="ImageCaption"/>
      </w:pPr>
      <w:r>
        <w:t xml:space="preserve">Figure 1 Inherent Missingness Independent of Time</w:t>
      </w:r>
    </w:p>
    <w:p>
      <w:pPr>
        <w:pStyle w:val="BodyText"/>
      </w:pPr>
      <w:r>
        <w:t xml:space="preserve">Second, the OPM database was not created until 1988, so information regarding employees started before 1988 would not be recorded. For example, if an employee worked between 1980 and 1990, the OPM data would only record this employee’s information from 1988 to 1990, but data from 1980 to 1987 would be missing. Variables that change overtime belong to this category. As mentioned previously, a Federal employee’s salary is determined by particular grade, step rate and pay plan. Since</w:t>
      </w:r>
      <w:r>
        <w:t xml:space="preserve"> </w:t>
      </w:r>
      <w:r>
        <w:rPr>
          <w:i/>
        </w:rPr>
        <w:t xml:space="preserve">Pay plan</w:t>
      </w:r>
      <w:r>
        <w:t xml:space="preserve">,</w:t>
      </w:r>
      <w:r>
        <w:t xml:space="preserve"> </w:t>
      </w:r>
      <w:r>
        <w:rPr>
          <w:i/>
        </w:rPr>
        <w:t xml:space="preserve">Grade</w:t>
      </w:r>
      <w:r>
        <w:t xml:space="preserve">,</w:t>
      </w:r>
      <w:r>
        <w:t xml:space="preserve"> </w:t>
      </w:r>
      <w:r>
        <w:rPr>
          <w:i/>
        </w:rPr>
        <w:t xml:space="preserve">Step Rate</w:t>
      </w:r>
      <w:r>
        <w:t xml:space="preserve">, and</w:t>
      </w:r>
      <w:r>
        <w:t xml:space="preserve"> </w:t>
      </w:r>
      <w:r>
        <w:rPr>
          <w:i/>
        </w:rPr>
        <w:t xml:space="preserve">Salary</w:t>
      </w:r>
      <w:r>
        <w:t xml:space="preserve"> </w:t>
      </w:r>
      <w:r>
        <w:t xml:space="preserve">are associated, these four variables have the same missing patterns. Specifically, the proportion of missing data decreases as year increases (Figure</w:t>
      </w:r>
      <w:r>
        <w:t xml:space="preserve"> </w:t>
      </w:r>
      <w:r>
        <w:t xml:space="preserve">2</w:t>
      </w:r>
      <w:r>
        <w:t xml:space="preserve">).</w:t>
      </w:r>
    </w:p>
    <w:p>
      <w:pPr>
        <w:pStyle w:val="FigureWithCaption"/>
      </w:pPr>
      <w:r>
        <w:drawing>
          <wp:inline>
            <wp:extent cx="5334000" cy="6055802"/>
            <wp:effectExtent b="0" l="0" r="0" t="0"/>
            <wp:docPr descr="Figure 2 Missingness due to Time Constraint" title="" id="1" name="Picture"/>
            <a:graphic>
              <a:graphicData uri="http://schemas.openxmlformats.org/drawingml/2006/picture">
                <pic:pic>
                  <pic:nvPicPr>
                    <pic:cNvPr descr="figure/nonfixedmissing.png" id="0" name="Picture"/>
                    <pic:cNvPicPr>
                      <a:picLocks noChangeArrowheads="1" noChangeAspect="1"/>
                    </pic:cNvPicPr>
                  </pic:nvPicPr>
                  <pic:blipFill>
                    <a:blip r:embed="rId27"/>
                    <a:stretch>
                      <a:fillRect/>
                    </a:stretch>
                  </pic:blipFill>
                  <pic:spPr bwMode="auto">
                    <a:xfrm>
                      <a:off x="0" y="0"/>
                      <a:ext cx="5334000" cy="6055802"/>
                    </a:xfrm>
                    <a:prstGeom prst="rect">
                      <a:avLst/>
                    </a:prstGeom>
                    <a:noFill/>
                    <a:ln w="9525">
                      <a:noFill/>
                      <a:headEnd/>
                      <a:tailEnd/>
                    </a:ln>
                  </pic:spPr>
                </pic:pic>
              </a:graphicData>
            </a:graphic>
          </wp:inline>
        </w:drawing>
      </w:r>
    </w:p>
    <w:p>
      <w:pPr>
        <w:pStyle w:val="ImageCaption"/>
      </w:pPr>
      <w:r>
        <w:t xml:space="preserve">Figure 2 Missingness due to Time Constraint</w:t>
      </w:r>
    </w:p>
    <w:p>
      <w:pPr>
        <w:pStyle w:val="BodyText"/>
      </w:pPr>
      <w:r>
        <w:t xml:space="preserve">We assumed the data has MAR property for two reasons. First, for inherent missingness, the proportion of missingness is small. Second, for time constraint missingness, we believed relationships for variables before 1988 and after 1988 are conditionally dependent. For example, salary information before 1988 is dependent on observed education levels, pay plan, and grade after 1988. The loss of information from missing data would produce bias and impact the robustness of statistical modeling and inference. We imputed the missing data to address this problem.</w:t>
      </w:r>
    </w:p>
    <w:p>
      <w:pPr>
        <w:pStyle w:val="Heading2"/>
      </w:pPr>
      <w:bookmarkStart w:id="28" w:name="overview-of-multiple-imputation"/>
      <w:bookmarkEnd w:id="28"/>
      <w:r>
        <w:t xml:space="preserve">Overview of Multiple Imputation</w:t>
      </w:r>
    </w:p>
    <w:p>
      <w:pPr>
        <w:pStyle w:val="FirstParagraph"/>
      </w:pPr>
      <w:r>
        <w:t xml:space="preserve">Multiple Imputation (MI) is a flexible approach for researchers to address the problem of missing data. The method for carrying out multiple imputation involves: (1) fill in the missing values through drawing values from predictive conditional distribution to produce</w:t>
      </w:r>
      <w:r>
        <w:t xml:space="preserve"> </w:t>
      </w:r>
      <m:oMath>
        <m:r>
          <m:t>m</m:t>
        </m:r>
      </m:oMath>
      <w:r>
        <w:t xml:space="preserve"> </w:t>
      </w:r>
      <w:r>
        <w:t xml:space="preserve">completed datasets; (2) for each completed dataset, conduct analysis for parameters of interest; and (3) combine individual analysis to form final results</w:t>
      </w:r>
      <w:r>
        <w:t xml:space="preserve"> </w:t>
      </w:r>
      <w:r>
        <w:t xml:space="preserve">(Little &amp; Rubin, 2014)</w:t>
      </w:r>
      <w:r>
        <w:t xml:space="preserve">. Multivariate imputation by chained equation (MICE), where multiple imputed datasets are created through drawing samples sequentially from predictive conditional distribution, is often applied to generate multiple completed datasets at step (1). MICE is one of the most popular approach for imputing missing data. It provides flexible imputation results and can handle both continuous and categorical data. The implementation of MICE involves the following steps.</w:t>
      </w:r>
    </w:p>
    <w:p>
      <w:pPr>
        <w:pStyle w:val="BodyText"/>
      </w:pPr>
      <w:r>
        <w:t xml:space="preserve">Here, we assume we have a</w:t>
      </w:r>
      <w:r>
        <w:t xml:space="preserve"> </w:t>
      </w:r>
      <m:oMath>
        <m:r>
          <m:t>n</m:t>
        </m:r>
        <m:r>
          <m:t>×</m:t>
        </m:r>
        <m:r>
          <m:t>k</m:t>
        </m:r>
      </m:oMath>
      <w:r>
        <w:t xml:space="preserve"> </w:t>
      </w:r>
      <w:r>
        <w:t xml:space="preserve">data matrix</w:t>
      </w:r>
      <w:r>
        <w:t xml:space="preserve"> </w:t>
      </w:r>
      <m:oMath>
        <m:r>
          <m:t>Y</m:t>
        </m:r>
      </m:oMath>
      <w:r>
        <w:t xml:space="preserve">, where</w:t>
      </w:r>
      <w:r>
        <w:t xml:space="preserve"> </w:t>
      </w:r>
      <m:oMath>
        <m:sSub>
          <m:e>
            <m:r>
              <m:t>Y</m:t>
            </m:r>
          </m:e>
          <m:sub>
            <m:r>
              <m:t>1</m:t>
            </m:r>
          </m:sub>
        </m:sSub>
        <m:r>
          <m:t>,</m:t>
        </m:r>
        <m:sSub>
          <m:e>
            <m:r>
              <m:t>Y</m:t>
            </m:r>
          </m:e>
          <m:sub>
            <m:r>
              <m:t>2</m:t>
            </m:r>
          </m:sub>
        </m:sSub>
        <m:r>
          <m:t>,</m:t>
        </m:r>
        <m:r>
          <m:t>.</m:t>
        </m:r>
        <m:r>
          <m:t>.</m:t>
        </m:r>
        <m:r>
          <m:t>,</m:t>
        </m:r>
        <m:sSub>
          <m:e>
            <m:r>
              <m:t>Y</m:t>
            </m:r>
          </m:e>
          <m:sub>
            <m:r>
              <m:t>j</m:t>
            </m:r>
          </m:sub>
        </m:sSub>
      </m:oMath>
      <w:r>
        <w:t xml:space="preserve"> </w:t>
      </w:r>
      <w:r>
        <w:t xml:space="preserve">are completely observed and</w:t>
      </w:r>
      <w:r>
        <w:t xml:space="preserve"> </w:t>
      </w:r>
      <m:oMath>
        <m:sSub>
          <m:e>
            <m:r>
              <m:t>Y</m:t>
            </m:r>
          </m:e>
          <m:sub>
            <m:r>
              <m:t>j</m:t>
            </m:r>
            <m:r>
              <m:t>+</m:t>
            </m:r>
            <m:r>
              <m:t>1</m:t>
            </m:r>
          </m:sub>
        </m:sSub>
        <m:r>
          <m:t>,</m:t>
        </m:r>
        <m:sSub>
          <m:e>
            <m:r>
              <m:t>Y</m:t>
            </m:r>
          </m:e>
          <m:sub>
            <m:r>
              <m:t>j</m:t>
            </m:r>
            <m:r>
              <m:t>+</m:t>
            </m:r>
            <m:r>
              <m:t>2</m:t>
            </m:r>
          </m:sub>
        </m:sSub>
        <m:r>
          <m:t>,</m:t>
        </m:r>
        <m:r>
          <m:t>.</m:t>
        </m:r>
        <m:r>
          <m:t>.</m:t>
        </m:r>
        <m:r>
          <m:t>.</m:t>
        </m:r>
        <m:r>
          <m:t>,</m:t>
        </m:r>
        <m:sSub>
          <m:e>
            <m:r>
              <m:t>Y</m:t>
            </m:r>
          </m:e>
          <m:sub>
            <m:r>
              <m:t>k</m:t>
            </m:r>
          </m:sub>
        </m:sSub>
      </m:oMath>
      <w:r>
        <w:t xml:space="preserve"> </w:t>
      </w:r>
      <w:r>
        <w:t xml:space="preserve">are partially observed.</w:t>
      </w:r>
    </w:p>
    <w:p>
      <w:pPr>
        <w:pStyle w:val="BodyText"/>
      </w:pPr>
      <w:r>
        <w:rPr>
          <w:b/>
        </w:rPr>
        <w:t xml:space="preserve">Step 1</w:t>
      </w:r>
      <w:r>
        <w:br w:type="textWrapping"/>
      </w:r>
      <w:r>
        <w:t xml:space="preserve">For</w:t>
      </w:r>
      <w:r>
        <w:t xml:space="preserve"> </w:t>
      </w:r>
      <m:oMath>
        <m:r>
          <m:t>i</m:t>
        </m:r>
        <m:r>
          <m:t>=</m:t>
        </m:r>
        <m:r>
          <m:t>j</m:t>
        </m:r>
        <m:r>
          <m:t>+</m:t>
        </m:r>
        <m:r>
          <m:t>1</m:t>
        </m:r>
        <m:r>
          <m:t>,</m:t>
        </m:r>
        <m:r>
          <m:t>.</m:t>
        </m:r>
        <m:r>
          <m:t>.</m:t>
        </m:r>
        <m:r>
          <m:t>.</m:t>
        </m:r>
        <m:r>
          <m:t>,</m:t>
        </m:r>
        <m:r>
          <m:t>k</m:t>
        </m:r>
      </m:oMath>
      <w:r>
        <w:t xml:space="preserve">, fill in initial missing values of</w:t>
      </w:r>
      <w:r>
        <w:t xml:space="preserve"> </w:t>
      </w:r>
      <m:oMath>
        <m:sSub>
          <m:e>
            <m:r>
              <m:t>Y</m:t>
            </m:r>
          </m:e>
          <m:sub>
            <m:r>
              <m:t>i</m:t>
            </m:r>
          </m:sub>
        </m:sSub>
      </m:oMath>
      <w:r>
        <w:t xml:space="preserve"> </w:t>
      </w:r>
      <w:r>
        <w:t xml:space="preserve">through draws from predictive conditional distribution</w:t>
      </w:r>
      <w:r>
        <w:t xml:space="preserve"> </w:t>
      </w:r>
      <m:oMath>
        <m:sSub>
          <m:e>
            <m:r>
              <m:t>Y</m:t>
            </m:r>
          </m:e>
          <m:sub>
            <m:r>
              <m:t>i</m:t>
            </m:r>
          </m:sub>
        </m:sSub>
        <m:r>
          <m:t>|</m:t>
        </m:r>
        <m:sSub>
          <m:e>
            <m:r>
              <m:t>Y</m:t>
            </m:r>
          </m:e>
          <m:sub>
            <m:r>
              <m:t>1</m:t>
            </m:r>
          </m:sub>
        </m:sSub>
        <m:r>
          <m:t>,</m:t>
        </m:r>
        <m:sSub>
          <m:e>
            <m:r>
              <m:t>Y</m:t>
            </m:r>
          </m:e>
          <m:sub>
            <m:r>
              <m:t>2</m:t>
            </m:r>
          </m:sub>
        </m:sSub>
        <m:r>
          <m:t>,</m:t>
        </m:r>
        <m:r>
          <m:t>.</m:t>
        </m:r>
        <m:r>
          <m:t>.</m:t>
        </m:r>
        <m:r>
          <m:t>.</m:t>
        </m:r>
        <m:r>
          <m:t>,</m:t>
        </m:r>
        <m:sSub>
          <m:e>
            <m:r>
              <m:t>Y</m:t>
            </m:r>
          </m:e>
          <m:sub>
            <m:r>
              <m:t>j</m:t>
            </m:r>
          </m:sub>
        </m:sSub>
      </m:oMath>
      <w:r>
        <w:t xml:space="preserve">.</w:t>
      </w:r>
      <w:r>
        <w:br w:type="textWrapping"/>
      </w:r>
      <w:r>
        <w:rPr>
          <w:b/>
        </w:rPr>
        <w:t xml:space="preserve">Step 2</w:t>
      </w:r>
      <w:r>
        <w:br w:type="textWrapping"/>
      </w:r>
      <w:r>
        <w:t xml:space="preserve">For</w:t>
      </w:r>
      <w:r>
        <w:t xml:space="preserve"> </w:t>
      </w:r>
      <m:oMath>
        <m:r>
          <m:t>i</m:t>
        </m:r>
        <m:r>
          <m:t>=</m:t>
        </m:r>
        <m:r>
          <m:t>j</m:t>
        </m:r>
        <m:r>
          <m:t>+</m:t>
        </m:r>
        <m:r>
          <m:t>1</m:t>
        </m:r>
        <m:r>
          <m:t>,</m:t>
        </m:r>
        <m:r>
          <m:t>.</m:t>
        </m:r>
        <m:r>
          <m:t>.</m:t>
        </m:r>
        <m:r>
          <m:t>.</m:t>
        </m:r>
        <m:r>
          <m:t>,</m:t>
        </m:r>
        <m:r>
          <m:t>k</m:t>
        </m:r>
      </m:oMath>
      <w:r>
        <w:t xml:space="preserve">,</w:t>
      </w:r>
      <w:r>
        <w:br w:type="textWrapping"/>
      </w:r>
      <w:r>
        <w:t xml:space="preserve">(a) construct a predictive distribution for</w:t>
      </w:r>
      <w:r>
        <w:t xml:space="preserve"> </w:t>
      </w:r>
      <m:oMath>
        <m:sSub>
          <m:e>
            <m:r>
              <m:t>Y</m:t>
            </m:r>
          </m:e>
          <m:sub>
            <m:r>
              <m:t>i</m:t>
            </m:r>
          </m:sub>
        </m:sSub>
      </m:oMath>
      <w:r>
        <w:t xml:space="preserve"> </w:t>
      </w:r>
      <w:r>
        <w:t xml:space="preserve">fully conditional on</w:t>
      </w:r>
      <w:r>
        <w:t xml:space="preserve"> </w:t>
      </w:r>
      <m:oMath>
        <m:sSub>
          <m:e>
            <m:r>
              <m:t>Y</m:t>
            </m:r>
          </m:e>
          <m:sub>
            <m:r>
              <m:t>−</m:t>
            </m:r>
            <m:r>
              <m:t>i</m:t>
            </m:r>
          </m:sub>
        </m:sSub>
        <m:r>
          <m:t>=</m:t>
        </m:r>
        <m:sSub>
          <m:e>
            <m:r>
              <m:t>Y</m:t>
            </m:r>
          </m:e>
          <m:sub>
            <m:r>
              <m:t>1</m:t>
            </m:r>
          </m:sub>
        </m:sSub>
        <m:r>
          <m:t>,</m:t>
        </m:r>
        <m:sSub>
          <m:e>
            <m:r>
              <m:t>Y</m:t>
            </m:r>
          </m:e>
          <m:sub>
            <m:r>
              <m:t>2</m:t>
            </m:r>
          </m:sub>
        </m:sSub>
        <m:r>
          <m:t>,</m:t>
        </m:r>
        <m:r>
          <m:t>.</m:t>
        </m:r>
        <m:r>
          <m:t>.</m:t>
        </m:r>
        <m:r>
          <m:t>.</m:t>
        </m:r>
        <m:r>
          <m:t>,</m:t>
        </m:r>
        <m:sSub>
          <m:e>
            <m:r>
              <m:t>Y</m:t>
            </m:r>
          </m:e>
          <m:sub>
            <m:r>
              <m:t>i</m:t>
            </m:r>
            <m:r>
              <m:t>−</m:t>
            </m:r>
            <m:r>
              <m:t>1</m:t>
            </m:r>
          </m:sub>
        </m:sSub>
        <m:r>
          <m:t>,</m:t>
        </m:r>
        <m:sSub>
          <m:e>
            <m:r>
              <m:t>Y</m:t>
            </m:r>
          </m:e>
          <m:sub>
            <m:r>
              <m:t>i</m:t>
            </m:r>
            <m:r>
              <m:t>+</m:t>
            </m:r>
            <m:r>
              <m:t>1</m:t>
            </m:r>
          </m:sub>
        </m:sSub>
        <m:r>
          <m:t>,</m:t>
        </m:r>
        <m:r>
          <m:t>.</m:t>
        </m:r>
        <m:r>
          <m:t>.</m:t>
        </m:r>
        <m:r>
          <m:t>.</m:t>
        </m:r>
        <m:r>
          <m:t>,</m:t>
        </m:r>
        <m:sSub>
          <m:e>
            <m:r>
              <m:t>Y</m:t>
            </m:r>
          </m:e>
          <m:sub>
            <m:r>
              <m:t>k</m:t>
            </m:r>
          </m:sub>
        </m:sSub>
      </m:oMath>
      <w:r>
        <w:t xml:space="preserve">.</w:t>
      </w:r>
      <w:r>
        <w:br w:type="textWrapping"/>
      </w:r>
      <w:r>
        <w:t xml:space="preserve">(b) Draw values from the conditional distribution</w:t>
      </w:r>
      <w:r>
        <w:t xml:space="preserve"> </w:t>
      </w:r>
      <m:oMath>
        <m:sSub>
          <m:e>
            <m:r>
              <m:t>Y</m:t>
            </m:r>
          </m:e>
          <m:sub>
            <m:r>
              <m:t>i</m:t>
            </m:r>
          </m:sub>
        </m:sSub>
        <m:r>
          <m:t>|</m:t>
        </m:r>
        <m:sSub>
          <m:e>
            <m:r>
              <m:t>Y</m:t>
            </m:r>
          </m:e>
          <m:sub>
            <m:r>
              <m:t>−</m:t>
            </m:r>
            <m:r>
              <m:t>i</m:t>
            </m:r>
          </m:sub>
        </m:sSub>
      </m:oMath>
      <w:r>
        <w:t xml:space="preserve"> </w:t>
      </w:r>
      <w:r>
        <w:t xml:space="preserve">and update the original missing values of column</w:t>
      </w:r>
      <w:r>
        <w:t xml:space="preserve"> </w:t>
      </w:r>
      <m:oMath>
        <m:sSub>
          <m:e>
            <m:r>
              <m:t>Y</m:t>
            </m:r>
          </m:e>
          <m:sub>
            <m:r>
              <m:t>i</m:t>
            </m:r>
          </m:sub>
        </m:sSub>
      </m:oMath>
      <w:r>
        <w:t xml:space="preserve">.</w:t>
      </w:r>
      <w:r>
        <w:br w:type="textWrapping"/>
      </w:r>
      <w:r>
        <w:rPr>
          <w:b/>
        </w:rPr>
        <w:t xml:space="preserve">Step 3</w:t>
      </w:r>
      <w:r>
        <w:t xml:space="preserve"> </w:t>
      </w:r>
      <w:r>
        <w:t xml:space="preserve">Perform step 2 for</w:t>
      </w:r>
      <w:r>
        <w:t xml:space="preserve"> </w:t>
      </w:r>
      <m:oMath>
        <m:r>
          <m:t>l</m:t>
        </m:r>
      </m:oMath>
      <w:r>
        <w:t xml:space="preserve"> </w:t>
      </w:r>
      <w:r>
        <w:t xml:space="preserve">times.</w:t>
      </w:r>
      <w:r>
        <w:br w:type="textWrapping"/>
      </w:r>
      <w:r>
        <w:rPr>
          <w:b/>
        </w:rPr>
        <w:t xml:space="preserve">Step 4</w:t>
      </w:r>
      <w:r>
        <w:t xml:space="preserve"> </w:t>
      </w:r>
      <w:r>
        <w:t xml:space="preserve">Perform step 1-3 for</w:t>
      </w:r>
      <w:r>
        <w:t xml:space="preserve"> </w:t>
      </w:r>
      <m:oMath>
        <m:r>
          <m:t>m</m:t>
        </m:r>
      </m:oMath>
      <w:r>
        <w:t xml:space="preserve"> </w:t>
      </w:r>
      <w:r>
        <w:t xml:space="preserve">times to generate</w:t>
      </w:r>
      <w:r>
        <w:t xml:space="preserve"> </w:t>
      </w:r>
      <m:oMath>
        <m:r>
          <m:t>m</m:t>
        </m:r>
      </m:oMath>
      <w:r>
        <w:t xml:space="preserve"> </w:t>
      </w:r>
      <w:r>
        <w:t xml:space="preserve">completed datasets.</w:t>
      </w:r>
      <w:r>
        <w:t xml:space="preserve"> </w:t>
      </w:r>
    </w:p>
    <w:p>
      <w:pPr>
        <w:pStyle w:val="BodyText"/>
      </w:pPr>
      <w:r>
        <w:t xml:space="preserve">We applied MICE to impute missing values in the OPM data, where</w:t>
      </w:r>
      <w:r>
        <w:t xml:space="preserve"> </w:t>
      </w:r>
      <m:oMath>
        <m:r>
          <m:t>l</m:t>
        </m:r>
        <m:r>
          <m:t>=</m:t>
        </m:r>
        <m:r>
          <m:t>20</m:t>
        </m:r>
      </m:oMath>
      <w:r>
        <w:t xml:space="preserve"> </w:t>
      </w:r>
      <w:r>
        <w:t xml:space="preserve">and</w:t>
      </w:r>
      <w:r>
        <w:t xml:space="preserve"> </w:t>
      </w:r>
      <m:oMath>
        <m:r>
          <m:t>m</m:t>
        </m:r>
        <m:r>
          <m:t>=</m:t>
        </m:r>
        <m:r>
          <m:t>12</m:t>
        </m:r>
      </m:oMath>
      <w:r>
        <w:t xml:space="preserve">. Since the robustness of MICE is dependent on the predictive conditional distribution, one strategy to improve imputation result is to include any</w:t>
      </w:r>
      <w:r>
        <w:t xml:space="preserve"> </w:t>
      </w:r>
      <w:r>
        <w:t xml:space="preserve">“</w:t>
      </w:r>
      <w:r>
        <w:t xml:space="preserve">auxiliary variables</w:t>
      </w:r>
      <w:r>
        <w:t xml:space="preserve">”</w:t>
      </w:r>
      <w:r>
        <w:t xml:space="preserve"> </w:t>
      </w:r>
      <w:r>
        <w:t xml:space="preserve">that are related to the missingness but not part of the covariates. The inclusion of</w:t>
      </w:r>
      <w:r>
        <w:t xml:space="preserve"> </w:t>
      </w:r>
      <w:r>
        <w:t xml:space="preserve">“</w:t>
      </w:r>
      <w:r>
        <w:t xml:space="preserve">auxiliary variables</w:t>
      </w:r>
      <w:r>
        <w:t xml:space="preserve">”</w:t>
      </w:r>
      <w:r>
        <w:t xml:space="preserve"> </w:t>
      </w:r>
      <w:r>
        <w:t xml:space="preserve">can make the MAR assumption more reasonable</w:t>
      </w:r>
      <w:r>
        <w:t xml:space="preserve"> </w:t>
      </w:r>
      <w:r>
        <w:t xml:space="preserve">(Collins, Schafer, &amp; Kam, 2001)</w:t>
      </w:r>
      <w:r>
        <w:t xml:space="preserve">. In the OPM data, variables such as</w:t>
      </w:r>
      <w:r>
        <w:t xml:space="preserve"> </w:t>
      </w:r>
      <w:r>
        <w:rPr>
          <w:i/>
        </w:rPr>
        <w:t xml:space="preserve">Pay Plan</w:t>
      </w:r>
      <w:r>
        <w:t xml:space="preserve"> </w:t>
      </w:r>
      <w:r>
        <w:t xml:space="preserve">and</w:t>
      </w:r>
      <w:r>
        <w:t xml:space="preserve"> </w:t>
      </w:r>
      <w:r>
        <w:rPr>
          <w:i/>
        </w:rPr>
        <w:t xml:space="preserve">Step Rate</w:t>
      </w:r>
      <w:r>
        <w:t xml:space="preserve"> </w:t>
      </w:r>
      <w:r>
        <w:t xml:space="preserve">are not parameters of interest to the final analysis. However, both variables provide information on the missingness of</w:t>
      </w:r>
      <w:r>
        <w:t xml:space="preserve"> </w:t>
      </w:r>
      <w:r>
        <w:rPr>
          <w:i/>
        </w:rPr>
        <w:t xml:space="preserve">Salary</w:t>
      </w:r>
      <w:r>
        <w:t xml:space="preserve"> </w:t>
      </w:r>
      <w:r>
        <w:t xml:space="preserve">and</w:t>
      </w:r>
      <w:r>
        <w:t xml:space="preserve"> </w:t>
      </w:r>
      <w:r>
        <w:rPr>
          <w:i/>
        </w:rPr>
        <w:t xml:space="preserve">Grade</w:t>
      </w:r>
      <w:r>
        <w:t xml:space="preserve">, so we included them in the imputation model. Another auxiliary variable we included is salary between working year 11 and 15. Though we are only interested in the rate of change in salary between working year 1 and 10, salary between working year 11 and 15 can help predict past salary change rate.</w:t>
      </w:r>
      <w:r>
        <w:t xml:space="preserve"> </w:t>
      </w:r>
    </w:p>
    <w:p>
      <w:pPr>
        <w:pStyle w:val="Heading2"/>
      </w:pPr>
      <w:bookmarkStart w:id="29" w:name="specifying-predictive-conditional-distribution---the-cart-method"/>
      <w:bookmarkEnd w:id="29"/>
      <w:r>
        <w:t xml:space="preserve">Specifying predictive conditional distribution - the CART method</w:t>
      </w:r>
    </w:p>
    <w:p>
      <w:pPr>
        <w:pStyle w:val="FirstParagraph"/>
      </w:pPr>
      <w:r>
        <w:t xml:space="preserve">In the practice of MICE, one of the most common models for specifying predictive conditional distribution is Generalized Linear Models (GLMs). GLMs such as multiple linear regressions often produce consistent imputation results. However, if the data to be imputed contain hundreds of variables, GLMs might be too simple to capture the true distribution. For example, relationships among variables might be interactive and non-linear. Specifying parametric models for data with great complexity is therefore inappropriate</w:t>
      </w:r>
      <w:r>
        <w:t xml:space="preserve"> </w:t>
      </w:r>
      <w:r>
        <w:t xml:space="preserve">(Burgette &amp; Reiter, 2010)</w:t>
      </w:r>
      <w:r>
        <w:t xml:space="preserve">. The OPM data contains 65 variables. Eeach categorical variable has various levels. Since non-linear relationships might exist among multiple variables and levels, specifying the standard GLMs on the conditional distribution could lead to biased parameter estimates and produce inconsistent results. To address this challenge, non-parametric model can be more appropriate; specifically, we used Classification and Regression Trees (CART) to impute missing data.</w:t>
      </w:r>
      <w:r>
        <w:t xml:space="preserve"> </w:t>
      </w:r>
    </w:p>
    <w:p>
      <w:pPr>
        <w:pStyle w:val="BodyText"/>
      </w:pPr>
      <w:r>
        <w:t xml:space="preserve">The CART algorithm performs binary splits of the predictors recursively to approximate the conditional distribution of an univariate outcome. The partitions are found if the subsets of units have relatively homogeneous outcomes. The leaf would be reached after multiple partitions, with values in each leaf representing the conditional distribution of the outcome. If the outcome variable is categorical, Classification Tree would be adopted; on the other hand, Regression Tree would be implemented if the outcome variable is continuous. For its application in MICE, we would use CART to derive the conditional distribution for each</w:t>
      </w:r>
      <w:r>
        <w:t xml:space="preserve"> </w:t>
      </w:r>
      <m:oMath>
        <m:sSub>
          <m:e>
            <m:r>
              <m:t>Y</m:t>
            </m:r>
          </m:e>
          <m:sub>
            <m:r>
              <m:t>i</m:t>
            </m:r>
          </m:sub>
        </m:sSub>
      </m:oMath>
      <w:r>
        <w:t xml:space="preserve"> </w:t>
      </w:r>
      <w:r>
        <w:t xml:space="preserve">on the completely observed variables in step 1 and each</w:t>
      </w:r>
      <w:r>
        <w:t xml:space="preserve"> </w:t>
      </w:r>
      <m:oMath>
        <m:sSub>
          <m:e>
            <m:r>
              <m:t>Y</m:t>
            </m:r>
          </m:e>
          <m:sub>
            <m:r>
              <m:t>i</m:t>
            </m:r>
          </m:sub>
        </m:sSub>
      </m:oMath>
      <w:r>
        <w:t xml:space="preserve"> </w:t>
      </w:r>
      <w:r>
        <w:t xml:space="preserve">given</w:t>
      </w:r>
      <w:r>
        <w:t xml:space="preserve"> </w:t>
      </w:r>
      <m:oMath>
        <m:sSub>
          <m:e>
            <m:r>
              <m:t>Y</m:t>
            </m:r>
          </m:e>
          <m:sub>
            <m:r>
              <m:t>−</m:t>
            </m:r>
            <m:r>
              <m:t>i</m:t>
            </m:r>
          </m:sub>
        </m:sSub>
      </m:oMath>
      <w:r>
        <w:t xml:space="preserve"> </w:t>
      </w:r>
      <w:r>
        <w:t xml:space="preserve">in step 2</w:t>
      </w:r>
      <w:r>
        <w:t xml:space="preserve"> </w:t>
      </w:r>
      <w:r>
        <w:t xml:space="preserve">(Burgette &amp; Reiter, 2010)</w:t>
      </w:r>
      <w:r>
        <w:t xml:space="preserve"> </w:t>
      </w:r>
      <w:r>
        <w:t xml:space="preserve">(Doove, Van Buuren, &amp; Dusseldorp, 2014)</w:t>
      </w:r>
      <w:r>
        <w:t xml:space="preserve">.</w:t>
      </w:r>
      <w:r>
        <w:t xml:space="preserve"> </w:t>
      </w:r>
    </w:p>
    <w:p>
      <w:pPr>
        <w:pStyle w:val="BodyText"/>
      </w:pPr>
      <w:r>
        <w:t xml:space="preserve">Though one of the disadvantages of the CART method is its difficulty for model interpretations when the number of tree level is high, it should not be our major concern because the goal is to plausibly impute the missing data. Indeed, the application of non-parametric CART models in MICE can result in</w:t>
      </w:r>
      <w:r>
        <w:t xml:space="preserve"> </w:t>
      </w:r>
      <w:r>
        <w:t xml:space="preserve">“</w:t>
      </w:r>
      <w:r>
        <w:t xml:space="preserve">more reliable inferences compared with naive applications of MICE</w:t>
      </w:r>
      <w:r>
        <w:t xml:space="preserve">”</w:t>
      </w:r>
      <w:r>
        <w:t xml:space="preserve"> </w:t>
      </w:r>
      <w:r>
        <w:t xml:space="preserve">(Burgette &amp; Reiter, 2010)</w:t>
      </w:r>
      <w:r>
        <w:t xml:space="preserve">.</w:t>
      </w:r>
    </w:p>
    <w:p>
      <w:pPr>
        <w:pStyle w:val="Heading2"/>
      </w:pPr>
      <w:bookmarkStart w:id="30" w:name="improving-computational-efficiency"/>
      <w:bookmarkEnd w:id="30"/>
      <w:r>
        <w:t xml:space="preserve">Improving computational efficiency</w:t>
      </w:r>
    </w:p>
    <w:p>
      <w:pPr>
        <w:pStyle w:val="FirstParagraph"/>
      </w:pPr>
      <w:r>
        <w:t xml:space="preserve">The CART method is computationally efficient if predictors to be split are continuous variables. On the other hand, if predictors to be split are categorical variables, the CART method might encounter computational difficulties when the variable has multiple levels. If a categorical variable has</w:t>
      </w:r>
      <w:r>
        <w:t xml:space="preserve"> </w:t>
      </w:r>
      <m:oMath>
        <m:r>
          <m:t>n</m:t>
        </m:r>
      </m:oMath>
      <w:r>
        <w:t xml:space="preserve"> </w:t>
      </w:r>
      <w:r>
        <w:t xml:space="preserve">levels, the CART method would examine every possible splits, which results to</w:t>
      </w:r>
      <w:r>
        <w:t xml:space="preserve"> </w:t>
      </w:r>
      <m:oMath>
        <m:sSup>
          <m:e>
            <m:r>
              <m:t>2</m:t>
            </m:r>
          </m:e>
          <m:sup>
            <m:r>
              <m:t>n</m:t>
            </m:r>
          </m:sup>
        </m:sSup>
      </m:oMath>
      <w:r>
        <w:t xml:space="preserve"> </w:t>
      </w:r>
      <w:r>
        <w:t xml:space="preserve">possible partitions. In the OPM data, variable</w:t>
      </w:r>
      <w:r>
        <w:t xml:space="preserve"> </w:t>
      </w:r>
      <w:r>
        <w:rPr>
          <w:i/>
        </w:rPr>
        <w:t xml:space="preserve">Grade</w:t>
      </w:r>
      <w:r>
        <w:t xml:space="preserve"> </w:t>
      </w:r>
      <w:r>
        <w:t xml:space="preserve">has more than 20 levels, which means there are more than</w:t>
      </w:r>
      <w:r>
        <w:t xml:space="preserve"> </w:t>
      </w:r>
      <m:oMath>
        <m:sSup>
          <m:e>
            <m:r>
              <m:t>2</m:t>
            </m:r>
          </m:e>
          <m:sup>
            <m:r>
              <m:t>20</m:t>
            </m:r>
          </m:sup>
        </m:sSup>
        <m:r>
          <m:t>≈</m:t>
        </m:r>
        <m:r>
          <m:t>1</m:t>
        </m:r>
      </m:oMath>
      <w:r>
        <w:t xml:space="preserve"> </w:t>
      </w:r>
      <w:r>
        <w:t xml:space="preserve">million possible partitions.</w:t>
      </w:r>
    </w:p>
    <w:p>
      <w:pPr>
        <w:pStyle w:val="BodyText"/>
      </w:pPr>
      <w:r>
        <w:t xml:space="preserve">One solution to increase the computational efficiency of the CART imputation method is to reduce the number of levels for categorical variables. For example, we reduced</w:t>
      </w:r>
      <w:r>
        <w:t xml:space="preserve"> </w:t>
      </w:r>
      <w:r>
        <w:rPr>
          <w:i/>
        </w:rPr>
        <w:t xml:space="preserve">Pay Plan</w:t>
      </w:r>
      <w:r>
        <w:t xml:space="preserve"> </w:t>
      </w:r>
      <w:r>
        <w:t xml:space="preserve">from 173 categories into 7 categories. The OPM defines pay plan as</w:t>
      </w:r>
      <w:r>
        <w:t xml:space="preserve"> </w:t>
      </w:r>
      <w:r>
        <w:t xml:space="preserve">“</w:t>
      </w:r>
      <w:r>
        <w:t xml:space="preserve">a two-digit alphabetical code used to identify Federal civilian pay systems</w:t>
      </w:r>
      <w:r>
        <w:t xml:space="preserve">”</w:t>
      </w:r>
      <w:r>
        <w:t xml:space="preserve"> </w:t>
      </w:r>
      <w:r>
        <w:t xml:space="preserve">(Office of Personal Management (OPM), n.d.)</w:t>
      </w:r>
      <w:r>
        <w:t xml:space="preserve">. The most common pay plan in the OPM data is the General Schedule pay system, which covers around 78 percent of white-collar Federal employees. Other pay plans cover employees who have unique occupations or serve for particular agency. For example, the</w:t>
      </w:r>
      <w:r>
        <w:t xml:space="preserve"> </w:t>
      </w:r>
      <w:r>
        <w:rPr>
          <w:i/>
        </w:rPr>
        <w:t xml:space="preserve">AL</w:t>
      </w:r>
      <w:r>
        <w:t xml:space="preserve"> </w:t>
      </w:r>
      <w:r>
        <w:t xml:space="preserve">pay plan applies to administrative law judges, and</w:t>
      </w:r>
      <w:r>
        <w:t xml:space="preserve"> </w:t>
      </w:r>
      <w:r>
        <w:rPr>
          <w:i/>
        </w:rPr>
        <w:t xml:space="preserve">SV</w:t>
      </w:r>
      <w:r>
        <w:t xml:space="preserve"> </w:t>
      </w:r>
      <w:r>
        <w:t xml:space="preserve">refers to pay plan in the Transportation Security Administration. Because some pay plan codes are only applicable to relatively small subset of population, we decide to merge pay plans with small sample size into</w:t>
      </w:r>
      <w:r>
        <w:t xml:space="preserve"> </w:t>
      </w:r>
      <w:r>
        <w:t xml:space="preserve">“</w:t>
      </w:r>
      <w:r>
        <w:t xml:space="preserve">others</w:t>
      </w:r>
      <w:r>
        <w:t xml:space="preserve">”</w:t>
      </w:r>
      <w:r>
        <w:t xml:space="preserve"> </w:t>
      </w:r>
      <w:r>
        <w:t xml:space="preserve">category. The table below is the simplified pay plan after merging.</w:t>
      </w:r>
    </w:p>
    <w:p>
      <w:pPr>
        <w:pStyle w:val="TableCaption"/>
      </w:pPr>
      <w:r>
        <w:rPr>
          <w:i/>
        </w:rPr>
        <w:t xml:space="preserve">Simplified Pay Plan</w:t>
      </w:r>
    </w:p>
    <w:tbl>
      <w:tblPr>
        <w:tblStyle w:val="TableNormal"/>
        <w:tblW w:type="pct" w:w="0.0"/>
        <w:tblLook w:firstRow="1"/>
        <w:tblCaption w:val="Simplified Pay Plan"/>
      </w:tblPr>
      <w:tblGrid/>
      <w:tr>
        <w:trPr>
          <w:cnfStyle w:firstRow="1"/>
        </w:trPr>
        <w:tc>
          <w:tcPr>
            <w:tcBorders>
              <w:bottom w:val="single"/>
            </w:tcBorders>
            <w:vAlign w:val="bottom"/>
          </w:tcPr>
          <w:p>
            <w:pPr>
              <w:pStyle w:val="Compact"/>
              <w:jc w:val="left"/>
            </w:pPr>
            <w:r>
              <w:rPr>
                <w:b/>
              </w:rPr>
              <w:t xml:space="preserve">Type</w:t>
            </w:r>
          </w:p>
        </w:tc>
        <w:tc>
          <w:tcPr>
            <w:tcBorders>
              <w:bottom w:val="single"/>
            </w:tcBorders>
            <w:vAlign w:val="bottom"/>
          </w:tcPr>
          <w:p>
            <w:pPr>
              <w:pStyle w:val="Compact"/>
              <w:jc w:val="left"/>
            </w:pPr>
            <w:r>
              <w:rPr>
                <w:b/>
              </w:rPr>
              <w:t xml:space="preserve">Codes</w:t>
            </w:r>
          </w:p>
        </w:tc>
      </w:tr>
      <w:tr>
        <w:tc>
          <w:p>
            <w:pPr>
              <w:pStyle w:val="Compact"/>
              <w:jc w:val="left"/>
            </w:pPr>
            <w:r>
              <w:t xml:space="preserve">General Schedule</w:t>
            </w:r>
          </w:p>
        </w:tc>
        <w:tc>
          <w:p>
            <w:pPr>
              <w:pStyle w:val="Compact"/>
              <w:jc w:val="left"/>
            </w:pPr>
            <w:r>
              <w:t xml:space="preserve">GS, GM</w:t>
            </w:r>
          </w:p>
        </w:tc>
      </w:tr>
      <w:tr>
        <w:tc>
          <w:p>
            <w:pPr>
              <w:pStyle w:val="Compact"/>
              <w:jc w:val="left"/>
            </w:pPr>
            <w:r>
              <w:t xml:space="preserve">Non General Schedule</w:t>
            </w:r>
          </w:p>
        </w:tc>
        <w:tc>
          <w:p>
            <w:pPr>
              <w:pStyle w:val="Compact"/>
              <w:jc w:val="left"/>
            </w:pPr>
            <w:r>
              <w:t xml:space="preserve">AD, ES, SV, VN, Others</w:t>
            </w:r>
          </w:p>
        </w:tc>
      </w:tr>
    </w:tbl>
    <w:p>
      <w:pPr>
        <w:pStyle w:val="BodyText"/>
      </w:pPr>
      <w:r>
        <w:t xml:space="preserve">Another strategy used to increase the computational efficiency is through applying parallel computing technique on</w:t>
      </w:r>
      <w:r>
        <w:t xml:space="preserve"> </w:t>
      </w:r>
      <w:r>
        <w:rPr>
          <w:i/>
        </w:rPr>
        <w:t xml:space="preserve">Step 4</w:t>
      </w:r>
      <w:r>
        <w:t xml:space="preserve"> </w:t>
      </w:r>
      <w:r>
        <w:t xml:space="preserve">of the MICE. The implementation of the parallel computing includes the following steps.</w:t>
      </w:r>
    </w:p>
    <w:p>
      <w:pPr>
        <w:pStyle w:val="BodyText"/>
      </w:pPr>
      <w:r>
        <w:t xml:space="preserve">Here, we assume we want to impute</w:t>
      </w:r>
      <w:r>
        <w:t xml:space="preserve"> </w:t>
      </w:r>
      <m:oMath>
        <m:r>
          <m:t>m</m:t>
        </m:r>
      </m:oMath>
      <w:r>
        <w:t xml:space="preserve"> </w:t>
      </w:r>
      <w:r>
        <w:t xml:space="preserve">completed datasets with</w:t>
      </w:r>
      <w:r>
        <w:t xml:space="preserve"> </w:t>
      </w:r>
      <m:oMath>
        <m:r>
          <m:t>n</m:t>
        </m:r>
      </m:oMath>
      <w:r>
        <w:t xml:space="preserve"> </w:t>
      </w:r>
      <w:r>
        <w:t xml:space="preserve">cores.</w:t>
      </w:r>
    </w:p>
    <w:p>
      <w:pPr>
        <w:pStyle w:val="BodyText"/>
      </w:pPr>
      <w:r>
        <w:rPr>
          <w:b/>
        </w:rPr>
        <w:t xml:space="preserve">If (</w:t>
      </w:r>
      <m:oMath>
        <m:r>
          <m:t>m</m:t>
        </m:r>
        <m:r>
          <m:t>≤</m:t>
        </m:r>
        <m:r>
          <m:t>n</m:t>
        </m:r>
      </m:oMath>
      <w:r>
        <w:rPr>
          <w:b/>
        </w:rPr>
        <w:t xml:space="preserve">)</w:t>
      </w:r>
      <w:r>
        <w:br w:type="textWrapping"/>
      </w:r>
      <w:r>
        <w:t xml:space="preserve">allocate</w:t>
      </w:r>
      <w:r>
        <w:t xml:space="preserve"> </w:t>
      </w:r>
      <m:oMath>
        <m:r>
          <m:t>m</m:t>
        </m:r>
      </m:oMath>
      <w:r>
        <w:t xml:space="preserve"> </w:t>
      </w:r>
      <w:r>
        <w:t xml:space="preserve">cores</w:t>
      </w:r>
      <w:r>
        <w:br w:type="textWrapping"/>
      </w:r>
      <w:r>
        <w:t xml:space="preserve">conduct</w:t>
      </w:r>
      <w:r>
        <w:t xml:space="preserve"> </w:t>
      </w:r>
      <w:r>
        <w:rPr>
          <w:i/>
        </w:rPr>
        <w:t xml:space="preserve">Step 1</w:t>
      </w:r>
      <w:r>
        <w:t xml:space="preserve"> </w:t>
      </w:r>
      <w:r>
        <w:t xml:space="preserve">to</w:t>
      </w:r>
      <w:r>
        <w:t xml:space="preserve"> </w:t>
      </w:r>
      <w:r>
        <w:rPr>
          <w:i/>
        </w:rPr>
        <w:t xml:space="preserve">Step 3</w:t>
      </w:r>
      <w:r>
        <w:t xml:space="preserve"> </w:t>
      </w:r>
      <w:r>
        <w:t xml:space="preserve">of MICE once for each core in parallel</w:t>
      </w:r>
    </w:p>
    <w:p>
      <w:pPr>
        <w:pStyle w:val="BodyText"/>
      </w:pPr>
      <w:r>
        <w:drawing>
          <wp:inline>
            <wp:extent cx="5334000" cy="1937497"/>
            <wp:effectExtent b="0" l="0" r="0" t="0"/>
            <wp:docPr descr="" title="" id="1" name="Picture"/>
            <a:graphic>
              <a:graphicData uri="http://schemas.openxmlformats.org/drawingml/2006/picture">
                <pic:pic>
                  <pic:nvPicPr>
                    <pic:cNvPr descr="figure/parallel_less.png" id="0" name="Picture"/>
                    <pic:cNvPicPr>
                      <a:picLocks noChangeArrowheads="1" noChangeAspect="1"/>
                    </pic:cNvPicPr>
                  </pic:nvPicPr>
                  <pic:blipFill>
                    <a:blip r:embed="rId31"/>
                    <a:stretch>
                      <a:fillRect/>
                    </a:stretch>
                  </pic:blipFill>
                  <pic:spPr bwMode="auto">
                    <a:xfrm>
                      <a:off x="0" y="0"/>
                      <a:ext cx="5334000" cy="1937497"/>
                    </a:xfrm>
                    <a:prstGeom prst="rect">
                      <a:avLst/>
                    </a:prstGeom>
                    <a:noFill/>
                    <a:ln w="9525">
                      <a:noFill/>
                      <a:headEnd/>
                      <a:tailEnd/>
                    </a:ln>
                  </pic:spPr>
                </pic:pic>
              </a:graphicData>
            </a:graphic>
          </wp:inline>
        </w:drawing>
      </w:r>
    </w:p>
    <w:p>
      <w:pPr>
        <w:pStyle w:val="BodyText"/>
      </w:pPr>
      <w:r>
        <w:rPr>
          <w:b/>
        </w:rPr>
        <w:t xml:space="preserve">else</w:t>
      </w:r>
      <w:r>
        <w:br w:type="textWrapping"/>
      </w:r>
      <w:r>
        <w:t xml:space="preserve">allocate</w:t>
      </w:r>
      <w:r>
        <w:t xml:space="preserve"> </w:t>
      </w:r>
      <m:oMath>
        <m:r>
          <m:t>n</m:t>
        </m:r>
      </m:oMath>
      <w:r>
        <w:t xml:space="preserve"> </w:t>
      </w:r>
      <w:r>
        <w:t xml:space="preserve">cores</w:t>
      </w:r>
      <w:r>
        <w:br w:type="textWrapping"/>
      </w:r>
      <w:r>
        <w:t xml:space="preserve">conduct</w:t>
      </w:r>
      <w:r>
        <w:t xml:space="preserve"> </w:t>
      </w:r>
      <w:r>
        <w:rPr>
          <w:i/>
        </w:rPr>
        <w:t xml:space="preserve">Step 1</w:t>
      </w:r>
      <w:r>
        <w:t xml:space="preserve"> </w:t>
      </w:r>
      <w:r>
        <w:t xml:space="preserve">to</w:t>
      </w:r>
      <w:r>
        <w:t xml:space="preserve"> </w:t>
      </w:r>
      <w:r>
        <w:rPr>
          <w:i/>
        </w:rPr>
        <w:t xml:space="preserve">Step 3</w:t>
      </w:r>
      <w:r>
        <w:t xml:space="preserve"> </w:t>
      </w:r>
      <w:r>
        <w:t xml:space="preserve">of MICE</w:t>
      </w:r>
      <w:r>
        <w:t xml:space="preserve"> </w:t>
      </w:r>
      <m:oMath>
        <m:r>
          <m:t>⌊</m:t>
        </m:r>
        <m:f>
          <m:fPr>
            <m:type m:val="bar"/>
          </m:fPr>
          <m:num>
            <m:r>
              <m:t>n</m:t>
            </m:r>
          </m:num>
          <m:den>
            <m:r>
              <m:t>m</m:t>
            </m:r>
          </m:den>
        </m:f>
        <m:r>
          <m:t>⌋</m:t>
        </m:r>
      </m:oMath>
      <w:r>
        <w:t xml:space="preserve"> </w:t>
      </w:r>
      <w:r>
        <w:t xml:space="preserve">times for each core in parallel</w:t>
      </w:r>
    </w:p>
    <w:p>
      <w:pPr>
        <w:pStyle w:val="BodyText"/>
      </w:pPr>
      <w:r>
        <w:drawing>
          <wp:inline>
            <wp:extent cx="5334000" cy="2042808"/>
            <wp:effectExtent b="0" l="0" r="0" t="0"/>
            <wp:docPr descr="" title="" id="1" name="Picture"/>
            <a:graphic>
              <a:graphicData uri="http://schemas.openxmlformats.org/drawingml/2006/picture">
                <pic:pic>
                  <pic:nvPicPr>
                    <pic:cNvPr descr="figure/parallel_more.png" id="0" name="Picture"/>
                    <pic:cNvPicPr>
                      <a:picLocks noChangeArrowheads="1" noChangeAspect="1"/>
                    </pic:cNvPicPr>
                  </pic:nvPicPr>
                  <pic:blipFill>
                    <a:blip r:embed="rId32"/>
                    <a:stretch>
                      <a:fillRect/>
                    </a:stretch>
                  </pic:blipFill>
                  <pic:spPr bwMode="auto">
                    <a:xfrm>
                      <a:off x="0" y="0"/>
                      <a:ext cx="5334000" cy="2042808"/>
                    </a:xfrm>
                    <a:prstGeom prst="rect">
                      <a:avLst/>
                    </a:prstGeom>
                    <a:noFill/>
                    <a:ln w="9525">
                      <a:noFill/>
                      <a:headEnd/>
                      <a:tailEnd/>
                    </a:ln>
                  </pic:spPr>
                </pic:pic>
              </a:graphicData>
            </a:graphic>
          </wp:inline>
        </w:drawing>
      </w:r>
    </w:p>
    <w:p>
      <w:pPr>
        <w:pStyle w:val="Heading2"/>
      </w:pPr>
      <w:bookmarkStart w:id="33" w:name="imputation-results-and-predictive-checks"/>
      <w:bookmarkEnd w:id="33"/>
      <w:r>
        <w:t xml:space="preserve">Imputation results and predictive checks</w:t>
      </w:r>
    </w:p>
    <w:p>
      <w:pPr>
        <w:pStyle w:val="FirstParagraph"/>
      </w:pPr>
      <w:r>
        <w:t xml:space="preserve">We generated 12 completed datasets with the CART imputation model. The validity of the imputed datasets depends on the use of an appropriate imputation model, so it is important to check whether the model yields reasonable results. We applied predictive checks to assess imputation model adequacy. Predictive checks is a Bayesian model checking technique designed to investigate the potential model inadequacy between imputed and replicated datasets. Though our imputation model is not fully Bayesian, predictive checks could still be used to measure the predictive differences between imputed and replicated data</w:t>
      </w:r>
      <w:r>
        <w:t xml:space="preserve"> </w:t>
      </w:r>
      <w:r>
        <w:t xml:space="preserve">(He &amp; Zaslavsky, 2012)</w:t>
      </w:r>
      <w:r>
        <w:t xml:space="preserve">.</w:t>
      </w:r>
    </w:p>
    <w:p>
      <w:pPr>
        <w:pStyle w:val="BodyText"/>
      </w:pPr>
      <w:r>
        <w:t xml:space="preserve">Denote</w:t>
      </w:r>
      <w:r>
        <w:t xml:space="preserve"> </w:t>
      </w:r>
      <m:oMath>
        <m:r>
          <m:t>Y</m:t>
        </m:r>
        <m:r>
          <m:t>=</m:t>
        </m:r>
        <m:r>
          <m:t>(</m:t>
        </m:r>
        <m:sSub>
          <m:e>
            <m:r>
              <m:t>Y</m:t>
            </m:r>
          </m:e>
          <m:sub>
            <m:r>
              <m:t>1</m:t>
            </m:r>
          </m:sub>
        </m:sSub>
        <m:r>
          <m:t>,</m:t>
        </m:r>
        <m:sSub>
          <m:e>
            <m:r>
              <m:t>Y</m:t>
            </m:r>
          </m:e>
          <m:sub>
            <m:r>
              <m:t>2</m:t>
            </m:r>
          </m:sub>
        </m:sSub>
        <m:r>
          <m:t>)</m:t>
        </m:r>
        <m:r>
          <m:t>=</m:t>
        </m:r>
        <m:r>
          <m:t>(</m:t>
        </m:r>
        <m:r>
          <m:t>(</m:t>
        </m:r>
        <m:sSub>
          <m:e>
            <m:r>
              <m:t>Y</m:t>
            </m:r>
          </m:e>
          <m:sub>
            <m:r>
              <m:t>1</m:t>
            </m:r>
            <m:r>
              <m:t>,</m:t>
            </m:r>
            <m:r>
              <m:t>o</m:t>
            </m:r>
            <m:r>
              <m:t>b</m:t>
            </m:r>
            <m:r>
              <m:t>s</m:t>
            </m:r>
          </m:sub>
        </m:sSub>
        <m:r>
          <m:t>,</m:t>
        </m:r>
        <m:sSub>
          <m:e>
            <m:r>
              <m:t>Y</m:t>
            </m:r>
          </m:e>
          <m:sub>
            <m:r>
              <m:t>1</m:t>
            </m:r>
            <m:r>
              <m:t>,</m:t>
            </m:r>
            <m:r>
              <m:t>m</m:t>
            </m:r>
            <m:r>
              <m:t>i</m:t>
            </m:r>
            <m:r>
              <m:t>s</m:t>
            </m:r>
          </m:sub>
        </m:sSub>
        <m:r>
          <m:t>)</m:t>
        </m:r>
        <m:r>
          <m:t>,</m:t>
        </m:r>
        <m:sSub>
          <m:e>
            <m:r>
              <m:t>Y</m:t>
            </m:r>
          </m:e>
          <m:sub>
            <m:r>
              <m:t>2</m:t>
            </m:r>
          </m:sub>
        </m:sSub>
        <m:r>
          <m:t>)</m:t>
        </m:r>
        <m:r>
          <m:t>)</m:t>
        </m:r>
      </m:oMath>
      <w:r>
        <w:t xml:space="preserve">, where</w:t>
      </w:r>
      <w:r>
        <w:t xml:space="preserve"> </w:t>
      </w:r>
      <m:oMath>
        <m:sSub>
          <m:e>
            <m:r>
              <m:t>Y</m:t>
            </m:r>
          </m:e>
          <m:sub>
            <m:r>
              <m:t>1</m:t>
            </m:r>
          </m:sub>
        </m:sSub>
      </m:oMath>
      <w:r>
        <w:t xml:space="preserve"> </w:t>
      </w:r>
      <w:r>
        <w:t xml:space="preserve">is partially observed and</w:t>
      </w:r>
      <w:r>
        <w:t xml:space="preserve"> </w:t>
      </w:r>
      <m:oMath>
        <m:sSub>
          <m:e>
            <m:r>
              <m:t>Y</m:t>
            </m:r>
          </m:e>
          <m:sub>
            <m:r>
              <m:t>2</m:t>
            </m:r>
          </m:sub>
        </m:sSub>
      </m:oMath>
      <w:r>
        <w:t xml:space="preserve"> </w:t>
      </w:r>
      <w:r>
        <w:t xml:space="preserve">is completely observed. To generate replicated data</w:t>
      </w:r>
      <w:r>
        <w:t xml:space="preserve"> </w:t>
      </w:r>
      <m:oMath>
        <m:sSubSup>
          <m:e>
            <m:r>
              <m:t>Y</m:t>
            </m:r>
          </m:e>
          <m:sub>
            <m:r>
              <m:t>c</m:t>
            </m:r>
            <m:r>
              <m:t>o</m:t>
            </m:r>
            <m:r>
              <m:t>m</m:t>
            </m:r>
          </m:sub>
          <m:sup>
            <m:r>
              <m:t>r</m:t>
            </m:r>
            <m:r>
              <m:t>e</m:t>
            </m:r>
            <m:r>
              <m:t>p</m:t>
            </m:r>
          </m:sup>
        </m:sSubSup>
      </m:oMath>
      <w:r>
        <w:t xml:space="preserve">, the steps involve: (1) create duplicates of</w:t>
      </w:r>
      <w:r>
        <w:t xml:space="preserve"> </w:t>
      </w:r>
      <m:oMath>
        <m:r>
          <m:t>(</m:t>
        </m:r>
        <m:sSub>
          <m:e>
            <m:r>
              <m:t>Y</m:t>
            </m:r>
          </m:e>
          <m:sub>
            <m:r>
              <m:t>1</m:t>
            </m:r>
          </m:sub>
        </m:sSub>
        <m:r>
          <m:t>,</m:t>
        </m:r>
        <m:sSub>
          <m:e>
            <m:r>
              <m:t>Y</m:t>
            </m:r>
          </m:e>
          <m:sub>
            <m:r>
              <m:t>2</m:t>
            </m:r>
          </m:sub>
        </m:sSub>
        <m:r>
          <m:t>)</m:t>
        </m:r>
      </m:oMath>
      <w:r>
        <w:t xml:space="preserve">; (2) set duplicated</w:t>
      </w:r>
      <w:r>
        <w:t xml:space="preserve"> </w:t>
      </w:r>
      <m:oMath>
        <m:sSub>
          <m:e>
            <m:r>
              <m:t>Y</m:t>
            </m:r>
          </m:e>
          <m:sub>
            <m:r>
              <m:t>1</m:t>
            </m:r>
          </m:sub>
        </m:sSub>
      </m:oMath>
      <w:r>
        <w:t xml:space="preserve"> </w:t>
      </w:r>
      <w:r>
        <w:t xml:space="preserve">as completely missing; (3) combine</w:t>
      </w:r>
      <w:r>
        <w:t xml:space="preserve"> </w:t>
      </w:r>
      <m:oMath>
        <m:r>
          <m:t>(</m:t>
        </m:r>
        <m:r>
          <m:t>(</m:t>
        </m:r>
        <m:sSub>
          <m:e>
            <m:r>
              <m:t>Y</m:t>
            </m:r>
          </m:e>
          <m:sub>
            <m:r>
              <m:t>1</m:t>
            </m:r>
            <m:r>
              <m:t>,</m:t>
            </m:r>
            <m:r>
              <m:t>o</m:t>
            </m:r>
            <m:r>
              <m:t>b</m:t>
            </m:r>
            <m:r>
              <m:t>s</m:t>
            </m:r>
          </m:sub>
        </m:sSub>
        <m:r>
          <m:t>,</m:t>
        </m:r>
        <m:sSub>
          <m:e>
            <m:r>
              <m:t>Y</m:t>
            </m:r>
          </m:e>
          <m:sub>
            <m:r>
              <m:t>1</m:t>
            </m:r>
            <m:r>
              <m:t>,</m:t>
            </m:r>
            <m:r>
              <m:t>m</m:t>
            </m:r>
            <m:r>
              <m:t>i</m:t>
            </m:r>
            <m:r>
              <m:t>s</m:t>
            </m:r>
          </m:sub>
        </m:sSub>
        <m:r>
          <m:t>)</m:t>
        </m:r>
        <m:r>
          <m:t>,</m:t>
        </m:r>
        <m:sSub>
          <m:e>
            <m:r>
              <m:t>Y</m:t>
            </m:r>
          </m:e>
          <m:sub>
            <m:r>
              <m:t>2</m:t>
            </m:r>
          </m:sub>
        </m:sSub>
        <m:r>
          <m:t>)</m:t>
        </m:r>
      </m:oMath>
      <w:r>
        <w:t xml:space="preserve"> </w:t>
      </w:r>
      <w:r>
        <w:t xml:space="preserve">and</w:t>
      </w:r>
      <w:r>
        <w:t xml:space="preserve"> </w:t>
      </w:r>
      <m:oMath>
        <m:r>
          <m:t>(</m:t>
        </m:r>
        <m:sSubSup>
          <m:e>
            <m:r>
              <m:t>Y</m:t>
            </m:r>
          </m:e>
          <m:sub>
            <m:r>
              <m:t>c</m:t>
            </m:r>
            <m:r>
              <m:t>o</m:t>
            </m:r>
            <m:r>
              <m:t>m</m:t>
            </m:r>
          </m:sub>
          <m:sup>
            <m:r>
              <m:t>r</m:t>
            </m:r>
            <m:r>
              <m:t>e</m:t>
            </m:r>
            <m:r>
              <m:t>p</m:t>
            </m:r>
          </m:sup>
        </m:sSubSup>
        <m:r>
          <m:t>,</m:t>
        </m:r>
        <m:sSub>
          <m:e>
            <m:r>
              <m:t>Y</m:t>
            </m:r>
          </m:e>
          <m:sub>
            <m:r>
              <m:t>2</m:t>
            </m:r>
          </m:sub>
        </m:sSub>
        <m:r>
          <m:t>)</m:t>
        </m:r>
      </m:oMath>
      <w:r>
        <w:t xml:space="preserve"> </w:t>
      </w:r>
      <w:r>
        <w:t xml:space="preserve">to form concatenated dataset; and (4) re-impute concatenated dataset with original imputation model. Figure</w:t>
      </w:r>
      <w:r>
        <w:t xml:space="preserve"> </w:t>
      </w:r>
      <w:r>
        <w:t xml:space="preserve">3</w:t>
      </w:r>
      <w:r>
        <w:t xml:space="preserve"> </w:t>
      </w:r>
      <w:r>
        <w:t xml:space="preserve">(He &amp; Zaslavsky, 2012)</w:t>
      </w:r>
      <w:r>
        <w:t xml:space="preserve"> </w:t>
      </w:r>
      <w:r>
        <w:t xml:space="preserve">shows the re-imputation process.</w:t>
      </w:r>
    </w:p>
    <w:p>
      <w:pPr>
        <w:pStyle w:val="FigureWithCaption"/>
      </w:pPr>
      <w:r>
        <w:drawing>
          <wp:inline>
            <wp:extent cx="5334000" cy="5339084"/>
            <wp:effectExtent b="0" l="0" r="0" t="0"/>
            <wp:docPr descr="Figure 3 Generate replicated dataset" title="" id="1" name="Picture"/>
            <a:graphic>
              <a:graphicData uri="http://schemas.openxmlformats.org/drawingml/2006/picture">
                <pic:pic>
                  <pic:nvPicPr>
                    <pic:cNvPr descr="figure/PPC.jpg" id="0" name="Picture"/>
                    <pic:cNvPicPr>
                      <a:picLocks noChangeArrowheads="1" noChangeAspect="1"/>
                    </pic:cNvPicPr>
                  </pic:nvPicPr>
                  <pic:blipFill>
                    <a:blip r:embed="rId34"/>
                    <a:stretch>
                      <a:fillRect/>
                    </a:stretch>
                  </pic:blipFill>
                  <pic:spPr bwMode="auto">
                    <a:xfrm>
                      <a:off x="0" y="0"/>
                      <a:ext cx="5334000" cy="5339084"/>
                    </a:xfrm>
                    <a:prstGeom prst="rect">
                      <a:avLst/>
                    </a:prstGeom>
                    <a:noFill/>
                    <a:ln w="9525">
                      <a:noFill/>
                      <a:headEnd/>
                      <a:tailEnd/>
                    </a:ln>
                  </pic:spPr>
                </pic:pic>
              </a:graphicData>
            </a:graphic>
          </wp:inline>
        </w:drawing>
      </w:r>
    </w:p>
    <w:p>
      <w:pPr>
        <w:pStyle w:val="ImageCaption"/>
      </w:pPr>
      <w:r>
        <w:t xml:space="preserve">Figure 3 Generate replicated dataset</w:t>
      </w:r>
    </w:p>
    <w:p>
      <w:pPr>
        <w:pStyle w:val="BodyText"/>
      </w:pPr>
      <w:r>
        <w:t xml:space="preserve">Our parameter of interest is the relationship between year 1 and year 10 salary. We assessed model adequecy through comparing the distribution of working year 1 and year 10 salary between imputed and replicated datasets. If the distribution of imputed datasets and the distribution of replicated datasets are similar, then imputation model provides plausible fit to the data. We generated replicated dataset with two methods. First, we conducted re-imputation 12 times by setting duplicated</w:t>
      </w:r>
      <w:r>
        <w:t xml:space="preserve"> </w:t>
      </w:r>
      <m:oMath>
        <m:sSub>
          <m:e>
            <m:r>
              <m:t>Y</m:t>
            </m:r>
          </m:e>
          <m:sub>
            <m:r>
              <m:t>1</m:t>
            </m:r>
          </m:sub>
        </m:sSub>
      </m:oMath>
      <w:r>
        <w:t xml:space="preserve"> </w:t>
      </w:r>
      <w:r>
        <w:t xml:space="preserve">(variables with missing values) as completely missing. Second, we conducted re-imputation 12 times by only setting salary at working year 1 and 10 in duplicated</w:t>
      </w:r>
      <w:r>
        <w:t xml:space="preserve"> </w:t>
      </w:r>
      <m:oMath>
        <m:sSub>
          <m:e>
            <m:r>
              <m:t>Y</m:t>
            </m:r>
          </m:e>
          <m:sub>
            <m:r>
              <m:t>1</m:t>
            </m:r>
          </m:sub>
        </m:sSub>
      </m:oMath>
      <w:r>
        <w:t xml:space="preserve"> </w:t>
      </w:r>
      <w:r>
        <w:t xml:space="preserve">as completely missing. Figure</w:t>
      </w:r>
      <w:r>
        <w:t xml:space="preserve"> </w:t>
      </w:r>
      <w:r>
        <w:t xml:space="preserve">4</w:t>
      </w:r>
      <w:r>
        <w:t xml:space="preserve"> </w:t>
      </w:r>
      <w:r>
        <w:t xml:space="preserve">shows the result of the first method, and Figure</w:t>
      </w:r>
      <w:r>
        <w:t xml:space="preserve"> </w:t>
      </w:r>
      <w:r>
        <w:t xml:space="preserve">5</w:t>
      </w:r>
      <w:r>
        <w:t xml:space="preserve"> </w:t>
      </w:r>
      <w:r>
        <w:t xml:space="preserve">shows the result of the second method.</w:t>
      </w:r>
    </w:p>
    <w:p>
      <w:pPr>
        <w:pStyle w:val="FigureWithCaption"/>
      </w:pPr>
      <w:r>
        <w:drawing>
          <wp:inline>
            <wp:extent cx="4888992" cy="3017520"/>
            <wp:effectExtent b="0" l="0" r="0" t="0"/>
            <wp:docPr descr="Figure 4 Salary distribution of method 1" title="" id="1" name="Picture"/>
            <a:graphic>
              <a:graphicData uri="http://schemas.openxmlformats.org/drawingml/2006/picture">
                <pic:pic>
                  <pic:nvPicPr>
                    <pic:cNvPr descr="figure/PPC1.png" id="0" name="Picture"/>
                    <pic:cNvPicPr>
                      <a:picLocks noChangeArrowheads="1" noChangeAspect="1"/>
                    </pic:cNvPicPr>
                  </pic:nvPicPr>
                  <pic:blipFill>
                    <a:blip r:embed="rId35"/>
                    <a:stretch>
                      <a:fillRect/>
                    </a:stretch>
                  </pic:blipFill>
                  <pic:spPr bwMode="auto">
                    <a:xfrm>
                      <a:off x="0" y="0"/>
                      <a:ext cx="4888992" cy="3017520"/>
                    </a:xfrm>
                    <a:prstGeom prst="rect">
                      <a:avLst/>
                    </a:prstGeom>
                    <a:noFill/>
                    <a:ln w="9525">
                      <a:noFill/>
                      <a:headEnd/>
                      <a:tailEnd/>
                    </a:ln>
                  </pic:spPr>
                </pic:pic>
              </a:graphicData>
            </a:graphic>
          </wp:inline>
        </w:drawing>
      </w:r>
    </w:p>
    <w:p>
      <w:pPr>
        <w:pStyle w:val="ImageCaption"/>
      </w:pPr>
      <w:r>
        <w:t xml:space="preserve">Figure 4 Salary distribution of method 1</w:t>
      </w:r>
    </w:p>
    <w:p>
      <w:pPr>
        <w:pStyle w:val="FigureWithCaption"/>
      </w:pPr>
      <w:r>
        <w:drawing>
          <wp:inline>
            <wp:extent cx="4888992" cy="3017520"/>
            <wp:effectExtent b="0" l="0" r="0" t="0"/>
            <wp:docPr descr="Figure 5 Salary distribution of method 2" title="" id="1" name="Picture"/>
            <a:graphic>
              <a:graphicData uri="http://schemas.openxmlformats.org/drawingml/2006/picture">
                <pic:pic>
                  <pic:nvPicPr>
                    <pic:cNvPr descr="figure/PPC2.png" id="0" name="Picture"/>
                    <pic:cNvPicPr>
                      <a:picLocks noChangeArrowheads="1" noChangeAspect="1"/>
                    </pic:cNvPicPr>
                  </pic:nvPicPr>
                  <pic:blipFill>
                    <a:blip r:embed="rId36"/>
                    <a:stretch>
                      <a:fillRect/>
                    </a:stretch>
                  </pic:blipFill>
                  <pic:spPr bwMode="auto">
                    <a:xfrm>
                      <a:off x="0" y="0"/>
                      <a:ext cx="4888992" cy="3017520"/>
                    </a:xfrm>
                    <a:prstGeom prst="rect">
                      <a:avLst/>
                    </a:prstGeom>
                    <a:noFill/>
                    <a:ln w="9525">
                      <a:noFill/>
                      <a:headEnd/>
                      <a:tailEnd/>
                    </a:ln>
                  </pic:spPr>
                </pic:pic>
              </a:graphicData>
            </a:graphic>
          </wp:inline>
        </w:drawing>
      </w:r>
    </w:p>
    <w:p>
      <w:pPr>
        <w:pStyle w:val="ImageCaption"/>
      </w:pPr>
      <w:r>
        <w:t xml:space="preserve">Figure 5 Salary distribution of method 2</w:t>
      </w:r>
    </w:p>
    <w:p>
      <w:pPr>
        <w:pStyle w:val="BodyText"/>
      </w:pPr>
      <w:r>
        <w:t xml:space="preserve">For both figures, the x-axis represents salary at working year 1, and the y-axis represents salary at working year 10. Since salaries for employees with SES and non-SES position tend to vary a lot, we visualized the salary distribution separately for employees with SES position and non-SES position. Note that both figures are visualization of one replicated and one imputed datasets. (We compared all 12 replicated and 12 imputed datasets. Since they all yielded similiar results, we only included one here.)</w:t>
      </w:r>
    </w:p>
    <w:p>
      <w:pPr>
        <w:pStyle w:val="BodyText"/>
      </w:pPr>
      <w:r>
        <w:t xml:space="preserve">Figure</w:t>
      </w:r>
      <w:r>
        <w:t xml:space="preserve"> </w:t>
      </w:r>
      <w:r>
        <w:t xml:space="preserve">4</w:t>
      </w:r>
      <w:r>
        <w:t xml:space="preserve"> </w:t>
      </w:r>
      <w:r>
        <w:t xml:space="preserve">shows that the distributions between imputed and replicated datasets for both positions are different, indicating that our imputation model is not a good fit to the data. However, this method might not be ideal because the imputed values of year 1 and year 10 salary are dependent on other partially missing variables. The second method provides a better model diagnostic. Figure</w:t>
      </w:r>
      <w:r>
        <w:t xml:space="preserve"> </w:t>
      </w:r>
      <w:r>
        <w:t xml:space="preserve">5</w:t>
      </w:r>
      <w:r>
        <w:t xml:space="preserve"> </w:t>
      </w:r>
      <w:r>
        <w:t xml:space="preserve">shows that the distributions between imputed and replicated datasets for both positions are similar, implying that our imputation model provides plausible fit to the data.</w:t>
      </w:r>
    </w:p>
    <w:p>
      <w:pPr>
        <w:pStyle w:val="Heading1"/>
      </w:pPr>
      <w:bookmarkStart w:id="37" w:name="exploratory-data-analysis-eda"/>
      <w:bookmarkEnd w:id="37"/>
      <w:r>
        <w:t xml:space="preserve">Exploratory Data Analysis (EDA)</w:t>
      </w:r>
    </w:p>
    <w:p>
      <w:pPr>
        <w:pStyle w:val="FirstParagraph"/>
      </w:pPr>
      <w:r>
        <w:t xml:space="preserve">After checking the robustness of the imputation model, we conducted exploratory data analysis and model fitting based on one imputed dataset.</w:t>
      </w:r>
    </w:p>
    <w:p>
      <w:pPr>
        <w:pStyle w:val="Heading2"/>
      </w:pPr>
      <w:bookmarkStart w:id="38" w:name="outcome-variable-and-covariates-selection"/>
      <w:bookmarkEnd w:id="38"/>
      <w:r>
        <w:t xml:space="preserve">Outcome variable and covariates selection</w:t>
      </w:r>
    </w:p>
    <w:p>
      <w:pPr>
        <w:pStyle w:val="FirstParagraph"/>
      </w:pPr>
      <w:r>
        <w:rPr>
          <w:b/>
        </w:rPr>
        <w:t xml:space="preserve">Outcome Variable</w:t>
      </w:r>
    </w:p>
    <w:p>
      <w:pPr>
        <w:pStyle w:val="BodyText"/>
      </w:pPr>
      <w:r>
        <w:t xml:space="preserve">Variable</w:t>
      </w:r>
      <w:r>
        <w:t xml:space="preserve"> </w:t>
      </w:r>
      <w:r>
        <w:rPr>
          <w:i/>
        </w:rPr>
        <w:t xml:space="preserve">Promoted</w:t>
      </w:r>
      <w:r>
        <w:t xml:space="preserve"> </w:t>
      </w:r>
      <w:r>
        <w:t xml:space="preserve">is the outcome variable, indicating whether an employee was promoted into the SES position after working year 10 (1 = promoted, 0 = not promoted). In order for the analysis to be consistent, we only included employees with GS or GM pay plan. 482 out of 27,932 employees were promoted.</w:t>
      </w:r>
    </w:p>
    <w:p>
      <w:pPr>
        <w:pStyle w:val="BodyText"/>
      </w:pPr>
      <w:r>
        <w:rPr>
          <w:b/>
        </w:rPr>
        <w:t xml:space="preserve">Covariates</w:t>
      </w:r>
    </w:p>
    <w:p>
      <w:pPr>
        <w:pStyle w:val="BodyText"/>
      </w:pPr>
      <w:r>
        <w:t xml:space="preserve">The OPM data contain detailed information about the federal employees, but some variables are unrelated to the goal of the study. Based on past social science research on the selection of high-level executives within both private and public sectors, we logically chose variables relevant to our questions of interests as covariates.</w:t>
      </w:r>
    </w:p>
    <w:p>
      <w:pPr>
        <w:pStyle w:val="BodyText"/>
      </w:pPr>
      <w:r>
        <w:t xml:space="preserve">First,</w:t>
      </w:r>
      <w:r>
        <w:t xml:space="preserve"> </w:t>
      </w:r>
      <w:r>
        <w:rPr>
          <w:i/>
        </w:rPr>
        <w:t xml:space="preserve">Gender</w:t>
      </w:r>
      <w:r>
        <w:t xml:space="preserve"> </w:t>
      </w:r>
      <w:r>
        <w:t xml:space="preserve">could be a predictor as past studies have shown that gender plays an important role in the promotion of high-level executives. For example, the glass ceiling phenomenon, the phenomenon that keeps women from reaching the top level of organizations, exists in both public and private sectors</w:t>
      </w:r>
      <w:r>
        <w:t xml:space="preserve"> </w:t>
      </w:r>
      <w:r>
        <w:t xml:space="preserve">(Powell &amp; Butterfield, 1994)</w:t>
      </w:r>
      <w:r>
        <w:t xml:space="preserve">. Second,</w:t>
      </w:r>
      <w:r>
        <w:t xml:space="preserve"> </w:t>
      </w:r>
      <w:r>
        <w:rPr>
          <w:i/>
        </w:rPr>
        <w:t xml:space="preserve">Race</w:t>
      </w:r>
      <w:r>
        <w:t xml:space="preserve"> </w:t>
      </w:r>
      <w:r>
        <w:t xml:space="preserve">and</w:t>
      </w:r>
      <w:r>
        <w:t xml:space="preserve"> </w:t>
      </w:r>
      <w:r>
        <w:rPr>
          <w:i/>
        </w:rPr>
        <w:t xml:space="preserve">Education Level</w:t>
      </w:r>
      <w:r>
        <w:t xml:space="preserve"> </w:t>
      </w:r>
      <w:r>
        <w:t xml:space="preserve">are important predictors for federal employees’ salary information</w:t>
      </w:r>
      <w:r>
        <w:t xml:space="preserve"> </w:t>
      </w:r>
      <w:r>
        <w:t xml:space="preserve">(Barrientos et al., 2017)</w:t>
      </w:r>
      <w:r>
        <w:t xml:space="preserve">, and could potentially impact the promotion process. Both variables should be included as covariates.</w:t>
      </w:r>
    </w:p>
    <w:p>
      <w:pPr>
        <w:pStyle w:val="BodyText"/>
      </w:pPr>
      <w:r>
        <w:t xml:space="preserve">Third, employees with the SES position are required to build coalitions both within and outside the organizations. We extrapolated that employees who had experiences working in various government agencies might possess this competency.</w:t>
      </w:r>
      <w:r>
        <w:t xml:space="preserve"> </w:t>
      </w:r>
      <w:r>
        <w:rPr>
          <w:i/>
        </w:rPr>
        <w:t xml:space="preserve">Department Switch</w:t>
      </w:r>
      <w:r>
        <w:t xml:space="preserve">, a variable indicating whether an employee switched department between working year 1 and working year 10, could be a critical predictor. Fourth, senior executives are often tasked to lead people and make strategic changes, and variables such as</w:t>
      </w:r>
      <w:r>
        <w:t xml:space="preserve"> </w:t>
      </w:r>
      <w:r>
        <w:rPr>
          <w:i/>
        </w:rPr>
        <w:t xml:space="preserve">Occupational Category</w:t>
      </w:r>
      <w:r>
        <w:t xml:space="preserve"> </w:t>
      </w:r>
      <w:r>
        <w:t xml:space="preserve">and</w:t>
      </w:r>
      <w:r>
        <w:t xml:space="preserve"> </w:t>
      </w:r>
      <w:r>
        <w:rPr>
          <w:i/>
        </w:rPr>
        <w:t xml:space="preserve">Supervisory Status</w:t>
      </w:r>
      <w:r>
        <w:t xml:space="preserve"> </w:t>
      </w:r>
      <w:r>
        <w:t xml:space="preserve">might provide pertinent information.</w:t>
      </w:r>
    </w:p>
    <w:p>
      <w:pPr>
        <w:pStyle w:val="BodyText"/>
      </w:pPr>
      <w:r>
        <w:t xml:space="preserve">Lastly, the promotion criteria depend on an employee’s performance at work. There is a formal appraisal system in the OPM, but such system was not established until 1996. Given the timeframe of the studies (employees starting between 1978 and 1997), it is not appropriate to include this variable. To address this problem, we decide to include</w:t>
      </w:r>
      <w:r>
        <w:t xml:space="preserve"> </w:t>
      </w:r>
      <w:r>
        <w:rPr>
          <w:i/>
        </w:rPr>
        <w:t xml:space="preserve">Salary</w:t>
      </w:r>
      <w:r>
        <w:t xml:space="preserve"> </w:t>
      </w:r>
      <w:r>
        <w:t xml:space="preserve">and</w:t>
      </w:r>
      <w:r>
        <w:t xml:space="preserve"> </w:t>
      </w:r>
      <w:r>
        <w:rPr>
          <w:i/>
        </w:rPr>
        <w:t xml:space="preserve">Grade</w:t>
      </w:r>
      <w:r>
        <w:t xml:space="preserve"> </w:t>
      </w:r>
      <w:r>
        <w:t xml:space="preserve">at working year 10 because these variables could potentially indicate an employee’s mid-career performance. Furthermore, we create an additional covariate</w:t>
      </w:r>
      <w:r>
        <w:t xml:space="preserve"> </w:t>
      </w:r>
      <w:r>
        <w:rPr>
          <w:i/>
        </w:rPr>
        <w:t xml:space="preserve">Change in Pay Rate</w:t>
      </w:r>
      <w:r>
        <w:t xml:space="preserve">, which specifies an employee’s rate of change in salary between working year 1 and working year 10. Particularly, we posited that higher rate of change in salary would indicate better work performance.</w:t>
      </w:r>
    </w:p>
    <w:p>
      <w:pPr>
        <w:pStyle w:val="BodyText"/>
      </w:pPr>
      <w:r>
        <w:rPr>
          <w:b/>
        </w:rPr>
        <w:t xml:space="preserve">Assumptions</w:t>
      </w:r>
    </w:p>
    <w:p>
      <w:pPr>
        <w:pStyle w:val="BodyText"/>
      </w:pPr>
      <w:r>
        <w:t xml:space="preserve">The number of the SES position is limited in each agency and potential candidates tend to get promoted at different year. Though the promotion criteria might vary among years, we had to make one key assumption given the rarity of the total number of positions. That is, the covariates selected are general enough to capture the promotion criteria despite time differences. Furthermore, we adjusted salary information in terms of 2011 inflation rate to ensure we could compare variables dependent on time on the same basis.</w:t>
      </w:r>
    </w:p>
    <w:p>
      <w:pPr>
        <w:pStyle w:val="Heading2"/>
      </w:pPr>
      <w:bookmarkStart w:id="39" w:name="inspection-of-each-covariate"/>
      <w:bookmarkEnd w:id="39"/>
      <w:r>
        <w:t xml:space="preserve">Inspection of each covariate</w:t>
      </w:r>
    </w:p>
    <w:p>
      <w:pPr>
        <w:pStyle w:val="FirstParagraph"/>
      </w:pPr>
      <w:r>
        <w:t xml:space="preserve">We examined the relationship between outcome variable and predictors with two strategies. First, for categorical predictors, we looked at the percentages of ones in outcome variable for each level. If a categorical predictor has many levels but the percentages of ones in outcome variable for certain levels is limited, we considered regrouping to reduce levels. Second, for continuous predictor, we broke predictor into</w:t>
      </w:r>
      <w:r>
        <w:t xml:space="preserve"> </w:t>
      </w:r>
      <m:oMath>
        <m:r>
          <m:t>n</m:t>
        </m:r>
      </m:oMath>
      <w:r>
        <w:t xml:space="preserve"> </w:t>
      </w:r>
      <w:r>
        <w:t xml:space="preserve">equally sized, ordered groups, and computed the percentage of ones in outcome variable for each group. We then visualized the patterns between groups and explored the needs for transformation.</w:t>
      </w:r>
    </w:p>
    <w:p>
      <w:pPr>
        <w:pStyle w:val="BodyText"/>
      </w:pPr>
      <w:r>
        <w:rPr>
          <w:b/>
        </w:rPr>
        <w:t xml:space="preserve">Gender (Categorical)</w:t>
      </w:r>
    </w:p>
    <w:p>
      <w:pPr>
        <w:pStyle w:val="BodyText"/>
      </w:pPr>
      <w:r>
        <w:t xml:space="preserve">Variable</w:t>
      </w:r>
      <w:r>
        <w:t xml:space="preserve"> </w:t>
      </w:r>
      <w:r>
        <w:rPr>
          <w:i/>
        </w:rPr>
        <w:t xml:space="preserve">Gender</w:t>
      </w:r>
      <w:r>
        <w:t xml:space="preserve"> </w:t>
      </w:r>
      <w:r>
        <w:t xml:space="preserve">has 2 levels - Male and Female (M,F). There are more females than males, but each gender has similar proportion of ones.</w:t>
      </w:r>
    </w:p>
    <w:p>
      <w:pPr>
        <w:pStyle w:val="TableCaption"/>
      </w:pPr>
      <w:r>
        <w:rPr>
          <w:i/>
        </w:rPr>
        <w:t xml:space="preserve">Gender</w:t>
      </w:r>
    </w:p>
    <w:tbl>
      <w:tblPr>
        <w:tblStyle w:val="TableNormal"/>
        <w:tblW w:type="pct" w:w="0.0"/>
        <w:tblLook w:firstRow="1"/>
        <w:tblCaption w:val="Gender"/>
      </w:tblPr>
      <w:tblGrid/>
      <w:tr>
        <w:trPr>
          <w:cnfStyle w:firstRow="1"/>
        </w:trPr>
        <w:tc>
          <w:tcPr>
            <w:tcBorders>
              <w:bottom w:val="single"/>
            </w:tcBorders>
            <w:vAlign w:val="bottom"/>
          </w:tcPr>
          <w:p>
            <w:pPr>
              <w:pStyle w:val="Compact"/>
              <w:jc w:val="left"/>
            </w:pPr>
            <w:r>
              <w:t xml:space="preserve">Gender</w:t>
            </w:r>
          </w:p>
        </w:tc>
        <w:tc>
          <w:tcPr>
            <w:tcBorders>
              <w:bottom w:val="single"/>
            </w:tcBorders>
            <w:vAlign w:val="bottom"/>
          </w:tcPr>
          <w:p>
            <w:pPr>
              <w:pStyle w:val="Compact"/>
              <w:jc w:val="left"/>
            </w:pPr>
            <w:r>
              <w:t xml:space="preserve">population (%)</w:t>
            </w:r>
          </w:p>
        </w:tc>
        <w:tc>
          <w:tcPr>
            <w:tcBorders>
              <w:bottom w:val="single"/>
            </w:tcBorders>
            <w:vAlign w:val="bottom"/>
          </w:tcPr>
          <w:p>
            <w:pPr>
              <w:pStyle w:val="Compact"/>
              <w:jc w:val="left"/>
            </w:pPr>
            <w:r>
              <w:t xml:space="preserve">promoted (%)</w:t>
            </w:r>
          </w:p>
        </w:tc>
      </w:tr>
      <w:tr>
        <w:tc>
          <w:p>
            <w:pPr>
              <w:pStyle w:val="Compact"/>
              <w:jc w:val="left"/>
            </w:pPr>
            <w:r>
              <w:t xml:space="preserve">Male (M)</w:t>
            </w:r>
          </w:p>
        </w:tc>
        <w:tc>
          <w:p>
            <w:pPr>
              <w:pStyle w:val="Compact"/>
              <w:jc w:val="left"/>
            </w:pPr>
            <w:r>
              <w:t xml:space="preserve">39.62</w:t>
            </w:r>
          </w:p>
        </w:tc>
        <w:tc>
          <w:p>
            <w:pPr>
              <w:pStyle w:val="Compact"/>
              <w:jc w:val="left"/>
            </w:pPr>
            <w:r>
              <w:t xml:space="preserve">1.39</w:t>
            </w:r>
          </w:p>
        </w:tc>
      </w:tr>
      <w:tr>
        <w:tc>
          <w:p>
            <w:pPr>
              <w:pStyle w:val="Compact"/>
              <w:jc w:val="left"/>
            </w:pPr>
            <w:r>
              <w:t xml:space="preserve">Female (F)</w:t>
            </w:r>
          </w:p>
        </w:tc>
        <w:tc>
          <w:p>
            <w:pPr>
              <w:pStyle w:val="Compact"/>
              <w:jc w:val="left"/>
            </w:pPr>
            <w:r>
              <w:t xml:space="preserve">60.38</w:t>
            </w:r>
          </w:p>
        </w:tc>
        <w:tc>
          <w:p>
            <w:pPr>
              <w:pStyle w:val="Compact"/>
              <w:jc w:val="left"/>
            </w:pPr>
            <w:r>
              <w:t xml:space="preserve">1.76</w:t>
            </w:r>
          </w:p>
        </w:tc>
      </w:tr>
    </w:tbl>
    <w:p>
      <w:pPr>
        <w:pStyle w:val="BodyText"/>
      </w:pPr>
      <w:r>
        <w:rPr>
          <w:b/>
        </w:rPr>
        <w:t xml:space="preserve">Race (Categorical)</w:t>
      </w:r>
    </w:p>
    <w:p>
      <w:pPr>
        <w:pStyle w:val="BodyText"/>
      </w:pPr>
      <w:r>
        <w:t xml:space="preserve">Variable</w:t>
      </w:r>
      <w:r>
        <w:t xml:space="preserve"> </w:t>
      </w:r>
      <w:r>
        <w:rPr>
          <w:i/>
        </w:rPr>
        <w:t xml:space="preserve">Race</w:t>
      </w:r>
      <w:r>
        <w:t xml:space="preserve"> </w:t>
      </w:r>
      <w:r>
        <w:t xml:space="preserve">has 6 levels - Hispanic or Latino (1), American Indian or Alaska Native (2), Asian (3), Black or African American (4), Native Hawaiian or Other Pacific Islander (5), and White (6). Because there are significantly less people with race level (1) to (5) than people with race level (6), it is regrouped into two levels - Non-white (0), and White (1).</w:t>
      </w:r>
    </w:p>
    <w:p>
      <w:pPr>
        <w:pStyle w:val="TableCaption"/>
      </w:pPr>
      <w:r>
        <w:rPr>
          <w:i/>
        </w:rPr>
        <w:t xml:space="preserve">Race before regrouping</w:t>
      </w:r>
    </w:p>
    <w:tbl>
      <w:tblPr>
        <w:tblStyle w:val="TableNormal"/>
        <w:tblW w:type="pct" w:w="0.0"/>
        <w:tblLook w:firstRow="1"/>
        <w:tblCaption w:val="Race before regrouping"/>
      </w:tblPr>
      <w:tblGrid/>
      <w:tr>
        <w:trPr>
          <w:cnfStyle w:firstRow="1"/>
        </w:trPr>
        <w:tc>
          <w:tcPr>
            <w:tcBorders>
              <w:bottom w:val="single"/>
            </w:tcBorders>
            <w:vAlign w:val="bottom"/>
          </w:tcPr>
          <w:p>
            <w:pPr>
              <w:pStyle w:val="Compact"/>
              <w:jc w:val="left"/>
            </w:pPr>
            <w:r>
              <w:t xml:space="preserve">Race</w:t>
            </w:r>
          </w:p>
        </w:tc>
        <w:tc>
          <w:tcPr>
            <w:tcBorders>
              <w:bottom w:val="single"/>
            </w:tcBorders>
            <w:vAlign w:val="bottom"/>
          </w:tcPr>
          <w:p>
            <w:pPr>
              <w:pStyle w:val="Compact"/>
              <w:jc w:val="left"/>
            </w:pPr>
            <w:r>
              <w:t xml:space="preserve">population (%)</w:t>
            </w:r>
          </w:p>
        </w:tc>
        <w:tc>
          <w:tcPr>
            <w:tcBorders>
              <w:bottom w:val="single"/>
            </w:tcBorders>
            <w:vAlign w:val="bottom"/>
          </w:tcPr>
          <w:p>
            <w:pPr>
              <w:pStyle w:val="Compact"/>
              <w:jc w:val="left"/>
            </w:pPr>
            <w:r>
              <w:t xml:space="preserve">promoted (%)</w:t>
            </w:r>
          </w:p>
        </w:tc>
      </w:tr>
      <w:tr>
        <w:tc>
          <w:p>
            <w:pPr>
              <w:pStyle w:val="Compact"/>
              <w:jc w:val="left"/>
            </w:pPr>
            <w:r>
              <w:t xml:space="preserve">Hispanic/Latino (1)</w:t>
            </w:r>
          </w:p>
        </w:tc>
        <w:tc>
          <w:p>
            <w:pPr>
              <w:pStyle w:val="Compact"/>
              <w:jc w:val="left"/>
            </w:pPr>
            <w:r>
              <w:t xml:space="preserve">7.65</w:t>
            </w:r>
          </w:p>
        </w:tc>
        <w:tc>
          <w:p>
            <w:pPr>
              <w:pStyle w:val="Compact"/>
              <w:jc w:val="left"/>
            </w:pPr>
            <w:r>
              <w:t xml:space="preserve">0.91</w:t>
            </w:r>
          </w:p>
        </w:tc>
      </w:tr>
      <w:tr>
        <w:tc>
          <w:p>
            <w:pPr>
              <w:pStyle w:val="Compact"/>
              <w:jc w:val="left"/>
            </w:pPr>
            <w:r>
              <w:t xml:space="preserve">American Indian/Alaska Native (2)</w:t>
            </w:r>
          </w:p>
        </w:tc>
        <w:tc>
          <w:p>
            <w:pPr>
              <w:pStyle w:val="Compact"/>
              <w:jc w:val="left"/>
            </w:pPr>
            <w:r>
              <w:t xml:space="preserve">1.70</w:t>
            </w:r>
          </w:p>
        </w:tc>
        <w:tc>
          <w:p>
            <w:pPr>
              <w:pStyle w:val="Compact"/>
              <w:jc w:val="left"/>
            </w:pPr>
            <w:r>
              <w:t xml:space="preserve">1.07</w:t>
            </w:r>
          </w:p>
        </w:tc>
      </w:tr>
      <w:tr>
        <w:tc>
          <w:p>
            <w:pPr>
              <w:pStyle w:val="Compact"/>
              <w:jc w:val="left"/>
            </w:pPr>
            <w:r>
              <w:t xml:space="preserve">Asian (3)</w:t>
            </w:r>
          </w:p>
        </w:tc>
        <w:tc>
          <w:p>
            <w:pPr>
              <w:pStyle w:val="Compact"/>
              <w:jc w:val="left"/>
            </w:pPr>
            <w:r>
              <w:t xml:space="preserve">4.46</w:t>
            </w:r>
          </w:p>
        </w:tc>
        <w:tc>
          <w:p>
            <w:pPr>
              <w:pStyle w:val="Compact"/>
              <w:jc w:val="left"/>
            </w:pPr>
            <w:r>
              <w:t xml:space="preserve">0.82</w:t>
            </w:r>
          </w:p>
        </w:tc>
      </w:tr>
      <w:tr>
        <w:tc>
          <w:p>
            <w:pPr>
              <w:pStyle w:val="Compact"/>
              <w:jc w:val="left"/>
            </w:pPr>
            <w:r>
              <w:t xml:space="preserve">Black/African American (4)</w:t>
            </w:r>
          </w:p>
        </w:tc>
        <w:tc>
          <w:p>
            <w:pPr>
              <w:pStyle w:val="Compact"/>
              <w:jc w:val="left"/>
            </w:pPr>
            <w:r>
              <w:t xml:space="preserve">12.43</w:t>
            </w:r>
          </w:p>
        </w:tc>
        <w:tc>
          <w:p>
            <w:pPr>
              <w:pStyle w:val="Compact"/>
              <w:jc w:val="left"/>
            </w:pPr>
            <w:r>
              <w:t xml:space="preserve">1.38</w:t>
            </w:r>
          </w:p>
        </w:tc>
      </w:tr>
      <w:tr>
        <w:tc>
          <w:p>
            <w:pPr>
              <w:pStyle w:val="Compact"/>
              <w:jc w:val="left"/>
            </w:pPr>
            <w:r>
              <w:t xml:space="preserve">Native Hawaiian/Other Pacific Islander (5)</w:t>
            </w:r>
          </w:p>
        </w:tc>
        <w:tc>
          <w:p>
            <w:pPr>
              <w:pStyle w:val="Compact"/>
              <w:jc w:val="left"/>
            </w:pPr>
            <w:r>
              <w:t xml:space="preserve">0.05</w:t>
            </w:r>
          </w:p>
        </w:tc>
        <w:tc>
          <w:p>
            <w:pPr>
              <w:pStyle w:val="Compact"/>
              <w:jc w:val="left"/>
            </w:pPr>
            <w:r>
              <w:t xml:space="preserve">0</w:t>
            </w:r>
          </w:p>
        </w:tc>
      </w:tr>
      <w:tr>
        <w:tc>
          <w:p>
            <w:pPr>
              <w:pStyle w:val="Compact"/>
              <w:jc w:val="left"/>
            </w:pPr>
            <w:r>
              <w:t xml:space="preserve">White (6)</w:t>
            </w:r>
          </w:p>
        </w:tc>
        <w:tc>
          <w:p>
            <w:pPr>
              <w:pStyle w:val="Compact"/>
              <w:jc w:val="left"/>
            </w:pPr>
            <w:r>
              <w:t xml:space="preserve">73.69</w:t>
            </w:r>
          </w:p>
        </w:tc>
        <w:tc>
          <w:p>
            <w:pPr>
              <w:pStyle w:val="Compact"/>
              <w:jc w:val="left"/>
            </w:pPr>
            <w:r>
              <w:t xml:space="preserve">1.79</w:t>
            </w:r>
          </w:p>
        </w:tc>
      </w:tr>
    </w:tbl>
    <w:p>
      <w:pPr>
        <w:pStyle w:val="TableCaption"/>
      </w:pPr>
      <w:r>
        <w:rPr>
          <w:i/>
        </w:rPr>
        <w:t xml:space="preserve">Race after regrouping</w:t>
      </w:r>
    </w:p>
    <w:tbl>
      <w:tblPr>
        <w:tblStyle w:val="TableNormal"/>
        <w:tblW w:type="pct" w:w="0.0"/>
        <w:tblLook w:firstRow="1"/>
        <w:tblCaption w:val="Race after regrouping"/>
      </w:tblPr>
      <w:tblGrid/>
      <w:tr>
        <w:trPr>
          <w:cnfStyle w:firstRow="1"/>
        </w:trPr>
        <w:tc>
          <w:tcPr>
            <w:tcBorders>
              <w:bottom w:val="single"/>
            </w:tcBorders>
            <w:vAlign w:val="bottom"/>
          </w:tcPr>
          <w:p>
            <w:pPr>
              <w:pStyle w:val="Compact"/>
              <w:jc w:val="left"/>
            </w:pPr>
            <w:r>
              <w:t xml:space="preserve">Race</w:t>
            </w:r>
          </w:p>
        </w:tc>
        <w:tc>
          <w:tcPr>
            <w:tcBorders>
              <w:bottom w:val="single"/>
            </w:tcBorders>
            <w:vAlign w:val="bottom"/>
          </w:tcPr>
          <w:p>
            <w:pPr>
              <w:pStyle w:val="Compact"/>
              <w:jc w:val="left"/>
            </w:pPr>
            <w:r>
              <w:t xml:space="preserve">population (%)</w:t>
            </w:r>
          </w:p>
        </w:tc>
        <w:tc>
          <w:tcPr>
            <w:tcBorders>
              <w:bottom w:val="single"/>
            </w:tcBorders>
            <w:vAlign w:val="bottom"/>
          </w:tcPr>
          <w:p>
            <w:pPr>
              <w:pStyle w:val="Compact"/>
              <w:jc w:val="left"/>
            </w:pPr>
            <w:r>
              <w:t xml:space="preserve">promoted (%)</w:t>
            </w:r>
          </w:p>
        </w:tc>
      </w:tr>
      <w:tr>
        <w:tc>
          <w:p>
            <w:pPr>
              <w:pStyle w:val="Compact"/>
              <w:jc w:val="left"/>
            </w:pPr>
            <w:r>
              <w:t xml:space="preserve">Non-white (0)</w:t>
            </w:r>
          </w:p>
        </w:tc>
        <w:tc>
          <w:p>
            <w:pPr>
              <w:pStyle w:val="Compact"/>
              <w:jc w:val="left"/>
            </w:pPr>
            <w:r>
              <w:t xml:space="preserve">26.30</w:t>
            </w:r>
          </w:p>
        </w:tc>
        <w:tc>
          <w:p>
            <w:pPr>
              <w:pStyle w:val="Compact"/>
              <w:jc w:val="left"/>
            </w:pPr>
            <w:r>
              <w:t xml:space="preserve">1.13</w:t>
            </w:r>
          </w:p>
        </w:tc>
      </w:tr>
      <w:tr>
        <w:tc>
          <w:p>
            <w:pPr>
              <w:pStyle w:val="Compact"/>
              <w:jc w:val="left"/>
            </w:pPr>
            <w:r>
              <w:t xml:space="preserve">White (1)</w:t>
            </w:r>
          </w:p>
        </w:tc>
        <w:tc>
          <w:p>
            <w:pPr>
              <w:pStyle w:val="Compact"/>
              <w:jc w:val="left"/>
            </w:pPr>
            <w:r>
              <w:t xml:space="preserve">73.69</w:t>
            </w:r>
          </w:p>
        </w:tc>
        <w:tc>
          <w:p>
            <w:pPr>
              <w:pStyle w:val="Compact"/>
              <w:jc w:val="left"/>
            </w:pPr>
            <w:r>
              <w:t xml:space="preserve">1.79</w:t>
            </w:r>
          </w:p>
        </w:tc>
      </w:tr>
    </w:tbl>
    <w:p>
      <w:pPr>
        <w:pStyle w:val="BodyText"/>
      </w:pPr>
      <w:r>
        <w:rPr>
          <w:b/>
        </w:rPr>
        <w:t xml:space="preserve">Education Level (Categorical)</w:t>
      </w:r>
    </w:p>
    <w:p>
      <w:pPr>
        <w:pStyle w:val="BodyText"/>
      </w:pPr>
      <w:r>
        <w:t xml:space="preserve">Variable</w:t>
      </w:r>
      <w:r>
        <w:t xml:space="preserve"> </w:t>
      </w:r>
      <w:r>
        <w:rPr>
          <w:i/>
        </w:rPr>
        <w:t xml:space="preserve">Education Level</w:t>
      </w:r>
      <w:r>
        <w:t xml:space="preserve"> </w:t>
      </w:r>
      <w:r>
        <w:t xml:space="preserve">has 7 levels - High School Degree or less (0), More than High School, No Bachelor’s (1), Bachelor’s (2), Master’s (3), Professional Degree (4), Advanced Certification (5), and PhD (6). Because certain education levels have relatively small population size, it is regrouped from 7 to 5 levels based on each level’s characteristics: employees without Bachelor’s degree (level (0) and level (1)) are combined into one group, and employees with Professional Degree and Advanced Certification (Level (4) and (5)) are combined into another group.</w:t>
      </w:r>
    </w:p>
    <w:p>
      <w:pPr>
        <w:pStyle w:val="TableCaption"/>
      </w:pPr>
      <w:r>
        <w:rPr>
          <w:i/>
        </w:rPr>
        <w:t xml:space="preserve">Education Level before regrouping</w:t>
      </w:r>
    </w:p>
    <w:tbl>
      <w:tblPr>
        <w:tblStyle w:val="TableNormal"/>
        <w:tblW w:type="pct" w:w="0.0"/>
        <w:tblLook w:firstRow="1"/>
        <w:tblCaption w:val="Education Level before regrouping"/>
      </w:tblPr>
      <w:tblGrid/>
      <w:tr>
        <w:trPr>
          <w:cnfStyle w:firstRow="1"/>
        </w:trPr>
        <w:tc>
          <w:tcPr>
            <w:tcBorders>
              <w:bottom w:val="single"/>
            </w:tcBorders>
            <w:vAlign w:val="bottom"/>
          </w:tcPr>
          <w:p>
            <w:pPr>
              <w:pStyle w:val="Compact"/>
              <w:jc w:val="left"/>
            </w:pPr>
            <w:r>
              <w:t xml:space="preserve">Education Level</w:t>
            </w:r>
          </w:p>
        </w:tc>
        <w:tc>
          <w:tcPr>
            <w:tcBorders>
              <w:bottom w:val="single"/>
            </w:tcBorders>
            <w:vAlign w:val="bottom"/>
          </w:tcPr>
          <w:p>
            <w:pPr>
              <w:pStyle w:val="Compact"/>
              <w:jc w:val="left"/>
            </w:pPr>
            <w:r>
              <w:t xml:space="preserve">population (%)</w:t>
            </w:r>
          </w:p>
        </w:tc>
        <w:tc>
          <w:tcPr>
            <w:tcBorders>
              <w:bottom w:val="single"/>
            </w:tcBorders>
            <w:vAlign w:val="bottom"/>
          </w:tcPr>
          <w:p>
            <w:pPr>
              <w:pStyle w:val="Compact"/>
              <w:jc w:val="left"/>
            </w:pPr>
            <w:r>
              <w:t xml:space="preserve">promoted (%)</w:t>
            </w:r>
          </w:p>
        </w:tc>
      </w:tr>
      <w:tr>
        <w:tc>
          <w:p>
            <w:pPr>
              <w:pStyle w:val="Compact"/>
              <w:jc w:val="left"/>
            </w:pPr>
            <w:r>
              <w:t xml:space="preserve">High School Degree or less (0)</w:t>
            </w:r>
          </w:p>
        </w:tc>
        <w:tc>
          <w:p>
            <w:pPr>
              <w:pStyle w:val="Compact"/>
              <w:jc w:val="left"/>
            </w:pPr>
            <w:r>
              <w:t xml:space="preserve">8.56</w:t>
            </w:r>
          </w:p>
        </w:tc>
        <w:tc>
          <w:p>
            <w:pPr>
              <w:pStyle w:val="Compact"/>
              <w:jc w:val="left"/>
            </w:pPr>
            <w:r>
              <w:t xml:space="preserve">0.38</w:t>
            </w:r>
          </w:p>
        </w:tc>
      </w:tr>
      <w:tr>
        <w:tc>
          <w:p>
            <w:pPr>
              <w:pStyle w:val="Compact"/>
              <w:jc w:val="left"/>
            </w:pPr>
            <w:r>
              <w:t xml:space="preserve">More than High School, No Bachelor’s (1)</w:t>
            </w:r>
          </w:p>
        </w:tc>
        <w:tc>
          <w:p>
            <w:pPr>
              <w:pStyle w:val="Compact"/>
              <w:jc w:val="left"/>
            </w:pPr>
            <w:r>
              <w:t xml:space="preserve">18.57</w:t>
            </w:r>
          </w:p>
        </w:tc>
        <w:tc>
          <w:p>
            <w:pPr>
              <w:pStyle w:val="Compact"/>
              <w:jc w:val="left"/>
            </w:pPr>
            <w:r>
              <w:t xml:space="preserve">0.59</w:t>
            </w:r>
          </w:p>
        </w:tc>
      </w:tr>
      <w:tr>
        <w:tc>
          <w:p>
            <w:pPr>
              <w:pStyle w:val="Compact"/>
              <w:jc w:val="left"/>
            </w:pPr>
            <w:r>
              <w:t xml:space="preserve">Bachelor’s (2)</w:t>
            </w:r>
          </w:p>
        </w:tc>
        <w:tc>
          <w:p>
            <w:pPr>
              <w:pStyle w:val="Compact"/>
              <w:jc w:val="left"/>
            </w:pPr>
            <w:r>
              <w:t xml:space="preserve">40.44</w:t>
            </w:r>
          </w:p>
        </w:tc>
        <w:tc>
          <w:p>
            <w:pPr>
              <w:pStyle w:val="Compact"/>
              <w:jc w:val="left"/>
            </w:pPr>
            <w:r>
              <w:t xml:space="preserve">1.39</w:t>
            </w:r>
          </w:p>
        </w:tc>
      </w:tr>
      <w:tr>
        <w:tc>
          <w:p>
            <w:pPr>
              <w:pStyle w:val="Compact"/>
              <w:jc w:val="left"/>
            </w:pPr>
            <w:r>
              <w:t xml:space="preserve">Master’s (3)</w:t>
            </w:r>
          </w:p>
        </w:tc>
        <w:tc>
          <w:p>
            <w:pPr>
              <w:pStyle w:val="Compact"/>
              <w:jc w:val="left"/>
            </w:pPr>
            <w:r>
              <w:t xml:space="preserve">22.33</w:t>
            </w:r>
          </w:p>
        </w:tc>
        <w:tc>
          <w:p>
            <w:pPr>
              <w:pStyle w:val="Compact"/>
              <w:jc w:val="left"/>
            </w:pPr>
            <w:r>
              <w:t xml:space="preserve">2.31</w:t>
            </w:r>
          </w:p>
        </w:tc>
      </w:tr>
      <w:tr>
        <w:tc>
          <w:p>
            <w:pPr>
              <w:pStyle w:val="Compact"/>
              <w:jc w:val="left"/>
            </w:pPr>
            <w:r>
              <w:t xml:space="preserve">Professional Degree (4)</w:t>
            </w:r>
          </w:p>
        </w:tc>
        <w:tc>
          <w:p>
            <w:pPr>
              <w:pStyle w:val="Compact"/>
              <w:jc w:val="left"/>
            </w:pPr>
            <w:r>
              <w:t xml:space="preserve">5.05</w:t>
            </w:r>
          </w:p>
        </w:tc>
        <w:tc>
          <w:p>
            <w:pPr>
              <w:pStyle w:val="Compact"/>
              <w:jc w:val="left"/>
            </w:pPr>
            <w:r>
              <w:t xml:space="preserve">4.78</w:t>
            </w:r>
          </w:p>
        </w:tc>
      </w:tr>
      <w:tr>
        <w:tc>
          <w:p>
            <w:pPr>
              <w:pStyle w:val="Compact"/>
              <w:jc w:val="left"/>
            </w:pPr>
            <w:r>
              <w:t xml:space="preserve">Advanced Certification (5)</w:t>
            </w:r>
          </w:p>
        </w:tc>
        <w:tc>
          <w:p>
            <w:pPr>
              <w:pStyle w:val="Compact"/>
              <w:jc w:val="left"/>
            </w:pPr>
            <w:r>
              <w:t xml:space="preserve">0.25</w:t>
            </w:r>
          </w:p>
        </w:tc>
        <w:tc>
          <w:p>
            <w:pPr>
              <w:pStyle w:val="Compact"/>
              <w:jc w:val="left"/>
            </w:pPr>
            <w:r>
              <w:t xml:space="preserve">1.45</w:t>
            </w:r>
          </w:p>
        </w:tc>
      </w:tr>
      <w:tr>
        <w:tc>
          <w:p>
            <w:pPr>
              <w:pStyle w:val="Compact"/>
              <w:jc w:val="left"/>
            </w:pPr>
            <w:r>
              <w:t xml:space="preserve">PhD (6)</w:t>
            </w:r>
          </w:p>
        </w:tc>
        <w:tc>
          <w:p>
            <w:pPr>
              <w:pStyle w:val="Compact"/>
              <w:jc w:val="left"/>
            </w:pPr>
            <w:r>
              <w:t xml:space="preserve">4.79</w:t>
            </w:r>
          </w:p>
        </w:tc>
        <w:tc>
          <w:p>
            <w:pPr>
              <w:pStyle w:val="Compact"/>
              <w:jc w:val="left"/>
            </w:pPr>
            <w:r>
              <w:t xml:space="preserve">3.05</w:t>
            </w:r>
          </w:p>
        </w:tc>
      </w:tr>
    </w:tbl>
    <w:p>
      <w:pPr>
        <w:pStyle w:val="TableCaption"/>
      </w:pPr>
      <w:r>
        <w:rPr>
          <w:i/>
        </w:rPr>
        <w:t xml:space="preserve">Education Level after regrouping</w:t>
      </w:r>
    </w:p>
    <w:tbl>
      <w:tblPr>
        <w:tblStyle w:val="TableNormal"/>
        <w:tblW w:type="pct" w:w="0.0"/>
        <w:tblLook w:firstRow="1"/>
        <w:tblCaption w:val="Education Level after regrouping"/>
      </w:tblPr>
      <w:tblGrid/>
      <w:tr>
        <w:trPr>
          <w:cnfStyle w:firstRow="1"/>
        </w:trPr>
        <w:tc>
          <w:tcPr>
            <w:tcBorders>
              <w:bottom w:val="single"/>
            </w:tcBorders>
            <w:vAlign w:val="bottom"/>
          </w:tcPr>
          <w:p>
            <w:pPr>
              <w:pStyle w:val="Compact"/>
              <w:jc w:val="left"/>
            </w:pPr>
            <w:r>
              <w:t xml:space="preserve">Education Level</w:t>
            </w:r>
          </w:p>
        </w:tc>
        <w:tc>
          <w:tcPr>
            <w:tcBorders>
              <w:bottom w:val="single"/>
            </w:tcBorders>
            <w:vAlign w:val="bottom"/>
          </w:tcPr>
          <w:p>
            <w:pPr>
              <w:pStyle w:val="Compact"/>
              <w:jc w:val="left"/>
            </w:pPr>
            <w:r>
              <w:t xml:space="preserve">population (%)</w:t>
            </w:r>
          </w:p>
        </w:tc>
        <w:tc>
          <w:tcPr>
            <w:tcBorders>
              <w:bottom w:val="single"/>
            </w:tcBorders>
            <w:vAlign w:val="bottom"/>
          </w:tcPr>
          <w:p>
            <w:pPr>
              <w:pStyle w:val="Compact"/>
              <w:jc w:val="left"/>
            </w:pPr>
            <w:r>
              <w:t xml:space="preserve">promoted (%)</w:t>
            </w:r>
          </w:p>
        </w:tc>
      </w:tr>
      <w:tr>
        <w:tc>
          <w:p>
            <w:pPr>
              <w:pStyle w:val="Compact"/>
              <w:jc w:val="left"/>
            </w:pPr>
            <w:r>
              <w:t xml:space="preserve">Less than Bachelor’s (A)</w:t>
            </w:r>
          </w:p>
        </w:tc>
        <w:tc>
          <w:p>
            <w:pPr>
              <w:pStyle w:val="Compact"/>
              <w:jc w:val="left"/>
            </w:pPr>
            <w:r>
              <w:t xml:space="preserve">27.14</w:t>
            </w:r>
          </w:p>
        </w:tc>
        <w:tc>
          <w:p>
            <w:pPr>
              <w:pStyle w:val="Compact"/>
              <w:jc w:val="left"/>
            </w:pPr>
            <w:r>
              <w:t xml:space="preserve">0.53</w:t>
            </w:r>
          </w:p>
        </w:tc>
      </w:tr>
      <w:tr>
        <w:tc>
          <w:p>
            <w:pPr>
              <w:pStyle w:val="Compact"/>
              <w:jc w:val="left"/>
            </w:pPr>
            <w:r>
              <w:t xml:space="preserve">Bachelor’s (B)</w:t>
            </w:r>
          </w:p>
        </w:tc>
        <w:tc>
          <w:p>
            <w:pPr>
              <w:pStyle w:val="Compact"/>
              <w:jc w:val="left"/>
            </w:pPr>
            <w:r>
              <w:t xml:space="preserve">40.44</w:t>
            </w:r>
          </w:p>
        </w:tc>
        <w:tc>
          <w:p>
            <w:pPr>
              <w:pStyle w:val="Compact"/>
              <w:jc w:val="left"/>
            </w:pPr>
            <w:r>
              <w:t xml:space="preserve">1.39</w:t>
            </w:r>
          </w:p>
        </w:tc>
      </w:tr>
      <w:tr>
        <w:tc>
          <w:p>
            <w:pPr>
              <w:pStyle w:val="Compact"/>
              <w:jc w:val="left"/>
            </w:pPr>
            <w:r>
              <w:t xml:space="preserve">Master’s (C)</w:t>
            </w:r>
          </w:p>
        </w:tc>
        <w:tc>
          <w:p>
            <w:pPr>
              <w:pStyle w:val="Compact"/>
              <w:jc w:val="left"/>
            </w:pPr>
            <w:r>
              <w:t xml:space="preserve">22.33</w:t>
            </w:r>
          </w:p>
        </w:tc>
        <w:tc>
          <w:p>
            <w:pPr>
              <w:pStyle w:val="Compact"/>
              <w:jc w:val="left"/>
            </w:pPr>
            <w:r>
              <w:t xml:space="preserve">2.31</w:t>
            </w:r>
          </w:p>
        </w:tc>
      </w:tr>
      <w:tr>
        <w:tc>
          <w:p>
            <w:pPr>
              <w:pStyle w:val="Compact"/>
              <w:jc w:val="left"/>
            </w:pPr>
            <w:r>
              <w:t xml:space="preserve">Professional Degree &amp; Advanced Certification (D)</w:t>
            </w:r>
          </w:p>
        </w:tc>
        <w:tc>
          <w:p>
            <w:pPr>
              <w:pStyle w:val="Compact"/>
              <w:jc w:val="left"/>
            </w:pPr>
            <w:r>
              <w:t xml:space="preserve">5.30</w:t>
            </w:r>
          </w:p>
        </w:tc>
        <w:tc>
          <w:p>
            <w:pPr>
              <w:pStyle w:val="Compact"/>
              <w:jc w:val="left"/>
            </w:pPr>
            <w:r>
              <w:t xml:space="preserve">4.62</w:t>
            </w:r>
          </w:p>
        </w:tc>
      </w:tr>
      <w:tr>
        <w:tc>
          <w:p>
            <w:pPr>
              <w:pStyle w:val="Compact"/>
              <w:jc w:val="left"/>
            </w:pPr>
            <w:r>
              <w:t xml:space="preserve">PhD (E)</w:t>
            </w:r>
          </w:p>
        </w:tc>
        <w:tc>
          <w:p>
            <w:pPr>
              <w:pStyle w:val="Compact"/>
              <w:jc w:val="left"/>
            </w:pPr>
            <w:r>
              <w:t xml:space="preserve">4.79</w:t>
            </w:r>
          </w:p>
        </w:tc>
        <w:tc>
          <w:p>
            <w:pPr>
              <w:pStyle w:val="Compact"/>
              <w:jc w:val="left"/>
            </w:pPr>
            <w:r>
              <w:t xml:space="preserve">3.05</w:t>
            </w:r>
          </w:p>
        </w:tc>
      </w:tr>
    </w:tbl>
    <w:p>
      <w:pPr>
        <w:pStyle w:val="BodyText"/>
      </w:pPr>
      <w:r>
        <w:rPr>
          <w:b/>
        </w:rPr>
        <w:t xml:space="preserve">Department Switch (Categorical)</w:t>
      </w:r>
    </w:p>
    <w:p>
      <w:pPr>
        <w:pStyle w:val="BodyText"/>
      </w:pPr>
      <w:r>
        <w:t xml:space="preserve">Variable</w:t>
      </w:r>
      <w:r>
        <w:t xml:space="preserve"> </w:t>
      </w:r>
      <w:r>
        <w:rPr>
          <w:i/>
        </w:rPr>
        <w:t xml:space="preserve">Department Switch</w:t>
      </w:r>
      <w:r>
        <w:t xml:space="preserve"> </w:t>
      </w:r>
      <w:r>
        <w:t xml:space="preserve">indicates whether employees switch department between working year 1 and working year 10. The majority did not switch department. Regardless of department switch, each group has similar proportion of people promoted into the SES position.</w:t>
      </w:r>
    </w:p>
    <w:p>
      <w:pPr>
        <w:pStyle w:val="TableCaption"/>
      </w:pPr>
      <w:r>
        <w:rPr>
          <w:i/>
        </w:rPr>
        <w:t xml:space="preserve">Department Switch</w:t>
      </w:r>
    </w:p>
    <w:tbl>
      <w:tblPr>
        <w:tblStyle w:val="TableNormal"/>
        <w:tblW w:type="pct" w:w="0.0"/>
        <w:tblLook w:firstRow="1"/>
        <w:tblCaption w:val="Department Switch"/>
      </w:tblPr>
      <w:tblGrid/>
      <w:tr>
        <w:trPr>
          <w:cnfStyle w:firstRow="1"/>
        </w:trPr>
        <w:tc>
          <w:tcPr>
            <w:tcBorders>
              <w:bottom w:val="single"/>
            </w:tcBorders>
            <w:vAlign w:val="bottom"/>
          </w:tcPr>
          <w:p>
            <w:pPr>
              <w:pStyle w:val="Compact"/>
              <w:jc w:val="left"/>
            </w:pPr>
            <w:r>
              <w:t xml:space="preserve">Department Switch</w:t>
            </w:r>
          </w:p>
        </w:tc>
        <w:tc>
          <w:tcPr>
            <w:tcBorders>
              <w:bottom w:val="single"/>
            </w:tcBorders>
            <w:vAlign w:val="bottom"/>
          </w:tcPr>
          <w:p>
            <w:pPr>
              <w:pStyle w:val="Compact"/>
              <w:jc w:val="left"/>
            </w:pPr>
            <w:r>
              <w:t xml:space="preserve">population (%)</w:t>
            </w:r>
          </w:p>
        </w:tc>
        <w:tc>
          <w:tcPr>
            <w:tcBorders>
              <w:bottom w:val="single"/>
            </w:tcBorders>
            <w:vAlign w:val="bottom"/>
          </w:tcPr>
          <w:p>
            <w:pPr>
              <w:pStyle w:val="Compact"/>
              <w:jc w:val="left"/>
            </w:pPr>
            <w:r>
              <w:t xml:space="preserve">promoted (%)</w:t>
            </w:r>
          </w:p>
        </w:tc>
      </w:tr>
      <w:tr>
        <w:tc>
          <w:p>
            <w:pPr>
              <w:pStyle w:val="Compact"/>
              <w:jc w:val="left"/>
            </w:pPr>
            <w:r>
              <w:t xml:space="preserve">No Switch</w:t>
            </w:r>
          </w:p>
        </w:tc>
        <w:tc>
          <w:p>
            <w:pPr>
              <w:pStyle w:val="Compact"/>
              <w:jc w:val="left"/>
            </w:pPr>
            <w:r>
              <w:t xml:space="preserve">91.17</w:t>
            </w:r>
          </w:p>
        </w:tc>
        <w:tc>
          <w:p>
            <w:pPr>
              <w:pStyle w:val="Compact"/>
              <w:jc w:val="left"/>
            </w:pPr>
            <w:r>
              <w:t xml:space="preserve">1.6</w:t>
            </w:r>
          </w:p>
        </w:tc>
      </w:tr>
      <w:tr>
        <w:tc>
          <w:p>
            <w:pPr>
              <w:pStyle w:val="Compact"/>
              <w:jc w:val="left"/>
            </w:pPr>
            <w:r>
              <w:t xml:space="preserve">Switch</w:t>
            </w:r>
          </w:p>
        </w:tc>
        <w:tc>
          <w:p>
            <w:pPr>
              <w:pStyle w:val="Compact"/>
              <w:jc w:val="left"/>
            </w:pPr>
            <w:r>
              <w:t xml:space="preserve">8.83</w:t>
            </w:r>
          </w:p>
        </w:tc>
        <w:tc>
          <w:p>
            <w:pPr>
              <w:pStyle w:val="Compact"/>
              <w:jc w:val="left"/>
            </w:pPr>
            <w:r>
              <w:t xml:space="preserve">1.7</w:t>
            </w:r>
          </w:p>
        </w:tc>
      </w:tr>
    </w:tbl>
    <w:p>
      <w:pPr>
        <w:pStyle w:val="BodyText"/>
      </w:pPr>
      <w:r>
        <w:rPr>
          <w:b/>
        </w:rPr>
        <w:t xml:space="preserve">Occupational Category (Categorical)</w:t>
      </w:r>
    </w:p>
    <w:p>
      <w:pPr>
        <w:pStyle w:val="BodyText"/>
      </w:pPr>
      <w:r>
        <w:t xml:space="preserve">Variable</w:t>
      </w:r>
      <w:r>
        <w:t xml:space="preserve"> </w:t>
      </w:r>
      <w:r>
        <w:rPr>
          <w:i/>
        </w:rPr>
        <w:t xml:space="preserve">Occupational Category</w:t>
      </w:r>
      <w:r>
        <w:t xml:space="preserve"> </w:t>
      </w:r>
      <w:r>
        <w:t xml:space="preserve">has 3 levels - Administrative (A), Professional (P), and Other White Collar (O).</w:t>
      </w:r>
    </w:p>
    <w:p>
      <w:pPr>
        <w:pStyle w:val="TableCaption"/>
      </w:pPr>
      <w:r>
        <w:rPr>
          <w:i/>
        </w:rPr>
        <w:t xml:space="preserve">Occupational Category</w:t>
      </w:r>
    </w:p>
    <w:tbl>
      <w:tblPr>
        <w:tblStyle w:val="TableNormal"/>
        <w:tblW w:type="pct" w:w="0.0"/>
        <w:tblLook w:firstRow="1"/>
        <w:tblCaption w:val="Occupational Category"/>
      </w:tblPr>
      <w:tblGrid/>
      <w:tr>
        <w:trPr>
          <w:cnfStyle w:firstRow="1"/>
        </w:trPr>
        <w:tc>
          <w:tcPr>
            <w:tcBorders>
              <w:bottom w:val="single"/>
            </w:tcBorders>
            <w:vAlign w:val="bottom"/>
          </w:tcPr>
          <w:p>
            <w:pPr>
              <w:pStyle w:val="Compact"/>
              <w:jc w:val="left"/>
            </w:pPr>
            <w:r>
              <w:t xml:space="preserve">Occupational Category</w:t>
            </w:r>
          </w:p>
        </w:tc>
        <w:tc>
          <w:tcPr>
            <w:tcBorders>
              <w:bottom w:val="single"/>
            </w:tcBorders>
            <w:vAlign w:val="bottom"/>
          </w:tcPr>
          <w:p>
            <w:pPr>
              <w:pStyle w:val="Compact"/>
              <w:jc w:val="left"/>
            </w:pPr>
            <w:r>
              <w:t xml:space="preserve">population (%)</w:t>
            </w:r>
          </w:p>
        </w:tc>
        <w:tc>
          <w:tcPr>
            <w:tcBorders>
              <w:bottom w:val="single"/>
            </w:tcBorders>
            <w:vAlign w:val="bottom"/>
          </w:tcPr>
          <w:p>
            <w:pPr>
              <w:pStyle w:val="Compact"/>
              <w:jc w:val="left"/>
            </w:pPr>
            <w:r>
              <w:t xml:space="preserve">promoted (%)</w:t>
            </w:r>
          </w:p>
        </w:tc>
      </w:tr>
      <w:tr>
        <w:tc>
          <w:p>
            <w:pPr>
              <w:pStyle w:val="Compact"/>
              <w:jc w:val="left"/>
            </w:pPr>
            <w:r>
              <w:t xml:space="preserve">Administrative (A)</w:t>
            </w:r>
          </w:p>
        </w:tc>
        <w:tc>
          <w:p>
            <w:pPr>
              <w:pStyle w:val="Compact"/>
              <w:jc w:val="left"/>
            </w:pPr>
            <w:r>
              <w:t xml:space="preserve">58.06</w:t>
            </w:r>
          </w:p>
        </w:tc>
        <w:tc>
          <w:p>
            <w:pPr>
              <w:pStyle w:val="Compact"/>
              <w:jc w:val="left"/>
            </w:pPr>
            <w:r>
              <w:t xml:space="preserve">1.71</w:t>
            </w:r>
          </w:p>
        </w:tc>
      </w:tr>
      <w:tr>
        <w:tc>
          <w:p>
            <w:pPr>
              <w:pStyle w:val="Compact"/>
              <w:jc w:val="left"/>
            </w:pPr>
            <w:r>
              <w:t xml:space="preserve">Professional (P)</w:t>
            </w:r>
          </w:p>
        </w:tc>
        <w:tc>
          <w:p>
            <w:pPr>
              <w:pStyle w:val="Compact"/>
              <w:jc w:val="left"/>
            </w:pPr>
            <w:r>
              <w:t xml:space="preserve">38.97</w:t>
            </w:r>
          </w:p>
        </w:tc>
        <w:tc>
          <w:p>
            <w:pPr>
              <w:pStyle w:val="Compact"/>
              <w:jc w:val="left"/>
            </w:pPr>
            <w:r>
              <w:t xml:space="preserve">1.56</w:t>
            </w:r>
          </w:p>
        </w:tc>
      </w:tr>
      <w:tr>
        <w:tc>
          <w:p>
            <w:pPr>
              <w:pStyle w:val="Compact"/>
              <w:jc w:val="left"/>
            </w:pPr>
            <w:r>
              <w:t xml:space="preserve">Other (O)</w:t>
            </w:r>
          </w:p>
        </w:tc>
        <w:tc>
          <w:p>
            <w:pPr>
              <w:pStyle w:val="Compact"/>
              <w:jc w:val="left"/>
            </w:pPr>
            <w:r>
              <w:t xml:space="preserve">2.97</w:t>
            </w:r>
          </w:p>
        </w:tc>
        <w:tc>
          <w:p>
            <w:pPr>
              <w:pStyle w:val="Compact"/>
              <w:jc w:val="left"/>
            </w:pPr>
            <w:r>
              <w:t xml:space="preserve">0.49</w:t>
            </w:r>
          </w:p>
        </w:tc>
      </w:tr>
    </w:tbl>
    <w:p>
      <w:pPr>
        <w:pStyle w:val="BodyText"/>
      </w:pPr>
      <w:r>
        <w:rPr>
          <w:b/>
        </w:rPr>
        <w:t xml:space="preserve">Supervisory Status (Categorical)</w:t>
      </w:r>
    </w:p>
    <w:p>
      <w:pPr>
        <w:pStyle w:val="BodyText"/>
      </w:pPr>
      <w:r>
        <w:t xml:space="preserve">Variable</w:t>
      </w:r>
      <w:r>
        <w:t xml:space="preserve"> </w:t>
      </w:r>
      <w:r>
        <w:rPr>
          <w:i/>
        </w:rPr>
        <w:t xml:space="preserve">Supervisory Status</w:t>
      </w:r>
      <w:r>
        <w:t xml:space="preserve"> </w:t>
      </w:r>
      <w:r>
        <w:t xml:space="preserve">indicates whether employees hold supervisory position at working year 10. Employees with supervisory positions have higher proportion of ones than people without supervisory positions.</w:t>
      </w:r>
    </w:p>
    <w:p>
      <w:pPr>
        <w:pStyle w:val="TableCaption"/>
      </w:pPr>
      <w:r>
        <w:rPr>
          <w:i/>
        </w:rPr>
        <w:t xml:space="preserve">Supervisory Status</w:t>
      </w:r>
    </w:p>
    <w:tbl>
      <w:tblPr>
        <w:tblStyle w:val="TableNormal"/>
        <w:tblW w:type="pct" w:w="0.0"/>
        <w:tblLook w:firstRow="1"/>
        <w:tblCaption w:val="Supervisory Status"/>
      </w:tblPr>
      <w:tblGrid/>
      <w:tr>
        <w:trPr>
          <w:cnfStyle w:firstRow="1"/>
        </w:trPr>
        <w:tc>
          <w:tcPr>
            <w:tcBorders>
              <w:bottom w:val="single"/>
            </w:tcBorders>
            <w:vAlign w:val="bottom"/>
          </w:tcPr>
          <w:p>
            <w:pPr>
              <w:pStyle w:val="Compact"/>
              <w:jc w:val="left"/>
            </w:pPr>
            <w:r>
              <w:t xml:space="preserve">Supervisory Status</w:t>
            </w:r>
          </w:p>
        </w:tc>
        <w:tc>
          <w:tcPr>
            <w:tcBorders>
              <w:bottom w:val="single"/>
            </w:tcBorders>
            <w:vAlign w:val="bottom"/>
          </w:tcPr>
          <w:p>
            <w:pPr>
              <w:pStyle w:val="Compact"/>
              <w:jc w:val="left"/>
            </w:pPr>
            <w:r>
              <w:t xml:space="preserve">population (%)</w:t>
            </w:r>
          </w:p>
        </w:tc>
        <w:tc>
          <w:tcPr>
            <w:tcBorders>
              <w:bottom w:val="single"/>
            </w:tcBorders>
            <w:vAlign w:val="bottom"/>
          </w:tcPr>
          <w:p>
            <w:pPr>
              <w:pStyle w:val="Compact"/>
              <w:jc w:val="left"/>
            </w:pPr>
            <w:r>
              <w:t xml:space="preserve">promoted (%)</w:t>
            </w:r>
          </w:p>
        </w:tc>
      </w:tr>
      <w:tr>
        <w:tc>
          <w:p>
            <w:pPr>
              <w:pStyle w:val="Compact"/>
              <w:jc w:val="left"/>
            </w:pPr>
            <w:r>
              <w:t xml:space="preserve">Supervisor</w:t>
            </w:r>
          </w:p>
        </w:tc>
        <w:tc>
          <w:p>
            <w:pPr>
              <w:pStyle w:val="Compact"/>
              <w:jc w:val="left"/>
            </w:pPr>
            <w:r>
              <w:t xml:space="preserve">14.34</w:t>
            </w:r>
          </w:p>
        </w:tc>
        <w:tc>
          <w:p>
            <w:pPr>
              <w:pStyle w:val="Compact"/>
              <w:jc w:val="left"/>
            </w:pPr>
            <w:r>
              <w:t xml:space="preserve">5.69</w:t>
            </w:r>
          </w:p>
        </w:tc>
      </w:tr>
      <w:tr>
        <w:tc>
          <w:p>
            <w:pPr>
              <w:pStyle w:val="Compact"/>
              <w:jc w:val="left"/>
            </w:pPr>
            <w:r>
              <w:t xml:space="preserve">Non-supervisor</w:t>
            </w:r>
          </w:p>
        </w:tc>
        <w:tc>
          <w:p>
            <w:pPr>
              <w:pStyle w:val="Compact"/>
              <w:jc w:val="left"/>
            </w:pPr>
            <w:r>
              <w:t xml:space="preserve">85.66</w:t>
            </w:r>
          </w:p>
        </w:tc>
        <w:tc>
          <w:p>
            <w:pPr>
              <w:pStyle w:val="Compact"/>
              <w:jc w:val="left"/>
            </w:pPr>
            <w:r>
              <w:t xml:space="preserve">0.93</w:t>
            </w:r>
          </w:p>
        </w:tc>
      </w:tr>
    </w:tbl>
    <w:p>
      <w:pPr>
        <w:pStyle w:val="BodyText"/>
      </w:pPr>
      <w:r>
        <w:rPr>
          <w:b/>
        </w:rPr>
        <w:t xml:space="preserve">Year 10 Grade (Categorical)</w:t>
      </w:r>
    </w:p>
    <w:p>
      <w:pPr>
        <w:pStyle w:val="BodyText"/>
      </w:pPr>
      <w:r>
        <w:t xml:space="preserve">Variable</w:t>
      </w:r>
      <w:r>
        <w:t xml:space="preserve"> </w:t>
      </w:r>
      <w:r>
        <w:rPr>
          <w:i/>
        </w:rPr>
        <w:t xml:space="preserve">Year 10 Grade</w:t>
      </w:r>
      <w:r>
        <w:t xml:space="preserve"> </w:t>
      </w:r>
      <w:r>
        <w:t xml:space="preserve">consists of 7 levels - grade 9 - 15. The proportion of ones for grade 9 to 12 is small, but increases significantly for grade 13 to 15. It is regrouped into three levels - 0 (Grade 9 - 12), 1 (Grade 13 &amp; 14), and 2 (Grade 15).</w:t>
      </w:r>
    </w:p>
    <w:p>
      <w:pPr>
        <w:pStyle w:val="TableCaption"/>
      </w:pPr>
      <w:r>
        <w:rPr>
          <w:i/>
        </w:rPr>
        <w:t xml:space="preserve">Year 10 Grade before regrouping</w:t>
      </w:r>
    </w:p>
    <w:tbl>
      <w:tblPr>
        <w:tblStyle w:val="TableNormal"/>
        <w:tblW w:type="pct" w:w="0.0"/>
        <w:tblLook w:firstRow="1"/>
        <w:tblCaption w:val="Year 10 Grade before regrouping"/>
      </w:tblPr>
      <w:tblGrid/>
      <w:tr>
        <w:trPr>
          <w:cnfStyle w:firstRow="1"/>
        </w:trPr>
        <w:tc>
          <w:tcPr>
            <w:tcBorders>
              <w:bottom w:val="single"/>
            </w:tcBorders>
            <w:vAlign w:val="bottom"/>
          </w:tcPr>
          <w:p>
            <w:pPr>
              <w:pStyle w:val="Compact"/>
              <w:jc w:val="left"/>
            </w:pPr>
            <w:r>
              <w:t xml:space="preserve">Year 10 Grade</w:t>
            </w:r>
          </w:p>
        </w:tc>
        <w:tc>
          <w:tcPr>
            <w:tcBorders>
              <w:bottom w:val="single"/>
            </w:tcBorders>
            <w:vAlign w:val="bottom"/>
          </w:tcPr>
          <w:p>
            <w:pPr>
              <w:pStyle w:val="Compact"/>
              <w:jc w:val="left"/>
            </w:pPr>
            <w:r>
              <w:t xml:space="preserve">population (%)</w:t>
            </w:r>
          </w:p>
        </w:tc>
        <w:tc>
          <w:tcPr>
            <w:tcBorders>
              <w:bottom w:val="single"/>
            </w:tcBorders>
            <w:vAlign w:val="bottom"/>
          </w:tcPr>
          <w:p>
            <w:pPr>
              <w:pStyle w:val="Compact"/>
              <w:jc w:val="left"/>
            </w:pPr>
            <w:r>
              <w:t xml:space="preserve">promoted (%)</w:t>
            </w:r>
          </w:p>
        </w:tc>
      </w:tr>
      <w:tr>
        <w:tc>
          <w:p>
            <w:pPr>
              <w:pStyle w:val="Compact"/>
              <w:jc w:val="left"/>
            </w:pPr>
            <w:r>
              <w:t xml:space="preserve">9</w:t>
            </w:r>
          </w:p>
        </w:tc>
        <w:tc>
          <w:p>
            <w:pPr>
              <w:pStyle w:val="Compact"/>
              <w:jc w:val="left"/>
            </w:pPr>
            <w:r>
              <w:t xml:space="preserve">16.46</w:t>
            </w:r>
          </w:p>
        </w:tc>
        <w:tc>
          <w:p>
            <w:pPr>
              <w:pStyle w:val="Compact"/>
              <w:jc w:val="left"/>
            </w:pPr>
            <w:r>
              <w:t xml:space="preserve">0.11</w:t>
            </w:r>
          </w:p>
        </w:tc>
      </w:tr>
      <w:tr>
        <w:tc>
          <w:p>
            <w:pPr>
              <w:pStyle w:val="Compact"/>
              <w:jc w:val="left"/>
            </w:pPr>
            <w:r>
              <w:t xml:space="preserve">10</w:t>
            </w:r>
          </w:p>
        </w:tc>
        <w:tc>
          <w:p>
            <w:pPr>
              <w:pStyle w:val="Compact"/>
              <w:jc w:val="left"/>
            </w:pPr>
            <w:r>
              <w:t xml:space="preserve">2.44</w:t>
            </w:r>
          </w:p>
        </w:tc>
        <w:tc>
          <w:p>
            <w:pPr>
              <w:pStyle w:val="Compact"/>
              <w:jc w:val="left"/>
            </w:pPr>
            <w:r>
              <w:t xml:space="preserve">0.30</w:t>
            </w:r>
          </w:p>
        </w:tc>
      </w:tr>
      <w:tr>
        <w:tc>
          <w:p>
            <w:pPr>
              <w:pStyle w:val="Compact"/>
              <w:jc w:val="left"/>
            </w:pPr>
            <w:r>
              <w:t xml:space="preserve">11</w:t>
            </w:r>
          </w:p>
        </w:tc>
        <w:tc>
          <w:p>
            <w:pPr>
              <w:pStyle w:val="Compact"/>
              <w:jc w:val="left"/>
            </w:pPr>
            <w:r>
              <w:t xml:space="preserve">22.88</w:t>
            </w:r>
          </w:p>
        </w:tc>
        <w:tc>
          <w:p>
            <w:pPr>
              <w:pStyle w:val="Compact"/>
              <w:jc w:val="left"/>
            </w:pPr>
            <w:r>
              <w:t xml:space="preserve">0.26</w:t>
            </w:r>
          </w:p>
        </w:tc>
      </w:tr>
      <w:tr>
        <w:tc>
          <w:p>
            <w:pPr>
              <w:pStyle w:val="Compact"/>
              <w:jc w:val="left"/>
            </w:pPr>
            <w:r>
              <w:t xml:space="preserve">12</w:t>
            </w:r>
          </w:p>
        </w:tc>
        <w:tc>
          <w:p>
            <w:pPr>
              <w:pStyle w:val="Compact"/>
              <w:jc w:val="left"/>
            </w:pPr>
            <w:r>
              <w:t xml:space="preserve">24.35</w:t>
            </w:r>
          </w:p>
        </w:tc>
        <w:tc>
          <w:p>
            <w:pPr>
              <w:pStyle w:val="Compact"/>
              <w:jc w:val="left"/>
            </w:pPr>
            <w:r>
              <w:t xml:space="preserve">0.75</w:t>
            </w:r>
          </w:p>
        </w:tc>
      </w:tr>
      <w:tr>
        <w:tc>
          <w:p>
            <w:pPr>
              <w:pStyle w:val="Compact"/>
              <w:jc w:val="left"/>
            </w:pPr>
            <w:r>
              <w:t xml:space="preserve">13</w:t>
            </w:r>
          </w:p>
        </w:tc>
        <w:tc>
          <w:p>
            <w:pPr>
              <w:pStyle w:val="Compact"/>
              <w:jc w:val="left"/>
            </w:pPr>
            <w:r>
              <w:t xml:space="preserve">20.81</w:t>
            </w:r>
          </w:p>
        </w:tc>
        <w:tc>
          <w:p>
            <w:pPr>
              <w:pStyle w:val="Compact"/>
              <w:jc w:val="left"/>
            </w:pPr>
            <w:r>
              <w:t xml:space="preserve">1.69</w:t>
            </w:r>
          </w:p>
        </w:tc>
      </w:tr>
      <w:tr>
        <w:tc>
          <w:p>
            <w:pPr>
              <w:pStyle w:val="Compact"/>
              <w:jc w:val="left"/>
            </w:pPr>
            <w:r>
              <w:t xml:space="preserve">14</w:t>
            </w:r>
          </w:p>
        </w:tc>
        <w:tc>
          <w:p>
            <w:pPr>
              <w:pStyle w:val="Compact"/>
              <w:jc w:val="left"/>
            </w:pPr>
            <w:r>
              <w:t xml:space="preserve">9.66</w:t>
            </w:r>
          </w:p>
        </w:tc>
        <w:tc>
          <w:p>
            <w:pPr>
              <w:pStyle w:val="Compact"/>
              <w:jc w:val="left"/>
            </w:pPr>
            <w:r>
              <w:t xml:space="preserve">4.77</w:t>
            </w:r>
          </w:p>
        </w:tc>
      </w:tr>
      <w:tr>
        <w:tc>
          <w:p>
            <w:pPr>
              <w:pStyle w:val="Compact"/>
              <w:jc w:val="left"/>
            </w:pPr>
            <w:r>
              <w:t xml:space="preserve">15</w:t>
            </w:r>
          </w:p>
        </w:tc>
        <w:tc>
          <w:p>
            <w:pPr>
              <w:pStyle w:val="Compact"/>
              <w:jc w:val="left"/>
            </w:pPr>
            <w:r>
              <w:t xml:space="preserve">3.39</w:t>
            </w:r>
          </w:p>
        </w:tc>
        <w:tc>
          <w:p>
            <w:pPr>
              <w:pStyle w:val="Compact"/>
              <w:jc w:val="left"/>
            </w:pPr>
            <w:r>
              <w:t xml:space="preserve">15.73</w:t>
            </w:r>
          </w:p>
        </w:tc>
      </w:tr>
    </w:tbl>
    <w:p>
      <w:pPr>
        <w:pStyle w:val="TableCaption"/>
      </w:pPr>
      <w:r>
        <w:rPr>
          <w:i/>
        </w:rPr>
        <w:t xml:space="preserve">Year 10 Grade after regrouping</w:t>
      </w:r>
    </w:p>
    <w:tbl>
      <w:tblPr>
        <w:tblStyle w:val="TableNormal"/>
        <w:tblW w:type="pct" w:w="0.0"/>
        <w:tblLook w:firstRow="1"/>
        <w:tblCaption w:val="Year 10 Grade after regrouping"/>
      </w:tblPr>
      <w:tblGrid/>
      <w:tr>
        <w:trPr>
          <w:cnfStyle w:firstRow="1"/>
        </w:trPr>
        <w:tc>
          <w:tcPr>
            <w:tcBorders>
              <w:bottom w:val="single"/>
            </w:tcBorders>
            <w:vAlign w:val="bottom"/>
          </w:tcPr>
          <w:p>
            <w:pPr>
              <w:pStyle w:val="Compact"/>
              <w:jc w:val="left"/>
            </w:pPr>
            <w:r>
              <w:t xml:space="preserve">Year 10 Grade</w:t>
            </w:r>
          </w:p>
        </w:tc>
        <w:tc>
          <w:tcPr>
            <w:tcBorders>
              <w:bottom w:val="single"/>
            </w:tcBorders>
            <w:vAlign w:val="bottom"/>
          </w:tcPr>
          <w:p>
            <w:pPr>
              <w:pStyle w:val="Compact"/>
              <w:jc w:val="left"/>
            </w:pPr>
            <w:r>
              <w:t xml:space="preserve">population (%)</w:t>
            </w:r>
          </w:p>
        </w:tc>
        <w:tc>
          <w:tcPr>
            <w:tcBorders>
              <w:bottom w:val="single"/>
            </w:tcBorders>
            <w:vAlign w:val="bottom"/>
          </w:tcPr>
          <w:p>
            <w:pPr>
              <w:pStyle w:val="Compact"/>
              <w:jc w:val="left"/>
            </w:pPr>
            <w:r>
              <w:t xml:space="preserve">promoted (%)</w:t>
            </w:r>
          </w:p>
        </w:tc>
      </w:tr>
      <w:tr>
        <w:tc>
          <w:p>
            <w:pPr>
              <w:pStyle w:val="Compact"/>
              <w:jc w:val="left"/>
            </w:pPr>
            <w:r>
              <w:t xml:space="preserve">0</w:t>
            </w:r>
          </w:p>
        </w:tc>
        <w:tc>
          <w:p>
            <w:pPr>
              <w:pStyle w:val="Compact"/>
              <w:jc w:val="left"/>
            </w:pPr>
            <w:r>
              <w:t xml:space="preserve">66.13</w:t>
            </w:r>
          </w:p>
        </w:tc>
        <w:tc>
          <w:p>
            <w:pPr>
              <w:pStyle w:val="Compact"/>
              <w:jc w:val="left"/>
            </w:pPr>
            <w:r>
              <w:t xml:space="preserve">0.4</w:t>
            </w:r>
          </w:p>
        </w:tc>
      </w:tr>
      <w:tr>
        <w:tc>
          <w:p>
            <w:pPr>
              <w:pStyle w:val="Compact"/>
              <w:jc w:val="left"/>
            </w:pPr>
            <w:r>
              <w:t xml:space="preserve">1</w:t>
            </w:r>
          </w:p>
        </w:tc>
        <w:tc>
          <w:p>
            <w:pPr>
              <w:pStyle w:val="Compact"/>
              <w:jc w:val="left"/>
            </w:pPr>
            <w:r>
              <w:t xml:space="preserve">30.48</w:t>
            </w:r>
          </w:p>
        </w:tc>
        <w:tc>
          <w:p>
            <w:pPr>
              <w:pStyle w:val="Compact"/>
              <w:jc w:val="left"/>
            </w:pPr>
            <w:r>
              <w:t xml:space="preserve">2.66</w:t>
            </w:r>
          </w:p>
        </w:tc>
      </w:tr>
      <w:tr>
        <w:tc>
          <w:p>
            <w:pPr>
              <w:pStyle w:val="Compact"/>
              <w:jc w:val="left"/>
            </w:pPr>
            <w:r>
              <w:t xml:space="preserve">2</w:t>
            </w:r>
          </w:p>
        </w:tc>
        <w:tc>
          <w:p>
            <w:pPr>
              <w:pStyle w:val="Compact"/>
              <w:jc w:val="left"/>
            </w:pPr>
            <w:r>
              <w:t xml:space="preserve">3.39</w:t>
            </w:r>
          </w:p>
        </w:tc>
        <w:tc>
          <w:p>
            <w:pPr>
              <w:pStyle w:val="Compact"/>
              <w:jc w:val="left"/>
            </w:pPr>
            <w:r>
              <w:t xml:space="preserve">15.73</w:t>
            </w:r>
          </w:p>
        </w:tc>
      </w:tr>
    </w:tbl>
    <w:p>
      <w:pPr>
        <w:pStyle w:val="BodyText"/>
      </w:pPr>
      <w:r>
        <w:rPr>
          <w:b/>
        </w:rPr>
        <w:t xml:space="preserve">Year 10 Salary (Continuous)</w:t>
      </w:r>
    </w:p>
    <w:p>
      <w:pPr>
        <w:pStyle w:val="BodyText"/>
      </w:pPr>
      <w:r>
        <w:t xml:space="preserve">Variable</w:t>
      </w:r>
      <w:r>
        <w:t xml:space="preserve"> </w:t>
      </w:r>
      <w:r>
        <w:rPr>
          <w:i/>
        </w:rPr>
        <w:t xml:space="preserve">Year 10 Salary</w:t>
      </w:r>
      <w:r>
        <w:t xml:space="preserve"> </w:t>
      </w:r>
      <w:r>
        <w:t xml:space="preserve">specifies employees’ salary at working year 10. Based on OPM’s 2011 General Schedule pay table, employees with grade 9 has minimum salary of $41,563, and employees with grade 15 has maximum salary of $129,517. Due to random noises produced by the imputation model, the imputed datasets consist of grade 9 employees with salary less than 41,563, and grade 15 employees with salary greater than 129,517. Since these outliers account for less than 0.1% of the total observations for each imputed dataset, no concerns on the robustness of the analysis are raised. In addition, combining multiple imputed datasets to form final analysis could help averaging out the random noises.</w:t>
      </w:r>
    </w:p>
    <w:p>
      <w:pPr>
        <w:pStyle w:val="BodyText"/>
      </w:pPr>
      <w:r>
        <w:t xml:space="preserve">The visualization graph (Figure</w:t>
      </w:r>
      <w:r>
        <w:t xml:space="preserve"> </w:t>
      </w:r>
      <w:r>
        <w:t xml:space="preserve">6</w:t>
      </w:r>
      <w:r>
        <w:t xml:space="preserve">) is produced based on the strategy mentioned before. The x-axis denotes 10 equally sized group, with each group representing certain salary ranges. (Year 10 Salary Table). The y-axis denotes the percentage of ones in each group. In general, employees with higher salary have higher percentage of ones. Group 1 to 8 have percentage of ones less than 2 %, whereas group 9 and 10 have percentage of ones larger than 2 %. The flat curve between group 1 and group 8 and the spike in group 9 and 10 indicate that the relationship between outcome variable and year 10 salary predictor is non-linear. To capture the non-linear relationship, we considered various transformation such as quadratic polynomial transformation, and semi-parametric piecewise spline function is the most effective in modeling this continuous predictor. The detailed descriptions of spline modeling will be mentioned in the next section.</w:t>
      </w:r>
    </w:p>
    <w:p>
      <w:pPr>
        <w:pStyle w:val="FigureWithCaption"/>
      </w:pPr>
      <w:r>
        <w:drawing>
          <wp:inline>
            <wp:extent cx="5334000" cy="3291840"/>
            <wp:effectExtent b="0" l="0" r="0" t="0"/>
            <wp:docPr descr="Figure 6 Year 10 Salary Binned Plot" title="" id="1" name="Picture"/>
            <a:graphic>
              <a:graphicData uri="http://schemas.openxmlformats.org/drawingml/2006/picture">
                <pic:pic>
                  <pic:nvPicPr>
                    <pic:cNvPr descr="figure/salary_binned1.png" id="0" name="Picture"/>
                    <pic:cNvPicPr>
                      <a:picLocks noChangeArrowheads="1" noChangeAspect="1"/>
                    </pic:cNvPicPr>
                  </pic:nvPicPr>
                  <pic:blipFill>
                    <a:blip r:embed="rId40"/>
                    <a:stretch>
                      <a:fillRect/>
                    </a:stretch>
                  </pic:blipFill>
                  <pic:spPr bwMode="auto">
                    <a:xfrm>
                      <a:off x="0" y="0"/>
                      <a:ext cx="5334000" cy="3291840"/>
                    </a:xfrm>
                    <a:prstGeom prst="rect">
                      <a:avLst/>
                    </a:prstGeom>
                    <a:noFill/>
                    <a:ln w="9525">
                      <a:noFill/>
                      <a:headEnd/>
                      <a:tailEnd/>
                    </a:ln>
                  </pic:spPr>
                </pic:pic>
              </a:graphicData>
            </a:graphic>
          </wp:inline>
        </w:drawing>
      </w:r>
    </w:p>
    <w:p>
      <w:pPr>
        <w:pStyle w:val="ImageCaption"/>
      </w:pPr>
      <w:r>
        <w:t xml:space="preserve">Figure 6 Year 10 Salary Binned Plot</w:t>
      </w:r>
    </w:p>
    <w:p>
      <w:pPr>
        <w:pStyle w:val="TableCaption"/>
      </w:pPr>
      <w:r>
        <w:rPr>
          <w:i/>
        </w:rPr>
        <w:t xml:space="preserve">Year 10 Salary Table</w:t>
      </w:r>
    </w:p>
    <w:tbl>
      <w:tblPr>
        <w:tblStyle w:val="TableNormal"/>
        <w:tblW w:type="pct" w:w="0.0"/>
        <w:tblLook w:firstRow="1"/>
        <w:tblCaption w:val="Year 10 Salary Table"/>
      </w:tblPr>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Salary Range</w:t>
            </w:r>
          </w:p>
        </w:tc>
        <w:tc>
          <w:tcPr>
            <w:tcBorders>
              <w:bottom w:val="single"/>
            </w:tcBorders>
            <w:vAlign w:val="bottom"/>
          </w:tcPr>
          <w:p>
            <w:pPr>
              <w:pStyle w:val="Compact"/>
              <w:jc w:val="left"/>
            </w:pPr>
            <w:r>
              <w:t xml:space="preserve">% promoted</w:t>
            </w:r>
          </w:p>
        </w:tc>
      </w:tr>
      <w:tr>
        <w:tc>
          <w:p>
            <w:pPr>
              <w:pStyle w:val="Compact"/>
              <w:jc w:val="left"/>
            </w:pPr>
            <w:r>
              <w:t xml:space="preserve">1</w:t>
            </w:r>
          </w:p>
        </w:tc>
        <w:tc>
          <w:p>
            <w:pPr>
              <w:pStyle w:val="Compact"/>
              <w:jc w:val="left"/>
            </w:pPr>
            <w:r>
              <w:t xml:space="preserve">[25740,47744)</w:t>
            </w:r>
          </w:p>
        </w:tc>
        <w:tc>
          <w:p>
            <w:pPr>
              <w:pStyle w:val="Compact"/>
              <w:jc w:val="left"/>
            </w:pPr>
            <w:r>
              <w:t xml:space="preserve">0.18</w:t>
            </w:r>
          </w:p>
        </w:tc>
      </w:tr>
      <w:tr>
        <w:tc>
          <w:p>
            <w:pPr>
              <w:pStyle w:val="Compact"/>
              <w:jc w:val="left"/>
            </w:pPr>
            <w:r>
              <w:t xml:space="preserve">2</w:t>
            </w:r>
          </w:p>
        </w:tc>
        <w:tc>
          <w:p>
            <w:pPr>
              <w:pStyle w:val="Compact"/>
              <w:jc w:val="left"/>
            </w:pPr>
            <w:r>
              <w:t xml:space="preserve">[47744,52653)</w:t>
            </w:r>
          </w:p>
        </w:tc>
        <w:tc>
          <w:p>
            <w:pPr>
              <w:pStyle w:val="Compact"/>
              <w:jc w:val="left"/>
            </w:pPr>
            <w:r>
              <w:t xml:space="preserve">0.22</w:t>
            </w:r>
          </w:p>
        </w:tc>
      </w:tr>
      <w:tr>
        <w:tc>
          <w:p>
            <w:pPr>
              <w:pStyle w:val="Compact"/>
              <w:jc w:val="left"/>
            </w:pPr>
            <w:r>
              <w:t xml:space="preserve">3</w:t>
            </w:r>
          </w:p>
        </w:tc>
        <w:tc>
          <w:p>
            <w:pPr>
              <w:pStyle w:val="Compact"/>
              <w:jc w:val="left"/>
            </w:pPr>
            <w:r>
              <w:t xml:space="preserve">[52653,56801)</w:t>
            </w:r>
          </w:p>
        </w:tc>
        <w:tc>
          <w:p>
            <w:pPr>
              <w:pStyle w:val="Compact"/>
              <w:jc w:val="left"/>
            </w:pPr>
            <w:r>
              <w:t xml:space="preserve">0.18</w:t>
            </w:r>
          </w:p>
        </w:tc>
      </w:tr>
      <w:tr>
        <w:tc>
          <w:p>
            <w:pPr>
              <w:pStyle w:val="Compact"/>
              <w:jc w:val="left"/>
            </w:pPr>
            <w:r>
              <w:t xml:space="preserve">4</w:t>
            </w:r>
          </w:p>
        </w:tc>
        <w:tc>
          <w:p>
            <w:pPr>
              <w:pStyle w:val="Compact"/>
              <w:jc w:val="left"/>
            </w:pPr>
            <w:r>
              <w:t xml:space="preserve">[56801,61726)</w:t>
            </w:r>
          </w:p>
        </w:tc>
        <w:tc>
          <w:p>
            <w:pPr>
              <w:pStyle w:val="Compact"/>
              <w:jc w:val="left"/>
            </w:pPr>
            <w:r>
              <w:t xml:space="preserve">0.44</w:t>
            </w:r>
          </w:p>
        </w:tc>
      </w:tr>
      <w:tr>
        <w:tc>
          <w:p>
            <w:pPr>
              <w:pStyle w:val="Compact"/>
              <w:jc w:val="left"/>
            </w:pPr>
            <w:r>
              <w:t xml:space="preserve">5</w:t>
            </w:r>
          </w:p>
        </w:tc>
        <w:tc>
          <w:p>
            <w:pPr>
              <w:pStyle w:val="Compact"/>
              <w:jc w:val="left"/>
            </w:pPr>
            <w:r>
              <w:t xml:space="preserve">[61726,66339)</w:t>
            </w:r>
          </w:p>
        </w:tc>
        <w:tc>
          <w:p>
            <w:pPr>
              <w:pStyle w:val="Compact"/>
              <w:jc w:val="left"/>
            </w:pPr>
            <w:r>
              <w:t xml:space="preserve">0.66</w:t>
            </w:r>
          </w:p>
        </w:tc>
      </w:tr>
      <w:tr>
        <w:tc>
          <w:p>
            <w:pPr>
              <w:pStyle w:val="Compact"/>
              <w:jc w:val="left"/>
            </w:pPr>
            <w:r>
              <w:t xml:space="preserve">6</w:t>
            </w:r>
          </w:p>
        </w:tc>
        <w:tc>
          <w:p>
            <w:pPr>
              <w:pStyle w:val="Compact"/>
              <w:jc w:val="left"/>
            </w:pPr>
            <w:r>
              <w:t xml:space="preserve">[66339,71136)</w:t>
            </w:r>
          </w:p>
        </w:tc>
        <w:tc>
          <w:p>
            <w:pPr>
              <w:pStyle w:val="Compact"/>
              <w:jc w:val="left"/>
            </w:pPr>
            <w:r>
              <w:t xml:space="preserve">0.69</w:t>
            </w:r>
          </w:p>
        </w:tc>
      </w:tr>
      <w:tr>
        <w:tc>
          <w:p>
            <w:pPr>
              <w:pStyle w:val="Compact"/>
              <w:jc w:val="left"/>
            </w:pPr>
            <w:r>
              <w:t xml:space="preserve">7</w:t>
            </w:r>
          </w:p>
        </w:tc>
        <w:tc>
          <w:p>
            <w:pPr>
              <w:pStyle w:val="Compact"/>
              <w:jc w:val="left"/>
            </w:pPr>
            <w:r>
              <w:t xml:space="preserve">[71136,77180)</w:t>
            </w:r>
          </w:p>
        </w:tc>
        <w:tc>
          <w:p>
            <w:pPr>
              <w:pStyle w:val="Compact"/>
              <w:jc w:val="left"/>
            </w:pPr>
            <w:r>
              <w:t xml:space="preserve">1.3</w:t>
            </w:r>
          </w:p>
        </w:tc>
      </w:tr>
      <w:tr>
        <w:tc>
          <w:p>
            <w:pPr>
              <w:pStyle w:val="Compact"/>
              <w:jc w:val="left"/>
            </w:pPr>
            <w:r>
              <w:t xml:space="preserve">8</w:t>
            </w:r>
          </w:p>
        </w:tc>
        <w:tc>
          <w:p>
            <w:pPr>
              <w:pStyle w:val="Compact"/>
              <w:jc w:val="left"/>
            </w:pPr>
            <w:r>
              <w:t xml:space="preserve">[77180,82160)</w:t>
            </w:r>
          </w:p>
        </w:tc>
        <w:tc>
          <w:p>
            <w:pPr>
              <w:pStyle w:val="Compact"/>
              <w:jc w:val="left"/>
            </w:pPr>
            <w:r>
              <w:t xml:space="preserve">1.43</w:t>
            </w:r>
          </w:p>
        </w:tc>
      </w:tr>
      <w:tr>
        <w:tc>
          <w:p>
            <w:pPr>
              <w:pStyle w:val="Compact"/>
              <w:jc w:val="left"/>
            </w:pPr>
            <w:r>
              <w:t xml:space="preserve">9</w:t>
            </w:r>
          </w:p>
        </w:tc>
        <w:tc>
          <w:p>
            <w:pPr>
              <w:pStyle w:val="Compact"/>
              <w:jc w:val="left"/>
            </w:pPr>
            <w:r>
              <w:t xml:space="preserve">[82160,93591)</w:t>
            </w:r>
          </w:p>
        </w:tc>
        <w:tc>
          <w:p>
            <w:pPr>
              <w:pStyle w:val="Compact"/>
              <w:jc w:val="left"/>
            </w:pPr>
            <w:r>
              <w:t xml:space="preserve">3.65</w:t>
            </w:r>
          </w:p>
        </w:tc>
      </w:tr>
      <w:tr>
        <w:tc>
          <w:p>
            <w:pPr>
              <w:pStyle w:val="Compact"/>
              <w:jc w:val="left"/>
            </w:pPr>
            <w:r>
              <w:t xml:space="preserve">10</w:t>
            </w:r>
          </w:p>
        </w:tc>
        <w:tc>
          <w:p>
            <w:pPr>
              <w:pStyle w:val="Compact"/>
              <w:jc w:val="left"/>
            </w:pPr>
            <w:r>
              <w:t xml:space="preserve">[93591,149505)</w:t>
            </w:r>
          </w:p>
        </w:tc>
        <w:tc>
          <w:p>
            <w:pPr>
              <w:pStyle w:val="Compact"/>
              <w:jc w:val="left"/>
            </w:pPr>
            <w:r>
              <w:t xml:space="preserve">7.39</w:t>
            </w:r>
          </w:p>
        </w:tc>
      </w:tr>
    </w:tbl>
    <w:p>
      <w:pPr>
        <w:pStyle w:val="BodyText"/>
      </w:pPr>
      <w:r>
        <w:t xml:space="preserve">Note that we recentered and rescaled the year 10 salary for interpretation purpose. First, year 10 salary is centered on the mean salary at grade 13 from OPM’s 2011 pay table (the mean is around $82,425). Second, it is also scaled by $10,000. Denote</w:t>
      </w:r>
      <w:r>
        <w:t xml:space="preserve"> </w:t>
      </w:r>
      <m:oMath>
        <m:sSub>
          <m:e>
            <m:r>
              <m:t>x</m:t>
            </m:r>
          </m:e>
          <m:sub>
            <m:r>
              <m:t>i</m:t>
            </m:r>
          </m:sub>
        </m:sSub>
      </m:oMath>
      <w:r>
        <w:t xml:space="preserve"> </w:t>
      </w:r>
      <w:r>
        <w:t xml:space="preserve">as employee</w:t>
      </w:r>
      <w:r>
        <w:t xml:space="preserve"> </w:t>
      </w:r>
      <m:oMath>
        <m:r>
          <m:t>i</m:t>
        </m:r>
      </m:oMath>
      <w:r>
        <w:t xml:space="preserve">’s year 10 salary,</w:t>
      </w:r>
      <w:r>
        <w:t xml:space="preserve"> </w:t>
      </w:r>
      <m:oMath>
        <m:r>
          <m:t>s</m:t>
        </m:r>
        <m:r>
          <m:t>c</m:t>
        </m:r>
        <m:r>
          <m:t>a</m:t>
        </m:r>
        <m:r>
          <m:t>l</m:t>
        </m:r>
        <m:r>
          <m:t>e</m:t>
        </m:r>
        <m:r>
          <m:t>(</m:t>
        </m:r>
        <m:sSub>
          <m:e>
            <m:r>
              <m:t>x</m:t>
            </m:r>
          </m:e>
          <m:sub>
            <m:r>
              <m:t>i</m:t>
            </m:r>
          </m:sub>
        </m:sSub>
        <m:r>
          <m:t>)</m:t>
        </m:r>
        <m:r>
          <m:t>=</m:t>
        </m:r>
        <m:f>
          <m:fPr>
            <m:type m:val="bar"/>
          </m:fPr>
          <m:num>
            <m:sSub>
              <m:e>
                <m:r>
                  <m:t>x</m:t>
                </m:r>
              </m:e>
              <m:sub>
                <m:r>
                  <m:t>i</m:t>
                </m:r>
              </m:sub>
            </m:sSub>
            <m:r>
              <m:t>−</m:t>
            </m:r>
            <m:r>
              <m:t>82</m:t>
            </m:r>
            <m:r>
              <m:t>,</m:t>
            </m:r>
            <m:r>
              <m:t>425</m:t>
            </m:r>
          </m:num>
          <m:den>
            <m:r>
              <m:t>10</m:t>
            </m:r>
            <m:r>
              <m:t>,</m:t>
            </m:r>
            <m:r>
              <m:t>000</m:t>
            </m:r>
          </m:den>
        </m:f>
      </m:oMath>
      <w:r>
        <w:t xml:space="preserve">.</w:t>
      </w:r>
    </w:p>
    <w:p>
      <w:pPr>
        <w:pStyle w:val="BodyText"/>
      </w:pPr>
      <w:r>
        <w:rPr>
          <w:b/>
        </w:rPr>
        <w:t xml:space="preserve">Change in Pay Rate (Categorical)</w:t>
      </w:r>
    </w:p>
    <w:p>
      <w:pPr>
        <w:pStyle w:val="BodyText"/>
      </w:pPr>
      <w:r>
        <w:t xml:space="preserve">Variable</w:t>
      </w:r>
      <w:r>
        <w:t xml:space="preserve"> </w:t>
      </w:r>
      <w:r>
        <w:rPr>
          <w:i/>
        </w:rPr>
        <w:t xml:space="preserve">Change in Pay Rate</w:t>
      </w:r>
      <w:r>
        <w:t xml:space="preserve"> </w:t>
      </w:r>
      <w:r>
        <w:t xml:space="preserve">specifies the change in pay rate between working year 1 and working year 10. The construction of the visualization graph for change in pay rate (Figure</w:t>
      </w:r>
      <w:r>
        <w:t xml:space="preserve"> </w:t>
      </w:r>
      <w:r>
        <w:t xml:space="preserve">7</w:t>
      </w:r>
      <w:r>
        <w:t xml:space="preserve">) is similar to that for year 10 salary. The x-axis denotes 10 equally sized group, with each group representing certain change in pay rate (Change in Pay Rate Table). The y-axis denotes the percentage of ones in each group. Though we believe that higher percentage of change in salary might indicate better performance at work, it is not reflected in the promotion of the SES position. Regardless of change rate, the graph does not indicate particular trend as the proportion of ones fluctuates among groups. This means that</w:t>
      </w:r>
      <w:r>
        <w:t xml:space="preserve"> </w:t>
      </w:r>
      <w:r>
        <w:rPr>
          <w:i/>
        </w:rPr>
        <w:t xml:space="preserve">Change in Pay Rate</w:t>
      </w:r>
      <w:r>
        <w:t xml:space="preserve"> </w:t>
      </w:r>
      <w:r>
        <w:t xml:space="preserve">probably does not provide predictive power if treated as continuous variable.</w:t>
      </w:r>
    </w:p>
    <w:p>
      <w:pPr>
        <w:pStyle w:val="FigureWithCaption"/>
      </w:pPr>
      <w:r>
        <w:drawing>
          <wp:inline>
            <wp:extent cx="5334000" cy="3291840"/>
            <wp:effectExtent b="0" l="0" r="0" t="0"/>
            <wp:docPr descr="Figure 7 Change in Pay Rate Binned Plot" title="" id="1" name="Picture"/>
            <a:graphic>
              <a:graphicData uri="http://schemas.openxmlformats.org/drawingml/2006/picture">
                <pic:pic>
                  <pic:nvPicPr>
                    <pic:cNvPr descr="figure/change_binned.png" id="0" name="Picture"/>
                    <pic:cNvPicPr>
                      <a:picLocks noChangeArrowheads="1" noChangeAspect="1"/>
                    </pic:cNvPicPr>
                  </pic:nvPicPr>
                  <pic:blipFill>
                    <a:blip r:embed="rId41"/>
                    <a:stretch>
                      <a:fillRect/>
                    </a:stretch>
                  </pic:blipFill>
                  <pic:spPr bwMode="auto">
                    <a:xfrm>
                      <a:off x="0" y="0"/>
                      <a:ext cx="5334000" cy="3291840"/>
                    </a:xfrm>
                    <a:prstGeom prst="rect">
                      <a:avLst/>
                    </a:prstGeom>
                    <a:noFill/>
                    <a:ln w="9525">
                      <a:noFill/>
                      <a:headEnd/>
                      <a:tailEnd/>
                    </a:ln>
                  </pic:spPr>
                </pic:pic>
              </a:graphicData>
            </a:graphic>
          </wp:inline>
        </w:drawing>
      </w:r>
    </w:p>
    <w:p>
      <w:pPr>
        <w:pStyle w:val="ImageCaption"/>
      </w:pPr>
      <w:r>
        <w:t xml:space="preserve">Figure 7 Change in Pay Rate Binned Plot</w:t>
      </w:r>
    </w:p>
    <w:p>
      <w:pPr>
        <w:pStyle w:val="TableCaption"/>
      </w:pPr>
      <w:r>
        <w:rPr>
          <w:i/>
        </w:rPr>
        <w:t xml:space="preserve">Year 10 Pay Rate Change before regrouping</w:t>
      </w:r>
    </w:p>
    <w:tbl>
      <w:tblPr>
        <w:tblStyle w:val="TableNormal"/>
        <w:tblW w:type="pct" w:w="0.0"/>
        <w:tblLook w:firstRow="1"/>
        <w:tblCaption w:val="Year 10 Pay Rate Change before regrouping"/>
      </w:tblPr>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 Change Range</w:t>
            </w:r>
          </w:p>
        </w:tc>
        <w:tc>
          <w:tcPr>
            <w:tcBorders>
              <w:bottom w:val="single"/>
            </w:tcBorders>
            <w:vAlign w:val="bottom"/>
          </w:tcPr>
          <w:p>
            <w:pPr>
              <w:pStyle w:val="Compact"/>
              <w:jc w:val="left"/>
            </w:pPr>
            <w:r>
              <w:t xml:space="preserve">% promoted</w:t>
            </w:r>
          </w:p>
        </w:tc>
      </w:tr>
      <w:tr>
        <w:tc>
          <w:p>
            <w:pPr>
              <w:pStyle w:val="Compact"/>
              <w:jc w:val="left"/>
            </w:pPr>
            <w:r>
              <w:t xml:space="preserve">1</w:t>
            </w:r>
          </w:p>
        </w:tc>
        <w:tc>
          <w:p>
            <w:pPr>
              <w:pStyle w:val="Compact"/>
              <w:jc w:val="left"/>
            </w:pPr>
            <w:r>
              <w:t xml:space="preserve">[-10.3,40.4)</w:t>
            </w:r>
          </w:p>
        </w:tc>
        <w:tc>
          <w:p>
            <w:pPr>
              <w:pStyle w:val="Compact"/>
              <w:jc w:val="left"/>
            </w:pPr>
            <w:r>
              <w:t xml:space="preserve">1.39</w:t>
            </w:r>
          </w:p>
        </w:tc>
      </w:tr>
      <w:tr>
        <w:tc>
          <w:p>
            <w:pPr>
              <w:pStyle w:val="Compact"/>
              <w:jc w:val="left"/>
            </w:pPr>
            <w:r>
              <w:t xml:space="preserve">2</w:t>
            </w:r>
          </w:p>
        </w:tc>
        <w:tc>
          <w:p>
            <w:pPr>
              <w:pStyle w:val="Compact"/>
              <w:jc w:val="left"/>
            </w:pPr>
            <w:r>
              <w:t xml:space="preserve">[40.4,57.2)</w:t>
            </w:r>
          </w:p>
        </w:tc>
        <w:tc>
          <w:p>
            <w:pPr>
              <w:pStyle w:val="Compact"/>
              <w:jc w:val="left"/>
            </w:pPr>
            <w:r>
              <w:t xml:space="preserve">1.79</w:t>
            </w:r>
          </w:p>
        </w:tc>
      </w:tr>
      <w:tr>
        <w:tc>
          <w:p>
            <w:pPr>
              <w:pStyle w:val="Compact"/>
              <w:jc w:val="left"/>
            </w:pPr>
            <w:r>
              <w:t xml:space="preserve">3</w:t>
            </w:r>
          </w:p>
        </w:tc>
        <w:tc>
          <w:p>
            <w:pPr>
              <w:pStyle w:val="Compact"/>
              <w:jc w:val="left"/>
            </w:pPr>
            <w:r>
              <w:t xml:space="preserve">[57.2,69.8)</w:t>
            </w:r>
          </w:p>
        </w:tc>
        <w:tc>
          <w:p>
            <w:pPr>
              <w:pStyle w:val="Compact"/>
              <w:jc w:val="left"/>
            </w:pPr>
            <w:r>
              <w:t xml:space="preserve">1.24</w:t>
            </w:r>
          </w:p>
        </w:tc>
      </w:tr>
      <w:tr>
        <w:tc>
          <w:p>
            <w:pPr>
              <w:pStyle w:val="Compact"/>
              <w:jc w:val="left"/>
            </w:pPr>
            <w:r>
              <w:t xml:space="preserve">4</w:t>
            </w:r>
          </w:p>
        </w:tc>
        <w:tc>
          <w:p>
            <w:pPr>
              <w:pStyle w:val="Compact"/>
              <w:jc w:val="left"/>
            </w:pPr>
            <w:r>
              <w:t xml:space="preserve">[69.8,81.1)</w:t>
            </w:r>
          </w:p>
        </w:tc>
        <w:tc>
          <w:p>
            <w:pPr>
              <w:pStyle w:val="Compact"/>
              <w:jc w:val="left"/>
            </w:pPr>
            <w:r>
              <w:t xml:space="preserve">0.10</w:t>
            </w:r>
          </w:p>
        </w:tc>
      </w:tr>
      <w:tr>
        <w:tc>
          <w:p>
            <w:pPr>
              <w:pStyle w:val="Compact"/>
              <w:jc w:val="left"/>
            </w:pPr>
            <w:r>
              <w:t xml:space="preserve">5</w:t>
            </w:r>
          </w:p>
        </w:tc>
        <w:tc>
          <w:p>
            <w:pPr>
              <w:pStyle w:val="Compact"/>
              <w:jc w:val="left"/>
            </w:pPr>
            <w:r>
              <w:t xml:space="preserve">[81.1,92.5)</w:t>
            </w:r>
          </w:p>
        </w:tc>
        <w:tc>
          <w:p>
            <w:pPr>
              <w:pStyle w:val="Compact"/>
              <w:jc w:val="left"/>
            </w:pPr>
            <w:r>
              <w:t xml:space="preserve">1.35</w:t>
            </w:r>
          </w:p>
        </w:tc>
      </w:tr>
      <w:tr>
        <w:tc>
          <w:p>
            <w:pPr>
              <w:pStyle w:val="Compact"/>
              <w:jc w:val="left"/>
            </w:pPr>
            <w:r>
              <w:t xml:space="preserve">6</w:t>
            </w:r>
          </w:p>
        </w:tc>
        <w:tc>
          <w:p>
            <w:pPr>
              <w:pStyle w:val="Compact"/>
              <w:jc w:val="left"/>
            </w:pPr>
            <w:r>
              <w:t xml:space="preserve">[92.5,105.5)</w:t>
            </w:r>
          </w:p>
        </w:tc>
        <w:tc>
          <w:p>
            <w:pPr>
              <w:pStyle w:val="Compact"/>
              <w:jc w:val="left"/>
            </w:pPr>
            <w:r>
              <w:t xml:space="preserve">1.39</w:t>
            </w:r>
          </w:p>
        </w:tc>
      </w:tr>
      <w:tr>
        <w:tc>
          <w:p>
            <w:pPr>
              <w:pStyle w:val="Compact"/>
              <w:jc w:val="left"/>
            </w:pPr>
            <w:r>
              <w:t xml:space="preserve">7</w:t>
            </w:r>
          </w:p>
        </w:tc>
        <w:tc>
          <w:p>
            <w:pPr>
              <w:pStyle w:val="Compact"/>
              <w:jc w:val="left"/>
            </w:pPr>
            <w:r>
              <w:t xml:space="preserve">[105.5,120.5)</w:t>
            </w:r>
          </w:p>
        </w:tc>
        <w:tc>
          <w:p>
            <w:pPr>
              <w:pStyle w:val="Compact"/>
              <w:jc w:val="left"/>
            </w:pPr>
            <w:r>
              <w:t xml:space="preserve">1.57</w:t>
            </w:r>
          </w:p>
        </w:tc>
      </w:tr>
      <w:tr>
        <w:tc>
          <w:p>
            <w:pPr>
              <w:pStyle w:val="Compact"/>
              <w:jc w:val="left"/>
            </w:pPr>
            <w:r>
              <w:t xml:space="preserve">8</w:t>
            </w:r>
          </w:p>
        </w:tc>
        <w:tc>
          <w:p>
            <w:pPr>
              <w:pStyle w:val="Compact"/>
              <w:jc w:val="left"/>
            </w:pPr>
            <w:r>
              <w:t xml:space="preserve">[120.5,140.7)</w:t>
            </w:r>
          </w:p>
        </w:tc>
        <w:tc>
          <w:p>
            <w:pPr>
              <w:pStyle w:val="Compact"/>
              <w:jc w:val="left"/>
            </w:pPr>
            <w:r>
              <w:t xml:space="preserve">1.83</w:t>
            </w:r>
          </w:p>
        </w:tc>
      </w:tr>
      <w:tr>
        <w:tc>
          <w:p>
            <w:pPr>
              <w:pStyle w:val="Compact"/>
              <w:jc w:val="left"/>
            </w:pPr>
            <w:r>
              <w:t xml:space="preserve">9</w:t>
            </w:r>
          </w:p>
        </w:tc>
        <w:tc>
          <w:p>
            <w:pPr>
              <w:pStyle w:val="Compact"/>
              <w:jc w:val="left"/>
            </w:pPr>
            <w:r>
              <w:t xml:space="preserve">[140.7,174.8)</w:t>
            </w:r>
          </w:p>
        </w:tc>
        <w:tc>
          <w:p>
            <w:pPr>
              <w:pStyle w:val="Compact"/>
              <w:jc w:val="left"/>
            </w:pPr>
            <w:r>
              <w:t xml:space="preserve">1.87</w:t>
            </w:r>
          </w:p>
        </w:tc>
      </w:tr>
      <w:tr>
        <w:tc>
          <w:p>
            <w:pPr>
              <w:pStyle w:val="Compact"/>
              <w:jc w:val="left"/>
            </w:pPr>
            <w:r>
              <w:t xml:space="preserve">10</w:t>
            </w:r>
          </w:p>
        </w:tc>
        <w:tc>
          <w:p>
            <w:pPr>
              <w:pStyle w:val="Compact"/>
              <w:jc w:val="left"/>
            </w:pPr>
            <w:r>
              <w:t xml:space="preserve">174.8+</w:t>
            </w:r>
          </w:p>
        </w:tc>
        <w:tc>
          <w:p>
            <w:pPr>
              <w:pStyle w:val="Compact"/>
              <w:jc w:val="left"/>
            </w:pPr>
            <w:r>
              <w:t xml:space="preserve">2.71</w:t>
            </w:r>
          </w:p>
        </w:tc>
      </w:tr>
    </w:tbl>
    <w:p>
      <w:pPr>
        <w:pStyle w:val="TableCaption"/>
      </w:pPr>
      <w:r>
        <w:rPr>
          <w:i/>
        </w:rPr>
        <w:t xml:space="preserve">Year 10 Pay Rate Change after regrouping</w:t>
      </w:r>
    </w:p>
    <w:tbl>
      <w:tblPr>
        <w:tblStyle w:val="TableNormal"/>
        <w:tblW w:type="pct" w:w="0.0"/>
        <w:tblLook w:firstRow="1"/>
        <w:tblCaption w:val="Year 10 Pay Rate Change after regrouping"/>
      </w:tblPr>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 Change Range</w:t>
            </w:r>
          </w:p>
        </w:tc>
        <w:tc>
          <w:tcPr>
            <w:tcBorders>
              <w:bottom w:val="single"/>
            </w:tcBorders>
            <w:vAlign w:val="bottom"/>
          </w:tcPr>
          <w:p>
            <w:pPr>
              <w:pStyle w:val="Compact"/>
              <w:jc w:val="left"/>
            </w:pPr>
            <w:r>
              <w:t xml:space="preserve">promoted (%)</w:t>
            </w:r>
          </w:p>
        </w:tc>
      </w:tr>
      <w:tr>
        <w:tc>
          <w:p>
            <w:pPr>
              <w:pStyle w:val="Compact"/>
              <w:jc w:val="left"/>
            </w:pPr>
            <w:r>
              <w:t xml:space="preserve">Change1</w:t>
            </w:r>
          </w:p>
        </w:tc>
        <w:tc>
          <w:p>
            <w:pPr>
              <w:pStyle w:val="Compact"/>
              <w:jc w:val="left"/>
            </w:pPr>
            <w:r>
              <w:t xml:space="preserve">[-10.34,62)</w:t>
            </w:r>
          </w:p>
        </w:tc>
        <w:tc>
          <w:p>
            <w:pPr>
              <w:pStyle w:val="Compact"/>
              <w:jc w:val="left"/>
            </w:pPr>
            <w:r>
              <w:t xml:space="preserve">1.51</w:t>
            </w:r>
          </w:p>
        </w:tc>
      </w:tr>
      <w:tr>
        <w:tc>
          <w:p>
            <w:pPr>
              <w:pStyle w:val="Compact"/>
              <w:jc w:val="left"/>
            </w:pPr>
            <w:r>
              <w:t xml:space="preserve">Change2</w:t>
            </w:r>
          </w:p>
        </w:tc>
        <w:tc>
          <w:p>
            <w:pPr>
              <w:pStyle w:val="Compact"/>
              <w:jc w:val="left"/>
            </w:pPr>
            <w:r>
              <w:t xml:space="preserve">[62,160)</w:t>
            </w:r>
          </w:p>
        </w:tc>
        <w:tc>
          <w:p>
            <w:pPr>
              <w:pStyle w:val="Compact"/>
              <w:jc w:val="left"/>
            </w:pPr>
            <w:r>
              <w:t xml:space="preserve">1.42</w:t>
            </w:r>
          </w:p>
        </w:tc>
      </w:tr>
      <w:tr>
        <w:tc>
          <w:p>
            <w:pPr>
              <w:pStyle w:val="Compact"/>
              <w:jc w:val="left"/>
            </w:pPr>
            <w:r>
              <w:t xml:space="preserve">Change3</w:t>
            </w:r>
          </w:p>
        </w:tc>
        <w:tc>
          <w:p>
            <w:pPr>
              <w:pStyle w:val="Compact"/>
              <w:jc w:val="left"/>
            </w:pPr>
            <w:r>
              <w:t xml:space="preserve">160+</w:t>
            </w:r>
          </w:p>
        </w:tc>
        <w:tc>
          <w:p>
            <w:pPr>
              <w:pStyle w:val="Compact"/>
              <w:jc w:val="left"/>
            </w:pPr>
            <w:r>
              <w:t xml:space="preserve">2.66</w:t>
            </w:r>
          </w:p>
        </w:tc>
      </w:tr>
    </w:tbl>
    <w:p>
      <w:pPr>
        <w:pStyle w:val="BodyText"/>
      </w:pPr>
      <w:r>
        <w:t xml:space="preserve">To address the problem, we decide to model pay rate as a categorical variable with 3 levels. The first level consists of employees with rate changes below 62% (equals to around 5% change per year). This pay rate change range falls within the regular rate change of the federal government. The second level consists of employees with rate change between 62% and 160% (equals to around 5 - 10% change per year). This rate change range is higher than the regular rate change, indicating that employees with this rate change level might perform better than employees with regular rate change. The third level consists of employees with rate changes above 160%. This rate change is significantly higher than the regular change rate. Note that some of the very high rate change values are sensitive to the imputation models since more than 80% of the rate change data is missing.</w:t>
      </w:r>
    </w:p>
    <w:p>
      <w:pPr>
        <w:pStyle w:val="Heading1"/>
      </w:pPr>
      <w:bookmarkStart w:id="42" w:name="model-fitting"/>
      <w:bookmarkEnd w:id="42"/>
      <w:r>
        <w:t xml:space="preserve">Model Fitting</w:t>
      </w:r>
    </w:p>
    <w:p>
      <w:pPr>
        <w:pStyle w:val="Heading2"/>
      </w:pPr>
      <w:bookmarkStart w:id="43" w:name="logistic-regression-with-piecewise-linear-spline-application"/>
      <w:bookmarkEnd w:id="43"/>
      <w:r>
        <w:t xml:space="preserve">Logistic regression with piecewise linear spline application</w:t>
      </w:r>
    </w:p>
    <w:p>
      <w:pPr>
        <w:pStyle w:val="FirstParagraph"/>
      </w:pPr>
      <w:r>
        <w:t xml:space="preserve">In Generalized Linear Models (GLMs), the relationship between coefficients of predictors and univariate outcome variable is usually linear. The binnedplot of variable</w:t>
      </w:r>
      <w:r>
        <w:t xml:space="preserve"> </w:t>
      </w:r>
      <w:r>
        <w:rPr>
          <w:i/>
        </w:rPr>
        <w:t xml:space="preserve">Year 10 Salary</w:t>
      </w:r>
      <w:r>
        <w:t xml:space="preserve"> </w:t>
      </w:r>
      <w:r>
        <w:t xml:space="preserve">in the previous chapter, however, indicates that the relationship between outcome variable and the predictor is non-linear. Incorporating smoothing techniques such as the application of spline function is a common strategy to model data with non-linear relationship</w:t>
      </w:r>
      <w:r>
        <w:t xml:space="preserve"> </w:t>
      </w:r>
      <w:r>
        <w:t xml:space="preserve">(Walther, 2017)</w:t>
      </w:r>
      <w:r>
        <w:t xml:space="preserve">. Specifically, we applied piecewise linear spline function to model the data.</w:t>
      </w:r>
    </w:p>
    <w:p>
      <w:pPr>
        <w:pStyle w:val="BodyText"/>
      </w:pPr>
      <w:r>
        <w:t xml:space="preserve">To recap the relationship between predictor</w:t>
      </w:r>
      <w:r>
        <w:t xml:space="preserve"> </w:t>
      </w:r>
      <w:r>
        <w:rPr>
          <w:i/>
        </w:rPr>
        <w:t xml:space="preserve">Year 10 Salary</w:t>
      </w:r>
      <w:r>
        <w:t xml:space="preserve"> </w:t>
      </w:r>
      <w:r>
        <w:t xml:space="preserve">and outcome variable, the proportion of ones below certain salary level is relatively flat, whereas the proportion of ones above certain salary level increases significantly (Figure</w:t>
      </w:r>
      <w:r>
        <w:t xml:space="preserve"> </w:t>
      </w:r>
      <w:r>
        <w:t xml:space="preserve">8</w:t>
      </w:r>
      <w:r>
        <w:t xml:space="preserve">). This indicates that the coefficient slopes above and below certain salary level are different.</w:t>
      </w:r>
    </w:p>
    <w:p>
      <w:pPr>
        <w:pStyle w:val="FigureWithCaption"/>
      </w:pPr>
      <w:r>
        <w:drawing>
          <wp:inline>
            <wp:extent cx="5334000" cy="3291840"/>
            <wp:effectExtent b="0" l="0" r="0" t="0"/>
            <wp:docPr descr="Figure 8 Year 10 Salary Binned Plot" title="" id="1" name="Picture"/>
            <a:graphic>
              <a:graphicData uri="http://schemas.openxmlformats.org/drawingml/2006/picture">
                <pic:pic>
                  <pic:nvPicPr>
                    <pic:cNvPr descr="figure/salary_binned2.png" id="0" name="Picture"/>
                    <pic:cNvPicPr>
                      <a:picLocks noChangeArrowheads="1" noChangeAspect="1"/>
                    </pic:cNvPicPr>
                  </pic:nvPicPr>
                  <pic:blipFill>
                    <a:blip r:embed="rId44"/>
                    <a:stretch>
                      <a:fillRect/>
                    </a:stretch>
                  </pic:blipFill>
                  <pic:spPr bwMode="auto">
                    <a:xfrm>
                      <a:off x="0" y="0"/>
                      <a:ext cx="5334000" cy="3291840"/>
                    </a:xfrm>
                    <a:prstGeom prst="rect">
                      <a:avLst/>
                    </a:prstGeom>
                    <a:noFill/>
                    <a:ln w="9525">
                      <a:noFill/>
                      <a:headEnd/>
                      <a:tailEnd/>
                    </a:ln>
                  </pic:spPr>
                </pic:pic>
              </a:graphicData>
            </a:graphic>
          </wp:inline>
        </w:drawing>
      </w:r>
    </w:p>
    <w:p>
      <w:pPr>
        <w:pStyle w:val="ImageCaption"/>
      </w:pPr>
      <w:r>
        <w:t xml:space="preserve">Figure 8 Year 10 Salary Binned Plot</w:t>
      </w:r>
    </w:p>
    <w:p>
      <w:pPr>
        <w:pStyle w:val="BodyText"/>
      </w:pPr>
      <w:r>
        <w:t xml:space="preserve">A spline of degree</w:t>
      </w:r>
      <w:r>
        <w:t xml:space="preserve"> </w:t>
      </w:r>
      <m:oMath>
        <m:r>
          <m:t>D</m:t>
        </m:r>
      </m:oMath>
      <w:r>
        <w:t xml:space="preserve"> </w:t>
      </w:r>
      <w:r>
        <w:t xml:space="preserve">is a continuous function formed by connecting polynomial segments. The points where the segments connect are called the knots of the spline. In general, a spline of degree D associated with a knot</w:t>
      </w:r>
      <w:r>
        <w:t xml:space="preserve"> </w:t>
      </w:r>
      <m:oMath>
        <m:sSub>
          <m:e>
            <m:r>
              <m:t>ξ</m:t>
            </m:r>
          </m:e>
          <m:sub>
            <m:r>
              <m:t>k</m:t>
            </m:r>
          </m:sub>
        </m:sSub>
      </m:oMath>
      <w:r>
        <w:t xml:space="preserve"> </w:t>
      </w:r>
      <w:r>
        <w:t xml:space="preserve">takes the form:</w:t>
      </w:r>
    </w:p>
    <w:p>
      <w:pPr>
        <w:pStyle w:val="BodyText"/>
      </w:pPr>
      <m:oMathPara>
        <m:oMathParaPr>
          <m:jc m:val="center"/>
        </m:oMathParaPr>
        <m:oMath>
          <m:r>
            <m:t>(</m:t>
          </m:r>
          <m:r>
            <m:t>x</m:t>
          </m:r>
          <m:r>
            <m:t>−</m:t>
          </m:r>
          <m:sSub>
            <m:e>
              <m:r>
                <m:t>ξ</m:t>
              </m:r>
            </m:e>
            <m:sub>
              <m:r>
                <m:t>k</m:t>
              </m:r>
            </m:sub>
          </m:sSub>
          <m:sSubSup>
            <m:e>
              <m:r>
                <m:t>)</m:t>
              </m:r>
            </m:e>
            <m:sub>
              <m:r>
                <m:t>+</m:t>
              </m:r>
            </m:sub>
            <m:sup>
              <m:r>
                <m:t>D</m:t>
              </m:r>
            </m:sup>
          </m:sSubSup>
          <m:r>
            <m:t>=</m:t>
          </m:r>
          <m:d>
            <m:dPr>
              <m:begChr m:val="{"/>
              <m:endChr m:val=""/>
              <m:grow/>
            </m:dPr>
            <m:e>
              <m:m>
                <m:mPr>
                  <m:baseJc m:val="center"/>
                  <m:plcHide m:val="1"/>
                  <m:mcs>
                    <m:mc>
                      <m:mcPr>
                        <m:mcJc m:val="left"/>
                        <m:count m:val="1"/>
                      </m:mcPr>
                    </m:mc>
                    <m:mc>
                      <m:mcPr>
                        <m:mcJc m:val="left"/>
                        <m:count m:val="1"/>
                      </m:mcPr>
                    </m:mc>
                  </m:mcs>
                </m:mPr>
                <m:mr>
                  <m:e>
                    <m:r>
                      <m:t>0</m:t>
                    </m:r>
                    <m:r>
                      <m:t>,</m:t>
                    </m:r>
                  </m:e>
                  <m:e>
                    <m:r>
                      <m:t>x</m:t>
                    </m:r>
                    <m:r>
                      <m:t>&lt;</m:t>
                    </m:r>
                    <m:sSub>
                      <m:e>
                        <m:r>
                          <m:t>ξ</m:t>
                        </m:r>
                      </m:e>
                      <m:sub>
                        <m:r>
                          <m:t>k</m:t>
                        </m:r>
                      </m:sub>
                    </m:sSub>
                  </m:e>
                </m:mr>
                <m:mr>
                  <m:e>
                    <m:r>
                      <m:t>(</m:t>
                    </m:r>
                    <m:r>
                      <m:t>x</m:t>
                    </m:r>
                    <m:r>
                      <m:t>−</m:t>
                    </m:r>
                    <m:sSub>
                      <m:e>
                        <m:r>
                          <m:t>ξ</m:t>
                        </m:r>
                      </m:e>
                      <m:sub>
                        <m:r>
                          <m:t>k</m:t>
                        </m:r>
                      </m:sub>
                    </m:sSub>
                    <m:sSup>
                      <m:e>
                        <m:r>
                          <m:t>)</m:t>
                        </m:r>
                      </m:e>
                      <m:sup>
                        <m:r>
                          <m:t>D</m:t>
                        </m:r>
                      </m:sup>
                    </m:sSup>
                    <m:r>
                      <m:t>,</m:t>
                    </m:r>
                  </m:e>
                  <m:e>
                    <m:r>
                      <m:t>x</m:t>
                    </m:r>
                    <m:r>
                      <m:t>≥</m:t>
                    </m:r>
                    <m:sSub>
                      <m:e>
                        <m:r>
                          <m:t>ξ</m:t>
                        </m:r>
                      </m:e>
                      <m:sub>
                        <m:r>
                          <m:t>k</m:t>
                        </m:r>
                      </m:sub>
                    </m:sSub>
                  </m:e>
                </m:mr>
              </m:m>
            </m:e>
          </m:d>
        </m:oMath>
      </m:oMathPara>
    </w:p>
    <w:p>
      <w:pPr>
        <w:pStyle w:val="FirstParagraph"/>
      </w:pPr>
      <w:r>
        <w:t xml:space="preserve">We created another binned plot with 25 bins (Fig</w:t>
      </w:r>
      <w:r>
        <w:t xml:space="preserve"> </w:t>
      </w:r>
      <w:r>
        <w:t xml:space="preserve">9</w:t>
      </w:r>
      <w:r>
        <w:t xml:space="preserve">) in order to select knots (</w:t>
      </w:r>
      <m:oMath>
        <m:sSub>
          <m:e>
            <m:r>
              <m:t>ξ</m:t>
            </m:r>
          </m:e>
          <m:sub>
            <m:r>
              <m:t>k</m:t>
            </m:r>
          </m:sub>
        </m:sSub>
      </m:oMath>
      <w:r>
        <w:t xml:space="preserve">) granularly. The first knot is chosen as the cut point between black and blue segments, which takes the value of $71,674. Since year 10 salary is centered and scaled, this cut point should be</w:t>
      </w:r>
      <w:r>
        <w:t xml:space="preserve"> </w:t>
      </w:r>
      <m:oMath>
        <m:f>
          <m:fPr>
            <m:type m:val="bar"/>
          </m:fPr>
          <m:num>
            <m:r>
              <m:t>71</m:t>
            </m:r>
            <m:r>
              <m:t>,</m:t>
            </m:r>
            <m:r>
              <m:t>674</m:t>
            </m:r>
            <m:r>
              <m:t>−</m:t>
            </m:r>
            <m:r>
              <m:t>82</m:t>
            </m:r>
            <m:r>
              <m:t>,</m:t>
            </m:r>
            <m:r>
              <m:t>425</m:t>
            </m:r>
          </m:num>
          <m:den>
            <m:r>
              <m:t>10</m:t>
            </m:r>
            <m:r>
              <m:t>,</m:t>
            </m:r>
            <m:r>
              <m:t>000</m:t>
            </m:r>
          </m:den>
        </m:f>
        <m:r>
          <m:t>=</m:t>
        </m:r>
        <m:r>
          <m:t>−</m:t>
        </m:r>
        <m:r>
          <m:t>1.0751</m:t>
        </m:r>
      </m:oMath>
      <w:r>
        <w:t xml:space="preserve">. The second knot is chosen as the cut point between blue and red segments, which takes the value of $84,697 (</w:t>
      </w:r>
      <m:oMath>
        <m:f>
          <m:fPr>
            <m:type m:val="bar"/>
          </m:fPr>
          <m:num>
            <m:r>
              <m:t>84</m:t>
            </m:r>
            <m:r>
              <m:t>,</m:t>
            </m:r>
            <m:r>
              <m:t>697</m:t>
            </m:r>
            <m:r>
              <m:t>−</m:t>
            </m:r>
            <m:r>
              <m:t>82</m:t>
            </m:r>
            <m:r>
              <m:t>,</m:t>
            </m:r>
            <m:r>
              <m:t>425</m:t>
            </m:r>
          </m:num>
          <m:den>
            <m:r>
              <m:t>10</m:t>
            </m:r>
            <m:r>
              <m:t>,</m:t>
            </m:r>
            <m:r>
              <m:t>000</m:t>
            </m:r>
          </m:den>
        </m:f>
        <m:r>
          <m:t>=</m:t>
        </m:r>
        <m:r>
          <m:t>0.2272</m:t>
        </m:r>
      </m:oMath>
      <w:r>
        <w:t xml:space="preserve">).</w:t>
      </w:r>
    </w:p>
    <w:p>
      <w:pPr>
        <w:pStyle w:val="FigureWithCaption"/>
      </w:pPr>
      <w:r>
        <w:drawing>
          <wp:inline>
            <wp:extent cx="5334000" cy="3291840"/>
            <wp:effectExtent b="0" l="0" r="0" t="0"/>
            <wp:docPr descr="Figure 9 Year 10 Salary Binned Plot" title="" id="1" name="Picture"/>
            <a:graphic>
              <a:graphicData uri="http://schemas.openxmlformats.org/drawingml/2006/picture">
                <pic:pic>
                  <pic:nvPicPr>
                    <pic:cNvPr descr="figure/salary_binned3.png" id="0" name="Picture"/>
                    <pic:cNvPicPr>
                      <a:picLocks noChangeArrowheads="1" noChangeAspect="1"/>
                    </pic:cNvPicPr>
                  </pic:nvPicPr>
                  <pic:blipFill>
                    <a:blip r:embed="rId45"/>
                    <a:stretch>
                      <a:fillRect/>
                    </a:stretch>
                  </pic:blipFill>
                  <pic:spPr bwMode="auto">
                    <a:xfrm>
                      <a:off x="0" y="0"/>
                      <a:ext cx="5334000" cy="3291840"/>
                    </a:xfrm>
                    <a:prstGeom prst="rect">
                      <a:avLst/>
                    </a:prstGeom>
                    <a:noFill/>
                    <a:ln w="9525">
                      <a:noFill/>
                      <a:headEnd/>
                      <a:tailEnd/>
                    </a:ln>
                  </pic:spPr>
                </pic:pic>
              </a:graphicData>
            </a:graphic>
          </wp:inline>
        </w:drawing>
      </w:r>
    </w:p>
    <w:p>
      <w:pPr>
        <w:pStyle w:val="ImageCaption"/>
      </w:pPr>
      <w:r>
        <w:t xml:space="preserve">Figure 9 Year 10 Salary Binned Plot</w:t>
      </w:r>
    </w:p>
    <w:p>
      <w:pPr>
        <w:pStyle w:val="BodyText"/>
      </w:pPr>
      <w:r>
        <w:t xml:space="preserve">Spline function with higher degree</w:t>
      </w:r>
      <w:r>
        <w:t xml:space="preserve"> </w:t>
      </w:r>
      <m:oMath>
        <m:r>
          <m:t>D</m:t>
        </m:r>
      </m:oMath>
      <w:r>
        <w:t xml:space="preserve"> </w:t>
      </w:r>
      <w:r>
        <w:t xml:space="preserve">can better capture the non-linear relationship. However, we found it inappropriate to model the OPM data with higher degree</w:t>
      </w:r>
      <w:r>
        <w:t xml:space="preserve"> </w:t>
      </w:r>
      <m:oMath>
        <m:r>
          <m:t>D</m:t>
        </m:r>
      </m:oMath>
      <w:r>
        <w:t xml:space="preserve"> </w:t>
      </w:r>
      <w:r>
        <w:t xml:space="preserve">due to the small proportion of ones in outcome variable. To avoid overfitting, we chose a degree</w:t>
      </w:r>
      <w:r>
        <w:t xml:space="preserve"> </w:t>
      </w:r>
      <m:oMath>
        <m:r>
          <m:t>D</m:t>
        </m:r>
      </m:oMath>
      <w:r>
        <w:t xml:space="preserve"> </w:t>
      </w:r>
      <w:r>
        <w:t xml:space="preserve">of 1 for the spline function.</w:t>
      </w:r>
    </w:p>
    <w:p>
      <w:pPr>
        <w:pStyle w:val="BodyText"/>
      </w:pPr>
      <w:r>
        <w:t xml:space="preserve">To sum up, denote</w:t>
      </w:r>
      <w:r>
        <w:t xml:space="preserve"> </w:t>
      </w:r>
      <m:oMath>
        <m:r>
          <m:t>x</m:t>
        </m:r>
      </m:oMath>
      <w:r>
        <w:t xml:space="preserve"> </w:t>
      </w:r>
      <w:r>
        <w:t xml:space="preserve">as the year 10 salary after transformation. The prediction function for the piecewise linear spline is</w:t>
      </w:r>
    </w:p>
    <w:p>
      <w:pPr>
        <w:pStyle w:val="BodyText"/>
      </w:pPr>
      <m:oMathPara>
        <m:oMathParaPr>
          <m:jc m:val="center"/>
        </m:oMathParaPr>
        <m:oMath>
          <m:m>
            <m:mPr>
              <m:baseJc m:val="center"/>
              <m:plcHide m:val="1"/>
              <m:mcs>
                <m:mc>
                  <m:mcPr>
                    <m:mcJc m:val="right"/>
                    <m:count m:val="1"/>
                  </m:mcPr>
                </m:mc>
                <m:mc>
                  <m:mcPr>
                    <m:mcJc m:val="left"/>
                    <m:count m:val="1"/>
                  </m:mcPr>
                </m:mc>
              </m:mcs>
            </m:mPr>
            <m:mr>
              <m:e/>
              <m:e>
                <m:sSub>
                  <m:e>
                    <m:r>
                      <m:t>β</m:t>
                    </m:r>
                  </m:e>
                  <m:sub>
                    <m:r>
                      <m:t>0</m:t>
                    </m:r>
                  </m:sub>
                </m:sSub>
                <m:r>
                  <m:t>+</m:t>
                </m:r>
                <m:sSub>
                  <m:e>
                    <m:r>
                      <m:t>β</m:t>
                    </m:r>
                  </m:e>
                  <m:sub>
                    <m:r>
                      <m:t>1</m:t>
                    </m:r>
                  </m:sub>
                </m:sSub>
                <m:r>
                  <m:t>x</m:t>
                </m:r>
                <m:r>
                  <m:t>+</m:t>
                </m:r>
                <m:sSub>
                  <m:e>
                    <m:r>
                      <m:t>β</m:t>
                    </m:r>
                  </m:e>
                  <m:sub>
                    <m:r>
                      <m:t>2</m:t>
                    </m:r>
                  </m:sub>
                </m:sSub>
                <m:r>
                  <m:t>(</m:t>
                </m:r>
                <m:r>
                  <m:t>x</m:t>
                </m:r>
                <m:r>
                  <m:t>−</m:t>
                </m:r>
                <m:r>
                  <m:t>(</m:t>
                </m:r>
                <m:r>
                  <m:t>−</m:t>
                </m:r>
                <m:r>
                  <m:t>1.0751</m:t>
                </m:r>
                <m:r>
                  <m:t>)</m:t>
                </m:r>
                <m:sSub>
                  <m:e>
                    <m:r>
                      <m:t>)</m:t>
                    </m:r>
                  </m:e>
                  <m:sub>
                    <m:r>
                      <m:t>+</m:t>
                    </m:r>
                  </m:sub>
                </m:sSub>
                <m:r>
                  <m:t>+</m:t>
                </m:r>
                <m:sSub>
                  <m:e>
                    <m:r>
                      <m:t>β</m:t>
                    </m:r>
                  </m:e>
                  <m:sub>
                    <m:r>
                      <m:t>3</m:t>
                    </m:r>
                  </m:sub>
                </m:sSub>
                <m:r>
                  <m:t>(</m:t>
                </m:r>
                <m:r>
                  <m:t>x</m:t>
                </m:r>
                <m:r>
                  <m:t>−</m:t>
                </m:r>
                <m:r>
                  <m:t>0.2272</m:t>
                </m:r>
                <m:sSub>
                  <m:e>
                    <m:r>
                      <m:t>)</m:t>
                    </m:r>
                  </m:e>
                  <m:sub>
                    <m:r>
                      <m:t>+</m:t>
                    </m:r>
                  </m:sub>
                </m:sSub>
              </m:e>
            </m:mr>
            <m:mr>
              <m:e>
                <m:r>
                  <m:t>=</m:t>
                </m:r>
              </m:e>
              <m:e>
                <m:sSub>
                  <m:e>
                    <m:r>
                      <m:t>β</m:t>
                    </m:r>
                  </m:e>
                  <m:sub>
                    <m:r>
                      <m:t>0</m:t>
                    </m:r>
                  </m:sub>
                </m:sSub>
                <m:r>
                  <m:t>+</m:t>
                </m:r>
                <m:sSub>
                  <m:e>
                    <m:r>
                      <m:t>β</m:t>
                    </m:r>
                  </m:e>
                  <m:sub>
                    <m:r>
                      <m:t>1</m:t>
                    </m:r>
                  </m:sub>
                </m:sSub>
                <m:r>
                  <m:t>x</m:t>
                </m:r>
                <m:r>
                  <m:t>+</m:t>
                </m:r>
                <m:sSub>
                  <m:e>
                    <m:r>
                      <m:t>β</m:t>
                    </m:r>
                  </m:e>
                  <m:sub>
                    <m:r>
                      <m:t>2</m:t>
                    </m:r>
                  </m:sub>
                </m:sSub>
                <m:r>
                  <m:t>(</m:t>
                </m:r>
                <m:r>
                  <m:t>x</m:t>
                </m:r>
                <m:r>
                  <m:t>+</m:t>
                </m:r>
                <m:r>
                  <m:t>1.0751</m:t>
                </m:r>
                <m:r>
                  <m:t>)</m:t>
                </m:r>
                <m:r>
                  <m:t>(</m:t>
                </m:r>
                <m:r>
                  <m:t>I</m:t>
                </m:r>
                <m:r>
                  <m:t>[</m:t>
                </m:r>
                <m:r>
                  <m:t>x</m:t>
                </m:r>
                <m:r>
                  <m:t>≥</m:t>
                </m:r>
                <m:r>
                  <m:t>−</m:t>
                </m:r>
                <m:r>
                  <m:t>1.0751</m:t>
                </m:r>
                <m:r>
                  <m:t>]</m:t>
                </m:r>
                <m:r>
                  <m:t>)</m:t>
                </m:r>
                <m:r>
                  <m:t>+</m:t>
                </m:r>
                <m:sSub>
                  <m:e>
                    <m:r>
                      <m:t>β</m:t>
                    </m:r>
                  </m:e>
                  <m:sub>
                    <m:r>
                      <m:t>3</m:t>
                    </m:r>
                  </m:sub>
                </m:sSub>
                <m:r>
                  <m:t>(</m:t>
                </m:r>
                <m:r>
                  <m:t>x</m:t>
                </m:r>
                <m:r>
                  <m:t>−</m:t>
                </m:r>
                <m:r>
                  <m:t>0.2272</m:t>
                </m:r>
                <m:r>
                  <m:t>)</m:t>
                </m:r>
                <m:r>
                  <m:t>(</m:t>
                </m:r>
                <m:r>
                  <m:t>I</m:t>
                </m:r>
                <m:r>
                  <m:t>[</m:t>
                </m:r>
                <m:r>
                  <m:t>x</m:t>
                </m:r>
                <m:r>
                  <m:t>≥</m:t>
                </m:r>
                <m:r>
                  <m:t>0.2272</m:t>
                </m:r>
                <m:r>
                  <m:t>]</m:t>
                </m:r>
                <m:r>
                  <m:t>)</m:t>
                </m:r>
              </m:e>
            </m:mr>
          </m:m>
        </m:oMath>
      </m:oMathPara>
    </w:p>
    <w:p>
      <w:pPr>
        <w:pStyle w:val="FirstParagraph"/>
      </w:pPr>
      <w:r>
        <w:t xml:space="preserve">Specifically, if year 10 salary is below the first cut point, then coefficient</w:t>
      </w:r>
      <w:r>
        <w:t xml:space="preserve"> </w:t>
      </w:r>
      <m:oMath>
        <m:sSub>
          <m:e>
            <m:r>
              <m:t>β</m:t>
            </m:r>
          </m:e>
          <m:sub>
            <m:r>
              <m:t>2</m:t>
            </m:r>
          </m:sub>
        </m:sSub>
      </m:oMath>
      <w:r>
        <w:t xml:space="preserve"> </w:t>
      </w:r>
      <w:r>
        <w:t xml:space="preserve">and</w:t>
      </w:r>
      <w:r>
        <w:t xml:space="preserve"> </w:t>
      </w:r>
      <m:oMath>
        <m:sSub>
          <m:e>
            <m:r>
              <m:t>β</m:t>
            </m:r>
          </m:e>
          <m:sub>
            <m:r>
              <m:t>3</m:t>
            </m:r>
          </m:sub>
        </m:sSub>
      </m:oMath>
      <w:r>
        <w:t xml:space="preserve"> </w:t>
      </w:r>
      <w:r>
        <w:t xml:space="preserve">equals to 0. If year 10 salary is between the first and second cut point, the coefficient</w:t>
      </w:r>
      <w:r>
        <w:t xml:space="preserve"> </w:t>
      </w:r>
      <m:oMath>
        <m:sSub>
          <m:e>
            <m:r>
              <m:t>β</m:t>
            </m:r>
          </m:e>
          <m:sub>
            <m:r>
              <m:t>2</m:t>
            </m:r>
          </m:sub>
        </m:sSub>
      </m:oMath>
      <w:r>
        <w:t xml:space="preserve"> </w:t>
      </w:r>
      <w:r>
        <w:t xml:space="preserve">can help capture the difference in slopes. Similarly, if year 10 salary is above the second cut point, the coefficient</w:t>
      </w:r>
      <w:r>
        <w:t xml:space="preserve"> </w:t>
      </w:r>
      <m:oMath>
        <m:sSub>
          <m:e>
            <m:r>
              <m:t>β</m:t>
            </m:r>
          </m:e>
          <m:sub>
            <m:r>
              <m:t>3</m:t>
            </m:r>
          </m:sub>
        </m:sSub>
      </m:oMath>
      <w:r>
        <w:t xml:space="preserve"> </w:t>
      </w:r>
      <w:r>
        <w:t xml:space="preserve">along with</w:t>
      </w:r>
      <w:r>
        <w:t xml:space="preserve"> </w:t>
      </w:r>
      <m:oMath>
        <m:sSub>
          <m:e>
            <m:r>
              <m:t>β</m:t>
            </m:r>
          </m:e>
          <m:sub>
            <m:r>
              <m:t>2</m:t>
            </m:r>
          </m:sub>
        </m:sSub>
      </m:oMath>
      <w:r>
        <w:t xml:space="preserve"> </w:t>
      </w:r>
      <w:r>
        <w:t xml:space="preserve">can help capture the difference in slopes. We can rewrite the prediction equation as</w:t>
      </w:r>
    </w:p>
    <w:p>
      <w:pPr>
        <w:pStyle w:val="BodyText"/>
      </w:pPr>
      <m:oMathPara>
        <m:oMathParaPr>
          <m:jc m:val="center"/>
        </m:oMathParaPr>
        <m:oMath>
          <m:d>
            <m:dPr>
              <m:begChr m:val="{"/>
              <m:endChr m:val=""/>
              <m:grow/>
            </m:dPr>
            <m:e>
              <m:m>
                <m:mPr>
                  <m:baseJc m:val="center"/>
                  <m:plcHide m:val="1"/>
                  <m:mcs>
                    <m:mc>
                      <m:mcPr>
                        <m:mcJc m:val="left"/>
                        <m:count m:val="1"/>
                      </m:mcPr>
                    </m:mc>
                    <m:mc>
                      <m:mcPr>
                        <m:mcJc m:val="left"/>
                        <m:count m:val="1"/>
                      </m:mcPr>
                    </m:mc>
                  </m:mcs>
                </m:mPr>
                <m:mr>
                  <m:e>
                    <m:sSub>
                      <m:e>
                        <m:r>
                          <m:t>β</m:t>
                        </m:r>
                      </m:e>
                      <m:sub>
                        <m:r>
                          <m:t>0</m:t>
                        </m:r>
                      </m:sub>
                    </m:sSub>
                    <m:r>
                      <m:t>+</m:t>
                    </m:r>
                    <m:sSub>
                      <m:e>
                        <m:r>
                          <m:t>β</m:t>
                        </m:r>
                      </m:e>
                      <m:sub>
                        <m:r>
                          <m:t>1</m:t>
                        </m:r>
                      </m:sub>
                    </m:sSub>
                    <m:r>
                      <m:t>x</m:t>
                    </m:r>
                    <m:r>
                      <m:t>,</m:t>
                    </m:r>
                  </m:e>
                  <m:e>
                    <m:r>
                      <m:t>x</m:t>
                    </m:r>
                    <m:r>
                      <m:t>&lt;</m:t>
                    </m:r>
                    <m:r>
                      <m:t>−</m:t>
                    </m:r>
                    <m:r>
                      <m:t>1.0751</m:t>
                    </m:r>
                  </m:e>
                </m:mr>
                <m:mr>
                  <m:e>
                    <m:sSub>
                      <m:e>
                        <m:r>
                          <m:t>β</m:t>
                        </m:r>
                      </m:e>
                      <m:sub>
                        <m:r>
                          <m:t>0</m:t>
                        </m:r>
                      </m:sub>
                    </m:sSub>
                    <m:r>
                      <m:t>+</m:t>
                    </m:r>
                    <m:sSub>
                      <m:e>
                        <m:r>
                          <m:t>β</m:t>
                        </m:r>
                      </m:e>
                      <m:sub>
                        <m:r>
                          <m:t>1</m:t>
                        </m:r>
                      </m:sub>
                    </m:sSub>
                    <m:r>
                      <m:t>x</m:t>
                    </m:r>
                    <m:r>
                      <m:t>+</m:t>
                    </m:r>
                    <m:sSub>
                      <m:e>
                        <m:r>
                          <m:t>β</m:t>
                        </m:r>
                      </m:e>
                      <m:sub>
                        <m:r>
                          <m:t>2</m:t>
                        </m:r>
                      </m:sub>
                    </m:sSub>
                    <m:r>
                      <m:t>(</m:t>
                    </m:r>
                    <m:r>
                      <m:t>x</m:t>
                    </m:r>
                    <m:r>
                      <m:t>−</m:t>
                    </m:r>
                    <m:r>
                      <m:t>(</m:t>
                    </m:r>
                    <m:r>
                      <m:t>−</m:t>
                    </m:r>
                    <m:r>
                      <m:t>1.0751</m:t>
                    </m:r>
                    <m:r>
                      <m:t>)</m:t>
                    </m:r>
                    <m:sSub>
                      <m:e>
                        <m:r>
                          <m:t>)</m:t>
                        </m:r>
                      </m:e>
                      <m:sub>
                        <m:r>
                          <m:t>+</m:t>
                        </m:r>
                      </m:sub>
                    </m:sSub>
                    <m:r>
                      <m:t>,</m:t>
                    </m:r>
                  </m:e>
                  <m:e>
                    <m:r>
                      <m:t>−</m:t>
                    </m:r>
                    <m:r>
                      <m:t>1.0751</m:t>
                    </m:r>
                    <m:r>
                      <m:t>≤</m:t>
                    </m:r>
                    <m:r>
                      <m:t>x</m:t>
                    </m:r>
                    <m:r>
                      <m:t>&lt;</m:t>
                    </m:r>
                    <m:r>
                      <m:t>0.2272</m:t>
                    </m:r>
                  </m:e>
                </m:mr>
                <m:mr>
                  <m:e>
                    <m:sSub>
                      <m:e>
                        <m:r>
                          <m:t>β</m:t>
                        </m:r>
                      </m:e>
                      <m:sub>
                        <m:r>
                          <m:t>0</m:t>
                        </m:r>
                      </m:sub>
                    </m:sSub>
                    <m:r>
                      <m:t>+</m:t>
                    </m:r>
                    <m:sSub>
                      <m:e>
                        <m:r>
                          <m:t>β</m:t>
                        </m:r>
                      </m:e>
                      <m:sub>
                        <m:r>
                          <m:t>1</m:t>
                        </m:r>
                      </m:sub>
                    </m:sSub>
                    <m:r>
                      <m:t>x</m:t>
                    </m:r>
                    <m:r>
                      <m:t>+</m:t>
                    </m:r>
                    <m:sSub>
                      <m:e>
                        <m:r>
                          <m:t>β</m:t>
                        </m:r>
                      </m:e>
                      <m:sub>
                        <m:r>
                          <m:t>2</m:t>
                        </m:r>
                      </m:sub>
                    </m:sSub>
                    <m:r>
                      <m:t>(</m:t>
                    </m:r>
                    <m:r>
                      <m:t>x</m:t>
                    </m:r>
                    <m:r>
                      <m:t>−</m:t>
                    </m:r>
                    <m:r>
                      <m:t>(</m:t>
                    </m:r>
                    <m:r>
                      <m:t>−</m:t>
                    </m:r>
                    <m:r>
                      <m:t>1.0751</m:t>
                    </m:r>
                    <m:r>
                      <m:t>)</m:t>
                    </m:r>
                    <m:sSub>
                      <m:e>
                        <m:r>
                          <m:t>)</m:t>
                        </m:r>
                      </m:e>
                      <m:sub>
                        <m:r>
                          <m:t>+</m:t>
                        </m:r>
                      </m:sub>
                    </m:sSub>
                    <m:r>
                      <m:t>+</m:t>
                    </m:r>
                    <m:sSub>
                      <m:e>
                        <m:r>
                          <m:t>β</m:t>
                        </m:r>
                      </m:e>
                      <m:sub>
                        <m:r>
                          <m:t>3</m:t>
                        </m:r>
                      </m:sub>
                    </m:sSub>
                    <m:r>
                      <m:t>(</m:t>
                    </m:r>
                    <m:r>
                      <m:t>x</m:t>
                    </m:r>
                    <m:r>
                      <m:t>−</m:t>
                    </m:r>
                    <m:r>
                      <m:t>0.2272</m:t>
                    </m:r>
                    <m:sSub>
                      <m:e>
                        <m:r>
                          <m:t>)</m:t>
                        </m:r>
                      </m:e>
                      <m:sub>
                        <m:r>
                          <m:t>+</m:t>
                        </m:r>
                      </m:sub>
                    </m:sSub>
                    <m:r>
                      <m:t>,</m:t>
                    </m:r>
                  </m:e>
                  <m:e>
                    <m:r>
                      <m:t>x</m:t>
                    </m:r>
                    <m:r>
                      <m:t>≥</m:t>
                    </m:r>
                    <m:r>
                      <m:t>0.2272</m:t>
                    </m:r>
                  </m:e>
                </m:mr>
              </m:m>
            </m:e>
          </m:d>
        </m:oMath>
      </m:oMathPara>
    </w:p>
    <w:p>
      <w:pPr>
        <w:pStyle w:val="Heading2"/>
      </w:pPr>
      <w:bookmarkStart w:id="46" w:name="baseline"/>
      <w:bookmarkEnd w:id="46"/>
      <w:r>
        <w:t xml:space="preserve">Baseline</w:t>
      </w:r>
    </w:p>
    <w:p>
      <w:pPr>
        <w:pStyle w:val="FirstParagraph"/>
      </w:pPr>
      <w:r>
        <w:t xml:space="preserve">Other than covariate</w:t>
      </w:r>
      <w:r>
        <w:t xml:space="preserve"> </w:t>
      </w:r>
      <w:r>
        <w:rPr>
          <w:i/>
        </w:rPr>
        <w:t xml:space="preserve">Year 10 salary</w:t>
      </w:r>
      <w:r>
        <w:t xml:space="preserve">, the rest of the covariates are categorical variables. Given that the proportion of ones in outcome variable is small, it is important to select reasonable baseline for each categorical variable. For variable</w:t>
      </w:r>
      <w:r>
        <w:t xml:space="preserve"> </w:t>
      </w:r>
      <w:r>
        <w:rPr>
          <w:i/>
        </w:rPr>
        <w:t xml:space="preserve">Gender</w:t>
      </w:r>
      <w:r>
        <w:t xml:space="preserve">, we would like to learn whether women were put in disadvantages in promotion, so male is the baseline. For variable</w:t>
      </w:r>
      <w:r>
        <w:t xml:space="preserve"> </w:t>
      </w:r>
      <w:r>
        <w:rPr>
          <w:i/>
        </w:rPr>
        <w:t xml:space="preserve">Race</w:t>
      </w:r>
      <w:r>
        <w:t xml:space="preserve">, since the population size for white is the largest, white is the baseline. For variable</w:t>
      </w:r>
      <w:r>
        <w:t xml:space="preserve"> </w:t>
      </w:r>
      <w:r>
        <w:rPr>
          <w:i/>
        </w:rPr>
        <w:t xml:space="preserve">Education Level</w:t>
      </w:r>
      <w:r>
        <w:t xml:space="preserve">, Bachelor’s degree is the baseline because it is the most common degree federal employees earned. For variable</w:t>
      </w:r>
      <w:r>
        <w:t xml:space="preserve"> </w:t>
      </w:r>
      <w:r>
        <w:rPr>
          <w:i/>
        </w:rPr>
        <w:t xml:space="preserve">Department Switch</w:t>
      </w:r>
      <w:r>
        <w:t xml:space="preserve">, switch is the baseline. For variable</w:t>
      </w:r>
      <w:r>
        <w:t xml:space="preserve"> </w:t>
      </w:r>
      <w:r>
        <w:rPr>
          <w:i/>
        </w:rPr>
        <w:t xml:space="preserve">Occupational Category</w:t>
      </w:r>
      <w:r>
        <w:t xml:space="preserve">, Professional is the baseline. For variable</w:t>
      </w:r>
      <w:r>
        <w:t xml:space="preserve"> </w:t>
      </w:r>
      <w:r>
        <w:rPr>
          <w:i/>
        </w:rPr>
        <w:t xml:space="preserve">Supervisory Status</w:t>
      </w:r>
      <w:r>
        <w:t xml:space="preserve">, supervisor is the baseline. For variable</w:t>
      </w:r>
      <w:r>
        <w:t xml:space="preserve"> </w:t>
      </w:r>
      <w:r>
        <w:rPr>
          <w:i/>
        </w:rPr>
        <w:t xml:space="preserve">Year 10 Grade</w:t>
      </w:r>
      <w:r>
        <w:t xml:space="preserve">, regrouped grade 1 (grade 13 &amp; 14) is the baseline. For variable</w:t>
      </w:r>
      <w:r>
        <w:t xml:space="preserve"> </w:t>
      </w:r>
      <w:r>
        <w:rPr>
          <w:i/>
        </w:rPr>
        <w:t xml:space="preserve">Change in Pay Rate</w:t>
      </w:r>
      <w:r>
        <w:t xml:space="preserve">, change 2 (annual rate change between 5-10%) is the baseline.</w:t>
      </w:r>
    </w:p>
    <w:p>
      <w:pPr>
        <w:pStyle w:val="Heading2"/>
      </w:pPr>
      <w:bookmarkStart w:id="47" w:name="model-form"/>
      <w:bookmarkEnd w:id="47"/>
      <w:r>
        <w:t xml:space="preserve">Model Form</w:t>
      </w:r>
    </w:p>
    <w:p>
      <w:pPr>
        <w:pStyle w:val="FirstParagraph"/>
      </w:pPr>
      <w:r>
        <w:t xml:space="preserve">To sum up, the model takes the following form.</w:t>
      </w:r>
    </w:p>
    <w:p>
      <w:pPr>
        <w:pStyle w:val="BodyText"/>
      </w:pPr>
      <m:oMathPara>
        <m:oMathParaPr>
          <m:jc m:val="center"/>
        </m:oMathParaPr>
        <m:oMath>
          <m:m>
            <m:mPr>
              <m:baseJc m:val="center"/>
              <m:plcHide m:val="1"/>
              <m:mcs>
                <m:mc>
                  <m:mcPr>
                    <m:mcJc m:val="right"/>
                    <m:count m:val="1"/>
                  </m:mcPr>
                </m:mc>
                <m:mc>
                  <m:mcPr>
                    <m:mcJc m:val="left"/>
                    <m:count m:val="1"/>
                  </m:mcPr>
                </m:mc>
              </m:mcs>
            </m:mPr>
            <m:mr>
              <m:e>
                <m:r>
                  <m:t>l</m:t>
                </m:r>
                <m:r>
                  <m:t>o</m:t>
                </m:r>
                <m:r>
                  <m:t>g</m:t>
                </m:r>
                <m:r>
                  <m:t>i</m:t>
                </m:r>
                <m:r>
                  <m:t>t</m:t>
                </m:r>
                <m:r>
                  <m:t>(</m:t>
                </m:r>
                <m:r>
                  <m:t>p</m:t>
                </m:r>
                <m:r>
                  <m:t>r</m:t>
                </m:r>
                <m:r>
                  <m:t>o</m:t>
                </m:r>
                <m:r>
                  <m:t>m</m:t>
                </m:r>
                <m:r>
                  <m:t>o</m:t>
                </m:r>
                <m:r>
                  <m:t>t</m:t>
                </m:r>
                <m:r>
                  <m:t>e</m:t>
                </m:r>
                <m:r>
                  <m:t>d</m:t>
                </m:r>
                <m:r>
                  <m:t>)</m:t>
                </m:r>
              </m:e>
              <m:e>
                <m:r>
                  <m:t>=</m:t>
                </m:r>
                <m:sSub>
                  <m:e>
                    <m:r>
                      <m:t>β</m:t>
                    </m:r>
                  </m:e>
                  <m:sub>
                    <m:r>
                      <m:t>0</m:t>
                    </m:r>
                  </m:sub>
                </m:sSub>
                <m:r>
                  <m:t>+</m:t>
                </m:r>
                <m:sSub>
                  <m:e>
                    <m:r>
                      <m:t>β</m:t>
                    </m:r>
                  </m:e>
                  <m:sub>
                    <m:r>
                      <m:t>1</m:t>
                    </m:r>
                  </m:sub>
                </m:sSub>
                <m:r>
                  <m:rPr>
                    <m:sty m:val="p"/>
                  </m:rPr>
                  <m:t>Female</m:t>
                </m:r>
                <m:r>
                  <m:t>+</m:t>
                </m:r>
                <m:sSub>
                  <m:e>
                    <m:r>
                      <m:t>β</m:t>
                    </m:r>
                  </m:e>
                  <m:sub>
                    <m:r>
                      <m:t>2</m:t>
                    </m:r>
                  </m:sub>
                </m:sSub>
                <m:r>
                  <m:rPr>
                    <m:sty m:val="p"/>
                  </m:rPr>
                  <m:t>OccA</m:t>
                </m:r>
                <m:r>
                  <m:t>+</m:t>
                </m:r>
                <m:sSub>
                  <m:e>
                    <m:r>
                      <m:t>β</m:t>
                    </m:r>
                  </m:e>
                  <m:sub>
                    <m:r>
                      <m:t>3</m:t>
                    </m:r>
                  </m:sub>
                </m:sSub>
                <m:r>
                  <m:rPr>
                    <m:sty m:val="p"/>
                  </m:rPr>
                  <m:t>OccO</m:t>
                </m:r>
              </m:e>
            </m:mr>
            <m:mr>
              <m:e/>
              <m:e>
                <m:r>
                  <m:t>+</m:t>
                </m:r>
                <m:sSub>
                  <m:e>
                    <m:r>
                      <m:t>β</m:t>
                    </m:r>
                  </m:e>
                  <m:sub>
                    <m:r>
                      <m:t>4</m:t>
                    </m:r>
                  </m:sub>
                </m:sSub>
                <m:r>
                  <m:rPr>
                    <m:sty m:val="p"/>
                  </m:rPr>
                  <m:t>EducA</m:t>
                </m:r>
                <m:r>
                  <m:t>+</m:t>
                </m:r>
                <m:sSub>
                  <m:e>
                    <m:r>
                      <m:t>β</m:t>
                    </m:r>
                  </m:e>
                  <m:sub>
                    <m:r>
                      <m:t>5</m:t>
                    </m:r>
                  </m:sub>
                </m:sSub>
                <m:r>
                  <m:rPr>
                    <m:sty m:val="p"/>
                  </m:rPr>
                  <m:t>EducC</m:t>
                </m:r>
                <m:r>
                  <m:t>+</m:t>
                </m:r>
                <m:sSub>
                  <m:e>
                    <m:r>
                      <m:t>β</m:t>
                    </m:r>
                  </m:e>
                  <m:sub>
                    <m:r>
                      <m:t>6</m:t>
                    </m:r>
                  </m:sub>
                </m:sSub>
                <m:r>
                  <m:rPr>
                    <m:sty m:val="p"/>
                  </m:rPr>
                  <m:t>EducD</m:t>
                </m:r>
                <m:r>
                  <m:t>+</m:t>
                </m:r>
                <m:sSub>
                  <m:e>
                    <m:r>
                      <m:t>β</m:t>
                    </m:r>
                  </m:e>
                  <m:sub>
                    <m:r>
                      <m:t>7</m:t>
                    </m:r>
                  </m:sub>
                </m:sSub>
                <m:r>
                  <m:rPr>
                    <m:sty m:val="p"/>
                  </m:rPr>
                  <m:t>EducE</m:t>
                </m:r>
              </m:e>
            </m:mr>
            <m:mr>
              <m:e/>
              <m:e>
                <m:r>
                  <m:t>+</m:t>
                </m:r>
                <m:sSub>
                  <m:e>
                    <m:r>
                      <m:t>β</m:t>
                    </m:r>
                  </m:e>
                  <m:sub>
                    <m:r>
                      <m:t>8</m:t>
                    </m:r>
                  </m:sub>
                </m:sSub>
                <m:r>
                  <m:rPr>
                    <m:sty m:val="p"/>
                  </m:rPr>
                  <m:t>Non-White</m:t>
                </m:r>
                <m:r>
                  <m:t>+</m:t>
                </m:r>
                <m:sSub>
                  <m:e>
                    <m:r>
                      <m:t>β</m:t>
                    </m:r>
                  </m:e>
                  <m:sub>
                    <m:r>
                      <m:t>9</m:t>
                    </m:r>
                  </m:sub>
                </m:sSub>
                <m:r>
                  <m:rPr>
                    <m:sty m:val="p"/>
                  </m:rPr>
                  <m:t>NoSwitch</m:t>
                </m:r>
                <m:r>
                  <m:t>+</m:t>
                </m:r>
                <m:sSub>
                  <m:e>
                    <m:r>
                      <m:t>β</m:t>
                    </m:r>
                  </m:e>
                  <m:sub>
                    <m:r>
                      <m:t>10</m:t>
                    </m:r>
                  </m:sub>
                </m:sSub>
                <m:r>
                  <m:rPr>
                    <m:sty m:val="p"/>
                  </m:rPr>
                  <m:t>Non-Supervisor</m:t>
                </m:r>
              </m:e>
            </m:mr>
            <m:mr>
              <m:e/>
              <m:e>
                <m:r>
                  <m:t>+</m:t>
                </m:r>
                <m:sSub>
                  <m:e>
                    <m:r>
                      <m:t>β</m:t>
                    </m:r>
                  </m:e>
                  <m:sub>
                    <m:r>
                      <m:t>11</m:t>
                    </m:r>
                  </m:sub>
                </m:sSub>
                <m:r>
                  <m:rPr>
                    <m:sty m:val="p"/>
                  </m:rPr>
                  <m:t>Grade0</m:t>
                </m:r>
                <m:r>
                  <m:t>+</m:t>
                </m:r>
                <m:sSub>
                  <m:e>
                    <m:r>
                      <m:t>β</m:t>
                    </m:r>
                  </m:e>
                  <m:sub>
                    <m:r>
                      <m:t>12</m:t>
                    </m:r>
                  </m:sub>
                </m:sSub>
                <m:r>
                  <m:rPr>
                    <m:sty m:val="p"/>
                  </m:rPr>
                  <m:t>Grade2</m:t>
                </m:r>
                <m:r>
                  <m:t>+</m:t>
                </m:r>
                <m:sSub>
                  <m:e>
                    <m:r>
                      <m:t>β</m:t>
                    </m:r>
                  </m:e>
                  <m:sub>
                    <m:r>
                      <m:t>13</m:t>
                    </m:r>
                  </m:sub>
                </m:sSub>
                <m:r>
                  <m:rPr>
                    <m:sty m:val="p"/>
                  </m:rPr>
                  <m:t>ScaledSalary</m:t>
                </m:r>
              </m:e>
            </m:mr>
            <m:mr>
              <m:e/>
              <m:e>
                <m:r>
                  <m:t>+</m:t>
                </m:r>
                <m:sSub>
                  <m:e>
                    <m:r>
                      <m:t>β</m:t>
                    </m:r>
                  </m:e>
                  <m:sub>
                    <m:r>
                      <m:t>14</m:t>
                    </m:r>
                  </m:sub>
                </m:sSub>
                <m:r>
                  <m:t>(</m:t>
                </m:r>
                <m:r>
                  <m:rPr>
                    <m:sty m:val="p"/>
                  </m:rPr>
                  <m:t>ScaledSalary</m:t>
                </m:r>
                <m:r>
                  <m:t>+</m:t>
                </m:r>
                <m:r>
                  <m:t>1.0751</m:t>
                </m:r>
                <m:r>
                  <m:t>)</m:t>
                </m:r>
                <m:r>
                  <m:t>*</m:t>
                </m:r>
                <m:r>
                  <m:t>I</m:t>
                </m:r>
                <m:r>
                  <m:t>[</m:t>
                </m:r>
                <m:r>
                  <m:rPr>
                    <m:sty m:val="p"/>
                  </m:rPr>
                  <m:t>ScaledSalary</m:t>
                </m:r>
                <m:r>
                  <m:t>≥</m:t>
                </m:r>
                <m:r>
                  <m:t>−</m:t>
                </m:r>
                <m:r>
                  <m:t>1.0751</m:t>
                </m:r>
                <m:r>
                  <m:t>]</m:t>
                </m:r>
              </m:e>
            </m:mr>
            <m:mr>
              <m:e/>
              <m:e>
                <m:r>
                  <m:t>+</m:t>
                </m:r>
                <m:sSub>
                  <m:e>
                    <m:r>
                      <m:t>β</m:t>
                    </m:r>
                  </m:e>
                  <m:sub>
                    <m:r>
                      <m:t>15</m:t>
                    </m:r>
                  </m:sub>
                </m:sSub>
                <m:r>
                  <m:t>(</m:t>
                </m:r>
                <m:r>
                  <m:rPr>
                    <m:sty m:val="p"/>
                  </m:rPr>
                  <m:t>ScaledSalary</m:t>
                </m:r>
                <m:r>
                  <m:t>−</m:t>
                </m:r>
                <m:r>
                  <m:t>0.2272</m:t>
                </m:r>
                <m:r>
                  <m:t>)</m:t>
                </m:r>
                <m:r>
                  <m:t>*</m:t>
                </m:r>
                <m:r>
                  <m:t>I</m:t>
                </m:r>
                <m:r>
                  <m:t>[</m:t>
                </m:r>
                <m:r>
                  <m:rPr>
                    <m:sty m:val="p"/>
                  </m:rPr>
                  <m:t>ScaledSalary</m:t>
                </m:r>
                <m:r>
                  <m:t>≥</m:t>
                </m:r>
                <m:r>
                  <m:t>0.2272</m:t>
                </m:r>
                <m:r>
                  <m:t>]</m:t>
                </m:r>
              </m:e>
            </m:mr>
            <m:mr>
              <m:e/>
              <m:e>
                <m:r>
                  <m:t>+</m:t>
                </m:r>
                <m:sSub>
                  <m:e>
                    <m:r>
                      <m:t>β</m:t>
                    </m:r>
                  </m:e>
                  <m:sub>
                    <m:r>
                      <m:t>16</m:t>
                    </m:r>
                  </m:sub>
                </m:sSub>
                <m:r>
                  <m:rPr>
                    <m:sty m:val="p"/>
                  </m:rPr>
                  <m:t>Change1</m:t>
                </m:r>
                <m:r>
                  <m:t>+</m:t>
                </m:r>
                <m:sSub>
                  <m:e>
                    <m:r>
                      <m:t>β</m:t>
                    </m:r>
                  </m:e>
                  <m:sub>
                    <m:r>
                      <m:t>17</m:t>
                    </m:r>
                  </m:sub>
                </m:sSub>
                <m:r>
                  <m:rPr>
                    <m:sty m:val="p"/>
                  </m:rPr>
                  <m:t>Change3</m:t>
                </m:r>
              </m:e>
            </m:mr>
          </m:m>
        </m:oMath>
      </m:oMathPara>
    </w:p>
    <w:p>
      <w:pPr>
        <w:pStyle w:val="Heading1"/>
      </w:pPr>
      <w:bookmarkStart w:id="48" w:name="pooled-analysis"/>
      <w:bookmarkEnd w:id="48"/>
      <w:r>
        <w:t xml:space="preserve">Pooled Analysis</w:t>
      </w:r>
    </w:p>
    <w:p>
      <w:pPr>
        <w:pStyle w:val="FirstParagraph"/>
      </w:pPr>
      <w:r>
        <w:t xml:space="preserve">We estimated the model coefficients of each completed dataset and conducted model diagnostic based on one completed dataset. We then combined model results of all datasets for inference.</w:t>
      </w:r>
    </w:p>
    <w:p>
      <w:pPr>
        <w:pStyle w:val="Heading2"/>
      </w:pPr>
      <w:bookmarkStart w:id="49" w:name="estimates-of-model-coefficients"/>
      <w:bookmarkEnd w:id="49"/>
      <w:r>
        <w:t xml:space="preserve">Estimates of model coefficients</w:t>
      </w:r>
    </w:p>
    <w:p>
      <w:pPr>
        <w:pStyle w:val="FirstParagraph"/>
      </w:pPr>
      <w:r>
        <w:t xml:space="preserve">In a frequentist setting, estimates of model coefficients are computed through maximum likelihood estimation. In a Bayesian setting, estimates of model coefficients are computed through posterior distribution, which requires the specification of prior distributions.</w:t>
      </w:r>
    </w:p>
    <w:p>
      <w:pPr>
        <w:pStyle w:val="BodyText"/>
      </w:pPr>
      <w:r>
        <w:t xml:space="preserve">Prior to seeing the data, we assumed that the intercept (</w:t>
      </w:r>
      <m:oMath>
        <m:sSub>
          <m:e>
            <m:r>
              <m:t>β</m:t>
            </m:r>
          </m:e>
          <m:sub>
            <m:r>
              <m:t>0</m:t>
            </m:r>
          </m:sub>
        </m:sSub>
      </m:oMath>
      <w:r>
        <w:t xml:space="preserve">) have normal distribution with mean -3 and variance 2. The coefficients of the predictors (</w:t>
      </w:r>
      <m:oMath>
        <m:r>
          <m:t>β</m:t>
        </m:r>
        <m:r>
          <m:t>=</m:t>
        </m:r>
        <m:sSub>
          <m:e>
            <m:r>
              <m:t>β</m:t>
            </m:r>
          </m:e>
          <m:sub>
            <m:r>
              <m:t>1</m:t>
            </m:r>
          </m:sub>
        </m:sSub>
        <m:r>
          <m:t>,</m:t>
        </m:r>
        <m:r>
          <m:t>.</m:t>
        </m:r>
        <m:r>
          <m:t>.</m:t>
        </m:r>
        <m:r>
          <m:t>.</m:t>
        </m:r>
        <m:r>
          <m:t>,</m:t>
        </m:r>
        <m:sSub>
          <m:e>
            <m:r>
              <m:t>β</m:t>
            </m:r>
          </m:e>
          <m:sub>
            <m:r>
              <m:t>17</m:t>
            </m:r>
          </m:sub>
        </m:sSub>
      </m:oMath>
      <w:r>
        <w:t xml:space="preserve">) have normal distribution with mean 0 and variance 5 - that</w:t>
      </w:r>
      <w:r>
        <w:t xml:space="preserve"> </w:t>
      </w:r>
      <m:oMath>
        <m:r>
          <m:t>β</m:t>
        </m:r>
      </m:oMath>
      <w:r>
        <w:t xml:space="preserve"> </w:t>
      </w:r>
      <w:r>
        <w:t xml:space="preserve">are as likely to be positive as they are to be negative but unlikely to be far away from zero. After observing the data, we modeled the likelihood of each observation as a binomial distribution</w:t>
      </w:r>
      <w:r>
        <w:t xml:space="preserve"> </w:t>
      </w:r>
      <m:oMath>
        <m:r>
          <m:t>p</m:t>
        </m:r>
        <m:r>
          <m:t>(</m:t>
        </m:r>
        <m:sSub>
          <m:e>
            <m:r>
              <m:t>y</m:t>
            </m:r>
          </m:e>
          <m:sub>
            <m:r>
              <m:t>i</m:t>
            </m:r>
          </m:sub>
        </m:sSub>
        <m:r>
          <m:t>|</m:t>
        </m:r>
        <m:sSub>
          <m:e>
            <m:r>
              <m:t>x</m:t>
            </m:r>
          </m:e>
          <m:sub>
            <m:r>
              <m:t>i</m:t>
            </m:r>
          </m:sub>
        </m:sSub>
        <m:r>
          <m:t>,</m:t>
        </m:r>
        <m:sSub>
          <m:e>
            <m:r>
              <m:t>β</m:t>
            </m:r>
          </m:e>
          <m:sub>
            <m:r>
              <m:t>0</m:t>
            </m:r>
          </m:sub>
        </m:sSub>
        <m:r>
          <m:t>,</m:t>
        </m:r>
        <m:sSub>
          <m:e>
            <m:r>
              <m:t>β</m:t>
            </m:r>
          </m:e>
          <m:sub>
            <m:r>
              <m:t>1</m:t>
            </m:r>
          </m:sub>
        </m:sSub>
        <m:r>
          <m:t>,</m:t>
        </m:r>
        <m:r>
          <m:t>.</m:t>
        </m:r>
        <m:r>
          <m:t>.</m:t>
        </m:r>
        <m:r>
          <m:t>.</m:t>
        </m:r>
        <m:r>
          <m:t>,</m:t>
        </m:r>
        <m:sSub>
          <m:e>
            <m:r>
              <m:t>β</m:t>
            </m:r>
          </m:e>
          <m:sub>
            <m:r>
              <m:t>17</m:t>
            </m:r>
          </m:sub>
        </m:sSub>
        <m:r>
          <m:t>)</m:t>
        </m:r>
        <m:r>
          <m:t>=</m:t>
        </m:r>
        <m:r>
          <m:t>B</m:t>
        </m:r>
        <m:r>
          <m:t>i</m:t>
        </m:r>
        <m:r>
          <m:t>n</m:t>
        </m:r>
        <m:r>
          <m:t>o</m:t>
        </m:r>
        <m:r>
          <m:t>m</m:t>
        </m:r>
        <m:r>
          <m:t>i</m:t>
        </m:r>
        <m:r>
          <m:t>a</m:t>
        </m:r>
        <m:r>
          <m:t>l</m:t>
        </m:r>
        <m:r>
          <m:t>(</m:t>
        </m:r>
        <m:r>
          <m:t>1</m:t>
        </m:r>
        <m:r>
          <m:t>,</m:t>
        </m:r>
        <m:sSub>
          <m:e>
            <m:r>
              <m:t>π</m:t>
            </m:r>
          </m:e>
          <m:sub>
            <m:r>
              <m:t>i</m:t>
            </m:r>
          </m:sub>
        </m:sSub>
        <m:r>
          <m:t>)</m:t>
        </m:r>
      </m:oMath>
      <w:r>
        <w:t xml:space="preserve"> </w:t>
      </w:r>
      <w:r>
        <w:t xml:space="preserve">for</w:t>
      </w:r>
      <w:r>
        <w:t xml:space="preserve"> </w:t>
      </w:r>
      <m:oMath>
        <m:r>
          <m:t>i</m:t>
        </m:r>
        <m:r>
          <m:t>=</m:t>
        </m:r>
        <m:r>
          <m:t>1</m:t>
        </m:r>
        <m:r>
          <m:t>,</m:t>
        </m:r>
        <m:r>
          <m:t>.</m:t>
        </m:r>
        <m:r>
          <m:t>.</m:t>
        </m:r>
        <m:r>
          <m:t>.</m:t>
        </m:r>
        <m:r>
          <m:t>,</m:t>
        </m:r>
        <m:r>
          <m:t>n</m:t>
        </m:r>
      </m:oMath>
      <w:r>
        <w:t xml:space="preserve">;</w:t>
      </w:r>
      <w:r>
        <w:t xml:space="preserve"> </w:t>
      </w:r>
      <m:oMath>
        <m:sSub>
          <m:e>
            <m:r>
              <m:t>π</m:t>
            </m:r>
          </m:e>
          <m:sub>
            <m:r>
              <m:t>i</m:t>
            </m:r>
          </m:sub>
        </m:sSub>
      </m:oMath>
      <w:r>
        <w:t xml:space="preserve"> </w:t>
      </w:r>
      <w:r>
        <w:t xml:space="preserve">is the probability of getting promoted, where</w:t>
      </w:r>
      <w:r>
        <w:t xml:space="preserve"> </w:t>
      </w:r>
      <m:oMath>
        <m:sSub>
          <m:e>
            <m:r>
              <m:t>π</m:t>
            </m:r>
          </m:e>
          <m:sub>
            <m:r>
              <m:t>i</m:t>
            </m:r>
          </m:sub>
        </m:sSub>
        <m:r>
          <m:t>=</m:t>
        </m:r>
        <m:r>
          <m:t>l</m:t>
        </m:r>
        <m:r>
          <m:t>o</m:t>
        </m:r>
        <m:r>
          <m:t>g</m:t>
        </m:r>
        <m:r>
          <m:t>i</m:t>
        </m:r>
        <m:sSup>
          <m:e>
            <m:r>
              <m:t>t</m:t>
            </m:r>
          </m:e>
          <m:sup>
            <m:r>
              <m:t>−</m:t>
            </m:r>
            <m:r>
              <m:t>1</m:t>
            </m:r>
          </m:sup>
        </m:sSup>
        <m:r>
          <m:t>(</m:t>
        </m:r>
        <m:sSub>
          <m:e>
            <m:r>
              <m:t>β</m:t>
            </m:r>
          </m:e>
          <m:sub>
            <m:r>
              <m:t>0</m:t>
            </m:r>
          </m:sub>
        </m:sSub>
        <m:r>
          <m:t>+</m:t>
        </m:r>
        <m:r>
          <m:t>β</m:t>
        </m:r>
        <m:r>
          <m:t>⋅</m:t>
        </m:r>
        <m:sSub>
          <m:e>
            <m:r>
              <m:t>x</m:t>
            </m:r>
          </m:e>
          <m:sub>
            <m:r>
              <m:t>i</m:t>
            </m:r>
          </m:sub>
        </m:sSub>
        <m:r>
          <m:t>)</m:t>
        </m:r>
        <m:r>
          <m:t>=</m:t>
        </m:r>
        <m:f>
          <m:fPr>
            <m:type m:val="bar"/>
          </m:fPr>
          <m:num>
            <m:r>
              <m:t>e</m:t>
            </m:r>
            <m:r>
              <m:t>x</m:t>
            </m:r>
            <m:r>
              <m:t>p</m:t>
            </m:r>
            <m:r>
              <m:t>(</m:t>
            </m:r>
            <m:sSub>
              <m:e>
                <m:r>
                  <m:t>β</m:t>
                </m:r>
              </m:e>
              <m:sub>
                <m:r>
                  <m:t>0</m:t>
                </m:r>
              </m:sub>
            </m:sSub>
            <m:r>
              <m:t>+</m:t>
            </m:r>
            <m:r>
              <m:t>β</m:t>
            </m:r>
            <m:r>
              <m:t>⋅</m:t>
            </m:r>
            <m:sSub>
              <m:e>
                <m:r>
                  <m:t>x</m:t>
                </m:r>
              </m:e>
              <m:sub>
                <m:r>
                  <m:t>i</m:t>
                </m:r>
              </m:sub>
            </m:sSub>
            <m:r>
              <m:t>)</m:t>
            </m:r>
          </m:num>
          <m:den>
            <m:r>
              <m:t>1</m:t>
            </m:r>
            <m:r>
              <m:t>+</m:t>
            </m:r>
            <m:r>
              <m:t>e</m:t>
            </m:r>
            <m:r>
              <m:t>x</m:t>
            </m:r>
            <m:r>
              <m:t>p</m:t>
            </m:r>
            <m:r>
              <m:t>(</m:t>
            </m:r>
            <m:sSub>
              <m:e>
                <m:r>
                  <m:t>β</m:t>
                </m:r>
              </m:e>
              <m:sub>
                <m:r>
                  <m:t>0</m:t>
                </m:r>
              </m:sub>
            </m:sSub>
            <m:r>
              <m:t>+</m:t>
            </m:r>
            <m:r>
              <m:t>β</m:t>
            </m:r>
            <m:r>
              <m:t>⋅</m:t>
            </m:r>
            <m:sSub>
              <m:e>
                <m:r>
                  <m:t>x</m:t>
                </m:r>
              </m:e>
              <m:sub>
                <m:r>
                  <m:t>i</m:t>
                </m:r>
              </m:sub>
            </m:sSub>
            <m:r>
              <m:t>)</m:t>
            </m:r>
          </m:den>
        </m:f>
      </m:oMath>
      <w:r>
        <w:t xml:space="preserve">. The posterior distribution is proportional to the product of the priors and the likelihood distribution. To sum up, the posterior distribution is derived as below.</w:t>
      </w:r>
    </w:p>
    <w:p>
      <w:pPr>
        <w:pStyle w:val="BodyText"/>
      </w:pPr>
      <w:r>
        <w:rPr>
          <w:b/>
        </w:rPr>
        <w:t xml:space="preserve">Prior Distribution</w:t>
      </w:r>
    </w:p>
    <w:p>
      <w:pPr>
        <w:pStyle w:val="BodyText"/>
      </w:pPr>
      <m:oMathPara>
        <m:oMathParaPr>
          <m:jc m:val="center"/>
        </m:oMathParaPr>
        <m:oMath>
          <m:m>
            <m:mPr>
              <m:baseJc m:val="center"/>
              <m:plcHide m:val="1"/>
              <m:mcs>
                <m:mc>
                  <m:mcPr>
                    <m:mcJc m:val="right"/>
                    <m:count m:val="1"/>
                  </m:mcPr>
                </m:mc>
                <m:mc>
                  <m:mcPr>
                    <m:mcJc m:val="left"/>
                    <m:count m:val="1"/>
                  </m:mcPr>
                </m:mc>
              </m:mcs>
            </m:mPr>
            <m:mr>
              <m:e>
                <m:r>
                  <m:t>f</m:t>
                </m:r>
                <m:r>
                  <m:t>(</m:t>
                </m:r>
                <m:sSub>
                  <m:e>
                    <m:r>
                      <m:t>β</m:t>
                    </m:r>
                  </m:e>
                  <m:sub>
                    <m:r>
                      <m:t>0</m:t>
                    </m:r>
                  </m:sub>
                </m:sSub>
                <m:r>
                  <m:t>)</m:t>
                </m:r>
              </m:e>
              <m:e>
                <m:r>
                  <m:t>=</m:t>
                </m:r>
                <m:r>
                  <m:t>N</m:t>
                </m:r>
                <m:r>
                  <m:t>(</m:t>
                </m:r>
                <m:r>
                  <m:t>−</m:t>
                </m:r>
                <m:r>
                  <m:t>3</m:t>
                </m:r>
                <m:r>
                  <m:t>,</m:t>
                </m:r>
                <m:r>
                  <m:t>2</m:t>
                </m:r>
                <m:r>
                  <m:t>)</m:t>
                </m:r>
              </m:e>
            </m:mr>
            <m:mr>
              <m:e>
                <m:r>
                  <m:t>f</m:t>
                </m:r>
                <m:r>
                  <m:t>(</m:t>
                </m:r>
                <m:sSub>
                  <m:e>
                    <m:r>
                      <m:t>β</m:t>
                    </m:r>
                  </m:e>
                  <m:sub>
                    <m:r>
                      <m:t>k</m:t>
                    </m:r>
                  </m:sub>
                </m:sSub>
                <m:r>
                  <m:t>)</m:t>
                </m:r>
              </m:e>
              <m:e>
                <m:r>
                  <m:t>=</m:t>
                </m:r>
                <m:r>
                  <m:t>N</m:t>
                </m:r>
                <m:r>
                  <m:t>(</m:t>
                </m:r>
                <m:r>
                  <m:t>0</m:t>
                </m:r>
                <m:r>
                  <m:t>,</m:t>
                </m:r>
                <m:r>
                  <m:t>5</m:t>
                </m:r>
                <m:r>
                  <m:t>)</m:t>
                </m:r>
                <m:r>
                  <m:t>,</m:t>
                </m:r>
                <m:r>
                  <m:t>k</m:t>
                </m:r>
                <m:r>
                  <m:t>=</m:t>
                </m:r>
                <m:r>
                  <m:t>1</m:t>
                </m:r>
                <m:r>
                  <m:t>,</m:t>
                </m:r>
                <m:r>
                  <m:t>.</m:t>
                </m:r>
                <m:r>
                  <m:t>.</m:t>
                </m:r>
                <m:r>
                  <m:t>.</m:t>
                </m:r>
                <m:r>
                  <m:t>,</m:t>
                </m:r>
                <m:r>
                  <m:t>17</m:t>
                </m:r>
              </m:e>
            </m:mr>
          </m:m>
        </m:oMath>
      </m:oMathPara>
    </w:p>
    <w:p>
      <w:pPr>
        <w:pStyle w:val="FirstParagraph"/>
      </w:pPr>
      <w:r>
        <w:rPr>
          <w:b/>
        </w:rPr>
        <w:t xml:space="preserve">Likelihood</w:t>
      </w:r>
    </w:p>
    <w:p>
      <w:pPr>
        <w:pStyle w:val="BodyText"/>
      </w:pPr>
      <m:oMathPara>
        <m:oMathParaPr>
          <m:jc m:val="center"/>
        </m:oMathParaPr>
        <m:oMath>
          <m:m>
            <m:mPr>
              <m:baseJc m:val="center"/>
              <m:plcHide m:val="1"/>
              <m:mcs>
                <m:mc>
                  <m:mcPr>
                    <m:mcJc m:val="right"/>
                    <m:count m:val="1"/>
                  </m:mcPr>
                </m:mc>
                <m:mc>
                  <m:mcPr>
                    <m:mcJc m:val="left"/>
                    <m:count m:val="1"/>
                  </m:mcPr>
                </m:mc>
              </m:mcs>
            </m:mPr>
            <m:mr>
              <m:e>
                <m:r>
                  <m:t>p</m:t>
                </m:r>
                <m:r>
                  <m:t>(</m:t>
                </m:r>
                <m:r>
                  <m:t>Y</m:t>
                </m:r>
                <m:r>
                  <m:t>|</m:t>
                </m:r>
                <m:sSup>
                  <m:e>
                    <m:r>
                      <m:t>x</m:t>
                    </m:r>
                  </m:e>
                  <m:sup>
                    <m:r>
                      <m:t>c</m:t>
                    </m:r>
                    <m:r>
                      <m:t>m</m:t>
                    </m:r>
                    <m:r>
                      <m:t>p</m:t>
                    </m:r>
                  </m:sup>
                </m:sSup>
                <m:r>
                  <m:t>,</m:t>
                </m:r>
                <m:sSub>
                  <m:e>
                    <m:r>
                      <m:t>β</m:t>
                    </m:r>
                  </m:e>
                  <m:sub>
                    <m:r>
                      <m:t>0</m:t>
                    </m:r>
                  </m:sub>
                </m:sSub>
                <m:r>
                  <m:t>,</m:t>
                </m:r>
                <m:r>
                  <m:t>β</m:t>
                </m:r>
                <m:r>
                  <m:t>)</m:t>
                </m:r>
              </m:e>
              <m:e>
                <m:r>
                  <m:t>=</m:t>
                </m:r>
                <m:nary>
                  <m:naryPr>
                    <m:chr m:val="∏"/>
                    <m:limLoc m:val="undOvr"/>
                    <m:subHide m:val="0"/>
                    <m:supHide m:val="0"/>
                  </m:naryPr>
                  <m:sub>
                    <m:r>
                      <m:t>i</m:t>
                    </m:r>
                    <m:r>
                      <m:t>=</m:t>
                    </m:r>
                    <m:r>
                      <m:t>1</m:t>
                    </m:r>
                  </m:sub>
                  <m:sup>
                    <m:r>
                      <m:t>n</m:t>
                    </m:r>
                  </m:sup>
                  <m:e>
                    <m:r>
                      <m:t>p</m:t>
                    </m:r>
                  </m:e>
                </m:nary>
                <m:r>
                  <m:t>(</m:t>
                </m:r>
                <m:sSub>
                  <m:e>
                    <m:r>
                      <m:t>y</m:t>
                    </m:r>
                  </m:e>
                  <m:sub>
                    <m:r>
                      <m:t>i</m:t>
                    </m:r>
                  </m:sub>
                </m:sSub>
                <m:r>
                  <m:t>|</m:t>
                </m:r>
                <m:sSub>
                  <m:e>
                    <m:r>
                      <m:t>x</m:t>
                    </m:r>
                  </m:e>
                  <m:sub>
                    <m:r>
                      <m:t>i</m:t>
                    </m:r>
                  </m:sub>
                </m:sSub>
                <m:r>
                  <m:t>,</m:t>
                </m:r>
                <m:sSub>
                  <m:e>
                    <m:r>
                      <m:t>β</m:t>
                    </m:r>
                  </m:e>
                  <m:sub>
                    <m:r>
                      <m:t>0</m:t>
                    </m:r>
                  </m:sub>
                </m:sSub>
                <m:r>
                  <m:t>,</m:t>
                </m:r>
                <m:r>
                  <m:t>β</m:t>
                </m:r>
                <m:r>
                  <m:t>)</m:t>
                </m:r>
              </m:e>
            </m:mr>
            <m:mr>
              <m:e/>
              <m:e>
                <m:r>
                  <m:t>=</m:t>
                </m:r>
                <m:nary>
                  <m:naryPr>
                    <m:chr m:val="∏"/>
                    <m:limLoc m:val="undOvr"/>
                    <m:subHide m:val="0"/>
                    <m:supHide m:val="0"/>
                  </m:naryPr>
                  <m:sub>
                    <m:r>
                      <m:t>i</m:t>
                    </m:r>
                    <m:r>
                      <m:t>=</m:t>
                    </m:r>
                    <m:r>
                      <m:t>1</m:t>
                    </m:r>
                  </m:sub>
                  <m:sup>
                    <m:r>
                      <m:t>n</m:t>
                    </m:r>
                  </m:sup>
                  <m:e>
                    <m:r>
                      <m:t>[</m:t>
                    </m:r>
                  </m:e>
                </m:nary>
                <m:r>
                  <m:t>l</m:t>
                </m:r>
                <m:r>
                  <m:t>o</m:t>
                </m:r>
                <m:r>
                  <m:t>g</m:t>
                </m:r>
                <m:r>
                  <m:t>i</m:t>
                </m:r>
                <m:sSup>
                  <m:e>
                    <m:r>
                      <m:t>t</m:t>
                    </m:r>
                  </m:e>
                  <m:sup>
                    <m:r>
                      <m:t>−</m:t>
                    </m:r>
                    <m:r>
                      <m:t>1</m:t>
                    </m:r>
                  </m:sup>
                </m:sSup>
                <m:r>
                  <m:t>(</m:t>
                </m:r>
                <m:sSub>
                  <m:e>
                    <m:r>
                      <m:t>β</m:t>
                    </m:r>
                  </m:e>
                  <m:sub>
                    <m:r>
                      <m:t>0</m:t>
                    </m:r>
                  </m:sub>
                </m:sSub>
                <m:r>
                  <m:t>+</m:t>
                </m:r>
                <m:r>
                  <m:t>β</m:t>
                </m:r>
                <m:r>
                  <m:t>⋅</m:t>
                </m:r>
                <m:sSub>
                  <m:e>
                    <m:r>
                      <m:t>x</m:t>
                    </m:r>
                  </m:e>
                  <m:sub>
                    <m:r>
                      <m:t>i</m:t>
                    </m:r>
                  </m:sub>
                </m:sSub>
                <m:r>
                  <m:t>)</m:t>
                </m:r>
                <m:sSup>
                  <m:e>
                    <m:r>
                      <m:t>]</m:t>
                    </m:r>
                  </m:e>
                  <m:sup>
                    <m:sSub>
                      <m:e>
                        <m:r>
                          <m:t>y</m:t>
                        </m:r>
                      </m:e>
                      <m:sub>
                        <m:r>
                          <m:t>i</m:t>
                        </m:r>
                      </m:sub>
                    </m:sSub>
                  </m:sup>
                </m:sSup>
                <m:r>
                  <m:t>[</m:t>
                </m:r>
                <m:r>
                  <m:t>1</m:t>
                </m:r>
                <m:r>
                  <m:t>−</m:t>
                </m:r>
                <m:r>
                  <m:t>l</m:t>
                </m:r>
                <m:r>
                  <m:t>o</m:t>
                </m:r>
                <m:r>
                  <m:t>g</m:t>
                </m:r>
                <m:r>
                  <m:t>i</m:t>
                </m:r>
                <m:sSup>
                  <m:e>
                    <m:r>
                      <m:t>t</m:t>
                    </m:r>
                  </m:e>
                  <m:sup>
                    <m:r>
                      <m:t>−</m:t>
                    </m:r>
                    <m:r>
                      <m:t>1</m:t>
                    </m:r>
                  </m:sup>
                </m:sSup>
                <m:r>
                  <m:t>(</m:t>
                </m:r>
                <m:sSub>
                  <m:e>
                    <m:r>
                      <m:t>β</m:t>
                    </m:r>
                  </m:e>
                  <m:sub>
                    <m:r>
                      <m:t>0</m:t>
                    </m:r>
                  </m:sub>
                </m:sSub>
                <m:r>
                  <m:t>+</m:t>
                </m:r>
                <m:r>
                  <m:t>β</m:t>
                </m:r>
                <m:r>
                  <m:t>⋅</m:t>
                </m:r>
                <m:sSub>
                  <m:e>
                    <m:r>
                      <m:t>x</m:t>
                    </m:r>
                  </m:e>
                  <m:sub>
                    <m:r>
                      <m:t>i</m:t>
                    </m:r>
                  </m:sub>
                </m:sSub>
                <m:r>
                  <m:t>)</m:t>
                </m:r>
                <m:sSup>
                  <m:e>
                    <m:r>
                      <m:t>]</m:t>
                    </m:r>
                  </m:e>
                  <m:sup>
                    <m:r>
                      <m:t>(</m:t>
                    </m:r>
                    <m:r>
                      <m:t>1</m:t>
                    </m:r>
                    <m:r>
                      <m:t>−</m:t>
                    </m:r>
                    <m:sSub>
                      <m:e>
                        <m:r>
                          <m:t>y</m:t>
                        </m:r>
                      </m:e>
                      <m:sub>
                        <m:r>
                          <m:t>i</m:t>
                        </m:r>
                      </m:sub>
                    </m:sSub>
                    <m:r>
                      <m:t>)</m:t>
                    </m:r>
                  </m:sup>
                </m:sSup>
              </m:e>
            </m:mr>
          </m:m>
        </m:oMath>
      </m:oMathPara>
    </w:p>
    <w:p>
      <w:pPr>
        <w:pStyle w:val="FirstParagraph"/>
      </w:pPr>
      <w:r>
        <w:rPr>
          <w:b/>
        </w:rPr>
        <w:t xml:space="preserve">Posterior Distribution</w:t>
      </w:r>
    </w:p>
    <w:p>
      <w:pPr>
        <w:pStyle w:val="BodyText"/>
      </w:pPr>
      <m:oMathPara>
        <m:oMathParaPr>
          <m:jc m:val="center"/>
        </m:oMathParaPr>
        <m:oMath>
          <m:m>
            <m:mPr>
              <m:baseJc m:val="center"/>
              <m:plcHide m:val="1"/>
              <m:mcs>
                <m:mc>
                  <m:mcPr>
                    <m:mcJc m:val="right"/>
                    <m:count m:val="1"/>
                  </m:mcPr>
                </m:mc>
                <m:mc>
                  <m:mcPr>
                    <m:mcJc m:val="left"/>
                    <m:count m:val="1"/>
                  </m:mcPr>
                </m:mc>
              </m:mcs>
            </m:mPr>
            <m:mr>
              <m:e>
                <m:r>
                  <m:t>f</m:t>
                </m:r>
                <m:r>
                  <m:t>(</m:t>
                </m:r>
                <m:sSub>
                  <m:e>
                    <m:r>
                      <m:t>β</m:t>
                    </m:r>
                  </m:e>
                  <m:sub>
                    <m:r>
                      <m:t>0</m:t>
                    </m:r>
                  </m:sub>
                </m:sSub>
                <m:r>
                  <m:t>,</m:t>
                </m:r>
                <m:r>
                  <m:t>β</m:t>
                </m:r>
                <m:r>
                  <m:t>|</m:t>
                </m:r>
                <m:r>
                  <m:t>X</m:t>
                </m:r>
                <m:r>
                  <m:t>,</m:t>
                </m:r>
                <m:r>
                  <m:t>Y</m:t>
                </m:r>
                <m:r>
                  <m:t>)</m:t>
                </m:r>
              </m:e>
              <m:e>
                <m:r>
                  <m:t>=</m:t>
                </m:r>
                <m:r>
                  <m:t>f</m:t>
                </m:r>
                <m:r>
                  <m:t>(</m:t>
                </m:r>
                <m:sSub>
                  <m:e>
                    <m:r>
                      <m:t>β</m:t>
                    </m:r>
                  </m:e>
                  <m:sub>
                    <m:r>
                      <m:t>0</m:t>
                    </m:r>
                  </m:sub>
                </m:sSub>
                <m:r>
                  <m:t>)</m:t>
                </m:r>
                <m:nary>
                  <m:naryPr>
                    <m:chr m:val="∏"/>
                    <m:limLoc m:val="undOvr"/>
                    <m:subHide m:val="0"/>
                    <m:supHide m:val="0"/>
                  </m:naryPr>
                  <m:sub>
                    <m:r>
                      <m:t>k</m:t>
                    </m:r>
                    <m:r>
                      <m:t>=</m:t>
                    </m:r>
                    <m:r>
                      <m:t>1</m:t>
                    </m:r>
                  </m:sub>
                  <m:sup>
                    <m:r>
                      <m:t>17</m:t>
                    </m:r>
                  </m:sup>
                  <m:e>
                    <m:r>
                      <m:t>f</m:t>
                    </m:r>
                  </m:e>
                </m:nary>
                <m:r>
                  <m:t>(</m:t>
                </m:r>
                <m:sSub>
                  <m:e>
                    <m:r>
                      <m:t>β</m:t>
                    </m:r>
                  </m:e>
                  <m:sub>
                    <m:r>
                      <m:t>k</m:t>
                    </m:r>
                  </m:sub>
                </m:sSub>
                <m:r>
                  <m:t>)</m:t>
                </m:r>
                <m:r>
                  <m:t>f</m:t>
                </m:r>
                <m:r>
                  <m:t>(</m:t>
                </m:r>
                <m:r>
                  <m:t>Y</m:t>
                </m:r>
                <m:r>
                  <m:t>|</m:t>
                </m:r>
                <m:sSup>
                  <m:e>
                    <m:r>
                      <m:t>x</m:t>
                    </m:r>
                  </m:e>
                  <m:sup>
                    <m:r>
                      <m:t>c</m:t>
                    </m:r>
                    <m:r>
                      <m:t>m</m:t>
                    </m:r>
                    <m:r>
                      <m:t>p</m:t>
                    </m:r>
                  </m:sup>
                </m:sSup>
                <m:r>
                  <m:t>,</m:t>
                </m:r>
                <m:sSub>
                  <m:e>
                    <m:r>
                      <m:t>β</m:t>
                    </m:r>
                  </m:e>
                  <m:sub>
                    <m:r>
                      <m:t>0</m:t>
                    </m:r>
                  </m:sub>
                </m:sSub>
                <m:r>
                  <m:t>,</m:t>
                </m:r>
                <m:r>
                  <m:t>β</m:t>
                </m:r>
                <m:r>
                  <m:t>)</m:t>
                </m:r>
              </m:e>
            </m:mr>
            <m:mr>
              <m:e/>
              <m:e>
                <m:r>
                  <m:t>∝</m:t>
                </m:r>
                <m:r>
                  <m:t>f</m:t>
                </m:r>
                <m:r>
                  <m:t>(</m:t>
                </m:r>
                <m:sSub>
                  <m:e>
                    <m:r>
                      <m:t>β</m:t>
                    </m:r>
                  </m:e>
                  <m:sub>
                    <m:r>
                      <m:t>0</m:t>
                    </m:r>
                  </m:sub>
                </m:sSub>
                <m:r>
                  <m:t>)</m:t>
                </m:r>
                <m:nary>
                  <m:naryPr>
                    <m:chr m:val="∏"/>
                    <m:limLoc m:val="undOvr"/>
                    <m:subHide m:val="0"/>
                    <m:supHide m:val="0"/>
                  </m:naryPr>
                  <m:sub>
                    <m:r>
                      <m:t>k</m:t>
                    </m:r>
                    <m:r>
                      <m:t>=</m:t>
                    </m:r>
                    <m:r>
                      <m:t>1</m:t>
                    </m:r>
                  </m:sub>
                  <m:sup>
                    <m:r>
                      <m:t>17</m:t>
                    </m:r>
                  </m:sup>
                  <m:e>
                    <m:r>
                      <m:t>f</m:t>
                    </m:r>
                  </m:e>
                </m:nary>
                <m:r>
                  <m:t>(</m:t>
                </m:r>
                <m:sSub>
                  <m:e>
                    <m:r>
                      <m:t>β</m:t>
                    </m:r>
                  </m:e>
                  <m:sub>
                    <m:r>
                      <m:t>k</m:t>
                    </m:r>
                  </m:sub>
                </m:sSub>
                <m:r>
                  <m:t>)</m:t>
                </m:r>
                <m:r>
                  <m:t>[</m:t>
                </m:r>
                <m:nary>
                  <m:naryPr>
                    <m:chr m:val="∏"/>
                    <m:limLoc m:val="undOvr"/>
                    <m:subHide m:val="0"/>
                    <m:supHide m:val="0"/>
                  </m:naryPr>
                  <m:sub>
                    <m:r>
                      <m:t>i</m:t>
                    </m:r>
                    <m:r>
                      <m:t>=</m:t>
                    </m:r>
                    <m:r>
                      <m:t>1</m:t>
                    </m:r>
                  </m:sub>
                  <m:sup>
                    <m:r>
                      <m:t>n</m:t>
                    </m:r>
                  </m:sup>
                  <m:e>
                    <m:r>
                      <m:t>l</m:t>
                    </m:r>
                  </m:e>
                </m:nary>
                <m:r>
                  <m:t>o</m:t>
                </m:r>
                <m:r>
                  <m:t>g</m:t>
                </m:r>
                <m:r>
                  <m:t>i</m:t>
                </m:r>
                <m:sSup>
                  <m:e>
                    <m:r>
                      <m:t>t</m:t>
                    </m:r>
                  </m:e>
                  <m:sup>
                    <m:r>
                      <m:t>−</m:t>
                    </m:r>
                    <m:r>
                      <m:t>1</m:t>
                    </m:r>
                  </m:sup>
                </m:sSup>
                <m:r>
                  <m:t>(</m:t>
                </m:r>
                <m:sSub>
                  <m:e>
                    <m:r>
                      <m:t>β</m:t>
                    </m:r>
                  </m:e>
                  <m:sub>
                    <m:r>
                      <m:t>0</m:t>
                    </m:r>
                  </m:sub>
                </m:sSub>
                <m:r>
                  <m:t>+</m:t>
                </m:r>
                <m:r>
                  <m:t>β</m:t>
                </m:r>
                <m:sSub>
                  <m:e>
                    <m:r>
                      <m:t>x</m:t>
                    </m:r>
                  </m:e>
                  <m:sub>
                    <m:r>
                      <m:t>i</m:t>
                    </m:r>
                  </m:sub>
                </m:sSub>
                <m:r>
                  <m:t>)</m:t>
                </m:r>
                <m:sSup>
                  <m:e>
                    <m:r>
                      <m:t>]</m:t>
                    </m:r>
                  </m:e>
                  <m:sup>
                    <m:sSub>
                      <m:e>
                        <m:r>
                          <m:t>y</m:t>
                        </m:r>
                      </m:e>
                      <m:sub>
                        <m:r>
                          <m:t>i</m:t>
                        </m:r>
                      </m:sub>
                    </m:sSub>
                  </m:sup>
                </m:sSup>
                <m:r>
                  <m:t>[</m:t>
                </m:r>
                <m:nary>
                  <m:naryPr>
                    <m:chr m:val="∏"/>
                    <m:limLoc m:val="undOvr"/>
                    <m:subHide m:val="0"/>
                    <m:supHide m:val="0"/>
                  </m:naryPr>
                  <m:sub>
                    <m:r>
                      <m:t>i</m:t>
                    </m:r>
                    <m:r>
                      <m:t>=</m:t>
                    </m:r>
                    <m:r>
                      <m:t>1</m:t>
                    </m:r>
                  </m:sub>
                  <m:sup>
                    <m:r>
                      <m:t>n</m:t>
                    </m:r>
                  </m:sup>
                  <m:e>
                    <m:r>
                      <m:t>(</m:t>
                    </m:r>
                  </m:e>
                </m:nary>
                <m:r>
                  <m:t>1</m:t>
                </m:r>
                <m:r>
                  <m:t>−</m:t>
                </m:r>
                <m:r>
                  <m:t>l</m:t>
                </m:r>
                <m:r>
                  <m:t>o</m:t>
                </m:r>
                <m:r>
                  <m:t>g</m:t>
                </m:r>
                <m:r>
                  <m:t>i</m:t>
                </m:r>
                <m:sSup>
                  <m:e>
                    <m:r>
                      <m:t>t</m:t>
                    </m:r>
                  </m:e>
                  <m:sup>
                    <m:r>
                      <m:t>−</m:t>
                    </m:r>
                    <m:r>
                      <m:t>1</m:t>
                    </m:r>
                  </m:sup>
                </m:sSup>
                <m:r>
                  <m:t>(</m:t>
                </m:r>
                <m:sSub>
                  <m:e>
                    <m:r>
                      <m:t>β</m:t>
                    </m:r>
                  </m:e>
                  <m:sub>
                    <m:r>
                      <m:t>0</m:t>
                    </m:r>
                  </m:sub>
                </m:sSub>
                <m:r>
                  <m:t>+</m:t>
                </m:r>
                <m:r>
                  <m:t>β</m:t>
                </m:r>
                <m:sSub>
                  <m:e>
                    <m:r>
                      <m:t>x</m:t>
                    </m:r>
                  </m:e>
                  <m:sub>
                    <m:r>
                      <m:t>i</m:t>
                    </m:r>
                  </m:sub>
                </m:sSub>
                <m:r>
                  <m:t>)</m:t>
                </m:r>
                <m:r>
                  <m:t>)</m:t>
                </m:r>
                <m:sSup>
                  <m:e>
                    <m:r>
                      <m:t>]</m:t>
                    </m:r>
                  </m:e>
                  <m:sup>
                    <m:r>
                      <m:t>(</m:t>
                    </m:r>
                    <m:r>
                      <m:t>1</m:t>
                    </m:r>
                    <m:r>
                      <m:t>−</m:t>
                    </m:r>
                    <m:sSub>
                      <m:e>
                        <m:r>
                          <m:t>y</m:t>
                        </m:r>
                      </m:e>
                      <m:sub>
                        <m:r>
                          <m:t>i</m:t>
                        </m:r>
                      </m:sub>
                    </m:sSub>
                    <m:r>
                      <m:t>)</m:t>
                    </m:r>
                  </m:sup>
                </m:sSup>
              </m:e>
            </m:mr>
          </m:m>
        </m:oMath>
      </m:oMathPara>
    </w:p>
    <w:p>
      <w:pPr>
        <w:pStyle w:val="FirstParagraph"/>
      </w:pPr>
      <w:r>
        <w:rPr>
          <w:b/>
        </w:rPr>
        <w:t xml:space="preserve">Model Diagnostic</w:t>
      </w:r>
    </w:p>
    <w:p>
      <w:pPr>
        <w:pStyle w:val="BodyText"/>
      </w:pPr>
      <w:r>
        <w:t xml:space="preserve">Logistic regression does not require the assumptions of constant variance and normality of residuals. To check if the predictors of fitted logistic regression model are well specified, we applied binned residuals technique. The procedures to produce binned residuals include: first, we computed raw residuals of the fitted model and ordered observations by values of predicted probabilities; second, for continuous predictor, we formed</w:t>
      </w:r>
      <w:r>
        <w:t xml:space="preserve"> </w:t>
      </w:r>
      <m:oMath>
        <m:rad>
          <m:radPr>
            <m:degHide m:val="1"/>
          </m:radPr>
          <m:deg/>
          <m:e>
            <m:r>
              <m:t>27346</m:t>
            </m:r>
          </m:e>
        </m:rad>
        <m:r>
          <m:t>≈</m:t>
        </m:r>
        <m:r>
          <m:t>165</m:t>
        </m:r>
      </m:oMath>
      <w:r>
        <w:t xml:space="preserve"> </w:t>
      </w:r>
      <w:r>
        <w:t xml:space="preserve">equally sized, ordered bins using the ordered data and computed average residual of each bin. Next, we plotted average residual versus average predicted probability of each bin to check if there are any specific patterns that might cause problems; third, for categorical predictor, we computed average residual of each level.</w:t>
      </w:r>
    </w:p>
    <w:p>
      <w:pPr>
        <w:pStyle w:val="FigureWithCaption"/>
      </w:pPr>
      <w:r>
        <w:drawing>
          <wp:inline>
            <wp:extent cx="5334000" cy="3291840"/>
            <wp:effectExtent b="0" l="0" r="0" t="0"/>
            <wp:docPr descr="Figure 10 Residuals Binned Plot" title="" id="1" name="Picture"/>
            <a:graphic>
              <a:graphicData uri="http://schemas.openxmlformats.org/drawingml/2006/picture">
                <pic:pic>
                  <pic:nvPicPr>
                    <pic:cNvPr descr="figure/residuals_binned.png" id="0" name="Picture"/>
                    <pic:cNvPicPr>
                      <a:picLocks noChangeArrowheads="1" noChangeAspect="1"/>
                    </pic:cNvPicPr>
                  </pic:nvPicPr>
                  <pic:blipFill>
                    <a:blip r:embed="rId50"/>
                    <a:stretch>
                      <a:fillRect/>
                    </a:stretch>
                  </pic:blipFill>
                  <pic:spPr bwMode="auto">
                    <a:xfrm>
                      <a:off x="0" y="0"/>
                      <a:ext cx="5334000" cy="3291840"/>
                    </a:xfrm>
                    <a:prstGeom prst="rect">
                      <a:avLst/>
                    </a:prstGeom>
                    <a:noFill/>
                    <a:ln w="9525">
                      <a:noFill/>
                      <a:headEnd/>
                      <a:tailEnd/>
                    </a:ln>
                  </pic:spPr>
                </pic:pic>
              </a:graphicData>
            </a:graphic>
          </wp:inline>
        </w:drawing>
      </w:r>
    </w:p>
    <w:p>
      <w:pPr>
        <w:pStyle w:val="ImageCaption"/>
      </w:pPr>
      <w:r>
        <w:t xml:space="preserve">Figure 10 Residuals Binned Plot</w:t>
      </w:r>
    </w:p>
    <w:p>
      <w:pPr>
        <w:pStyle w:val="BodyText"/>
      </w:pPr>
      <w:r>
        <w:t xml:space="preserve">We created the binned residuals plot (Figure</w:t>
      </w:r>
      <w:r>
        <w:t xml:space="preserve"> </w:t>
      </w:r>
      <w:r>
        <w:t xml:space="preserve">10</w:t>
      </w:r>
      <w:r>
        <w:t xml:space="preserve">) based on one imputed dataset’s model (Frequentist model) results. The average residuals are close to 0 for salary less than $82,425, but tend to fluctuate for salary greater than $82,425. That data with higher salary values are more sparse leads to the fluctuation. For categorical variable, the number of level is limited and majority of the time the prediction would yield 0 (not promoted), and thus, the average residuals for each bin are small. In general, we did not observe extreme residuals, but we should be wary of data with higher salary values.</w:t>
      </w:r>
    </w:p>
    <w:p>
      <w:pPr>
        <w:pStyle w:val="TableCaption"/>
      </w:pPr>
      <w:r>
        <w:t xml:space="preserve">Gender</w:t>
      </w:r>
    </w:p>
    <w:tbl>
      <w:tblPr>
        <w:tblStyle w:val="TableNormal"/>
        <w:tblW w:type="pct" w:w="0.0"/>
        <w:tblLook w:firstRow="1"/>
        <w:tblCaption w:val="Gender"/>
      </w:tblPr>
      <w:tblGrid/>
      <w:tr>
        <w:trPr>
          <w:cnfStyle w:firstRow="1"/>
        </w:trPr>
        <w:tc>
          <w:tcPr>
            <w:tcBorders>
              <w:bottom w:val="single"/>
            </w:tcBorders>
            <w:vAlign w:val="bottom"/>
          </w:tcPr>
          <w:p>
            <w:pPr>
              <w:pStyle w:val="Compact"/>
              <w:jc w:val="left"/>
            </w:pPr>
            <w:r>
              <w:t xml:space="preserve">M</w:t>
            </w:r>
          </w:p>
        </w:tc>
        <w:tc>
          <w:tcPr>
            <w:tcBorders>
              <w:bottom w:val="single"/>
            </w:tcBorders>
            <w:vAlign w:val="bottom"/>
          </w:tcPr>
          <w:p>
            <w:pPr>
              <w:pStyle w:val="Compact"/>
              <w:jc w:val="left"/>
            </w:pPr>
            <w:r>
              <w:t xml:space="preserve">F</w:t>
            </w:r>
          </w:p>
        </w:tc>
      </w:tr>
      <w:tr>
        <w:tc>
          <w:p>
            <w:pPr>
              <w:pStyle w:val="Compact"/>
              <w:jc w:val="left"/>
            </w:pPr>
            <m:oMath>
              <m:r>
                <m:t>−</m:t>
              </m:r>
              <m:r>
                <m:t>1.473</m:t>
              </m:r>
              <m:sSup>
                <m:e>
                  <m:r>
                    <m:t>e</m:t>
                  </m:r>
                </m:e>
                <m:sup>
                  <m:r>
                    <m:t>−</m:t>
                  </m:r>
                  <m:r>
                    <m:t>10</m:t>
                  </m:r>
                </m:sup>
              </m:sSup>
            </m:oMath>
          </w:p>
        </w:tc>
        <w:tc>
          <w:p>
            <w:pPr>
              <w:pStyle w:val="Compact"/>
              <w:jc w:val="left"/>
            </w:pPr>
            <m:oMath>
              <m:r>
                <m:t>−</m:t>
              </m:r>
              <m:r>
                <m:t>1.916</m:t>
              </m:r>
              <m:sSup>
                <m:e>
                  <m:r>
                    <m:t>e</m:t>
                  </m:r>
                </m:e>
                <m:sup>
                  <m:r>
                    <m:t>−</m:t>
                  </m:r>
                  <m:r>
                    <m:t>10</m:t>
                  </m:r>
                </m:sup>
              </m:sSup>
            </m:oMath>
          </w:p>
        </w:tc>
      </w:tr>
    </w:tbl>
    <w:p>
      <w:pPr>
        <w:pStyle w:val="BodyText"/>
      </w:pPr>
    </w:p>
    <w:p>
      <w:pPr>
        <w:pStyle w:val="TableCaption"/>
      </w:pPr>
      <w:r>
        <w:t xml:space="preserve">Occupational Category Residuals</w:t>
      </w:r>
    </w:p>
    <w:tbl>
      <w:tblPr>
        <w:tblStyle w:val="TableNormal"/>
        <w:tblW w:type="pct" w:w="0.0"/>
        <w:tblLook w:firstRow="1"/>
        <w:tblCaption w:val="Occupational Category Residuals"/>
      </w:tblPr>
      <w:tblGrid/>
      <w:tr>
        <w:trPr>
          <w:cnfStyle w:firstRow="1"/>
        </w:trPr>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A</w:t>
            </w:r>
          </w:p>
        </w:tc>
        <w:tc>
          <w:tcPr>
            <w:tcBorders>
              <w:bottom w:val="single"/>
            </w:tcBorders>
            <w:vAlign w:val="bottom"/>
          </w:tcPr>
          <w:p>
            <w:pPr>
              <w:pStyle w:val="Compact"/>
              <w:jc w:val="left"/>
            </w:pPr>
            <w:r>
              <w:t xml:space="preserve">O</w:t>
            </w:r>
          </w:p>
        </w:tc>
      </w:tr>
      <w:tr>
        <w:tc>
          <w:p>
            <w:pPr>
              <w:pStyle w:val="Compact"/>
              <w:jc w:val="left"/>
            </w:pPr>
            <m:oMath>
              <m:r>
                <m:t>−</m:t>
              </m:r>
              <m:r>
                <m:t>8.481</m:t>
              </m:r>
              <m:sSup>
                <m:e>
                  <m:r>
                    <m:t>e</m:t>
                  </m:r>
                </m:e>
                <m:sup>
                  <m:r>
                    <m:t>−</m:t>
                  </m:r>
                  <m:r>
                    <m:t>11</m:t>
                  </m:r>
                </m:sup>
              </m:sSup>
            </m:oMath>
          </w:p>
        </w:tc>
        <w:tc>
          <w:p>
            <w:pPr>
              <w:pStyle w:val="Compact"/>
              <w:jc w:val="left"/>
            </w:pPr>
            <m:oMath>
              <m:r>
                <m:t>−</m:t>
              </m:r>
              <m:r>
                <m:t>2.158</m:t>
              </m:r>
              <m:sSup>
                <m:e>
                  <m:r>
                    <m:t>e</m:t>
                  </m:r>
                </m:e>
                <m:sup>
                  <m:r>
                    <m:t>−</m:t>
                  </m:r>
                  <m:r>
                    <m:t>10</m:t>
                  </m:r>
                </m:sup>
              </m:sSup>
            </m:oMath>
          </w:p>
        </w:tc>
        <w:tc>
          <w:p>
            <w:pPr>
              <w:pStyle w:val="Compact"/>
              <w:jc w:val="left"/>
            </w:pPr>
            <m:oMath>
              <m:r>
                <m:t>−</m:t>
              </m:r>
              <m:r>
                <m:t>2.186</m:t>
              </m:r>
              <m:sSup>
                <m:e>
                  <m:r>
                    <m:t>e</m:t>
                  </m:r>
                </m:e>
                <m:sup>
                  <m:r>
                    <m:t>−</m:t>
                  </m:r>
                  <m:r>
                    <m:t>10</m:t>
                  </m:r>
                </m:sup>
              </m:sSup>
            </m:oMath>
          </w:p>
        </w:tc>
      </w:tr>
    </w:tbl>
    <w:p>
      <w:pPr>
        <w:pStyle w:val="BodyText"/>
      </w:pPr>
    </w:p>
    <w:p>
      <w:pPr>
        <w:pStyle w:val="TableCaption"/>
      </w:pPr>
      <w:r>
        <w:t xml:space="preserve">Education Levels Residuals</w:t>
      </w:r>
    </w:p>
    <w:tbl>
      <w:tblPr>
        <w:tblStyle w:val="TableNormal"/>
        <w:tblW w:type="pct" w:w="0.0"/>
        <w:tblLook w:firstRow="1"/>
        <w:tblCaption w:val="Education Levels Residuals"/>
      </w:tblPr>
      <w:tblGrid/>
      <w:tr>
        <w:trPr>
          <w:cnfStyle w:firstRow="1"/>
        </w:trPr>
        <w:tc>
          <w:tcPr>
            <w:tcBorders>
              <w:bottom w:val="single"/>
            </w:tcBorders>
            <w:vAlign w:val="bottom"/>
          </w:tcPr>
          <w:p>
            <w:pPr>
              <w:pStyle w:val="Compact"/>
              <w:jc w:val="left"/>
            </w:pPr>
            <w:r>
              <w:t xml:space="preserve">B</w:t>
            </w:r>
          </w:p>
        </w:tc>
        <w:tc>
          <w:tcPr>
            <w:tcBorders>
              <w:bottom w:val="single"/>
            </w:tcBorders>
            <w:vAlign w:val="bottom"/>
          </w:tcPr>
          <w:p>
            <w:pPr>
              <w:pStyle w:val="Compact"/>
              <w:jc w:val="left"/>
            </w:pPr>
            <w:r>
              <w:t xml:space="preserve">A</w:t>
            </w:r>
          </w:p>
        </w:tc>
        <w:tc>
          <w:tcPr>
            <w:tcBorders>
              <w:bottom w:val="single"/>
            </w:tcBorders>
            <w:vAlign w:val="bottom"/>
          </w:tcPr>
          <w:p>
            <w:pPr>
              <w:pStyle w:val="Compact"/>
              <w:jc w:val="left"/>
            </w:pPr>
            <w:r>
              <w:t xml:space="preserve">C</w:t>
            </w:r>
          </w:p>
        </w:tc>
        <w:tc>
          <w:tcPr>
            <w:tcBorders>
              <w:bottom w:val="single"/>
            </w:tcBorders>
            <w:vAlign w:val="bottom"/>
          </w:tcPr>
          <w:p>
            <w:pPr>
              <w:pStyle w:val="Compact"/>
              <w:jc w:val="left"/>
            </w:pPr>
            <w:r>
              <w:t xml:space="preserve">D</w:t>
            </w:r>
          </w:p>
        </w:tc>
        <w:tc>
          <w:tcPr>
            <w:tcBorders>
              <w:bottom w:val="single"/>
            </w:tcBorders>
            <w:vAlign w:val="bottom"/>
          </w:tcPr>
          <w:p>
            <w:pPr>
              <w:pStyle w:val="Compact"/>
              <w:jc w:val="left"/>
            </w:pPr>
            <w:r>
              <w:t xml:space="preserve">E</w:t>
            </w:r>
          </w:p>
        </w:tc>
      </w:tr>
      <w:tr>
        <w:tc>
          <w:p>
            <w:pPr>
              <w:pStyle w:val="Compact"/>
              <w:jc w:val="left"/>
            </w:pPr>
            <m:oMath>
              <m:r>
                <m:t>1.847</m:t>
              </m:r>
              <m:sSup>
                <m:e>
                  <m:r>
                    <m:t>e</m:t>
                  </m:r>
                </m:e>
                <m:sup>
                  <m:r>
                    <m:t>−</m:t>
                  </m:r>
                  <m:r>
                    <m:t>10</m:t>
                  </m:r>
                </m:sup>
              </m:sSup>
            </m:oMath>
          </w:p>
        </w:tc>
        <w:tc>
          <w:p>
            <w:pPr>
              <w:pStyle w:val="Compact"/>
              <w:jc w:val="left"/>
            </w:pPr>
            <m:oMath>
              <m:r>
                <m:t>−</m:t>
              </m:r>
              <m:r>
                <m:t>2.093</m:t>
              </m:r>
              <m:sSup>
                <m:e>
                  <m:r>
                    <m:t>e</m:t>
                  </m:r>
                </m:e>
                <m:sup>
                  <m:r>
                    <m:t>−</m:t>
                  </m:r>
                  <m:r>
                    <m:t>10</m:t>
                  </m:r>
                </m:sup>
              </m:sSup>
            </m:oMath>
          </w:p>
        </w:tc>
        <w:tc>
          <w:p>
            <w:pPr>
              <w:pStyle w:val="Compact"/>
              <w:jc w:val="left"/>
            </w:pPr>
            <m:oMath>
              <m:r>
                <m:t>−</m:t>
              </m:r>
              <m:r>
                <m:t>1.351</m:t>
              </m:r>
              <m:sSup>
                <m:e>
                  <m:r>
                    <m:t>e</m:t>
                  </m:r>
                </m:e>
                <m:sup>
                  <m:r>
                    <m:t>−</m:t>
                  </m:r>
                  <m:r>
                    <m:t>10</m:t>
                  </m:r>
                </m:sup>
              </m:sSup>
            </m:oMath>
          </w:p>
        </w:tc>
        <w:tc>
          <w:p>
            <w:pPr>
              <w:pStyle w:val="Compact"/>
              <w:jc w:val="left"/>
            </w:pPr>
            <m:oMath>
              <m:r>
                <m:t>−</m:t>
              </m:r>
              <m:r>
                <m:t>3.733</m:t>
              </m:r>
              <m:sSup>
                <m:e>
                  <m:r>
                    <m:t>e</m:t>
                  </m:r>
                </m:e>
                <m:sup>
                  <m:r>
                    <m:t>−</m:t>
                  </m:r>
                  <m:r>
                    <m:t>11</m:t>
                  </m:r>
                </m:sup>
              </m:sSup>
            </m:oMath>
          </w:p>
        </w:tc>
        <w:tc>
          <w:p>
            <w:pPr>
              <w:pStyle w:val="Compact"/>
              <w:jc w:val="left"/>
            </w:pPr>
            <m:oMath>
              <m:r>
                <m:t>−</m:t>
              </m:r>
              <m:r>
                <m:t>2.573</m:t>
              </m:r>
              <m:sSup>
                <m:e>
                  <m:r>
                    <m:t>e</m:t>
                  </m:r>
                </m:e>
                <m:sup>
                  <m:r>
                    <m:t>−</m:t>
                  </m:r>
                  <m:r>
                    <m:t>11</m:t>
                  </m:r>
                </m:sup>
              </m:sSup>
            </m:oMath>
          </w:p>
        </w:tc>
      </w:tr>
    </w:tbl>
    <w:p>
      <w:pPr>
        <w:pStyle w:val="BodyText"/>
      </w:pPr>
    </w:p>
    <w:p>
      <w:pPr>
        <w:pStyle w:val="TableCaption"/>
      </w:pPr>
      <w:r>
        <w:t xml:space="preserve">Race</w:t>
      </w:r>
    </w:p>
    <w:tbl>
      <w:tblPr>
        <w:tblStyle w:val="TableNormal"/>
        <w:tblW w:type="pct" w:w="0.0"/>
        <w:tblLook w:firstRow="1"/>
        <w:tblCaption w:val="Race"/>
      </w:tblPr>
      <w:tblGrid/>
      <w:tr>
        <w:trPr>
          <w:cnfStyle w:firstRow="1"/>
        </w:trPr>
        <w:tc>
          <w:tcPr>
            <w:tcBorders>
              <w:bottom w:val="single"/>
            </w:tcBorders>
            <w:vAlign w:val="bottom"/>
          </w:tcPr>
          <w:p>
            <w:pPr>
              <w:pStyle w:val="Compact"/>
              <w:jc w:val="left"/>
            </w:pPr>
            <w:r>
              <w:t xml:space="preserve">White</w:t>
            </w:r>
          </w:p>
        </w:tc>
        <w:tc>
          <w:tcPr>
            <w:tcBorders>
              <w:bottom w:val="single"/>
            </w:tcBorders>
            <w:vAlign w:val="bottom"/>
          </w:tcPr>
          <w:p>
            <w:pPr>
              <w:pStyle w:val="Compact"/>
              <w:jc w:val="left"/>
            </w:pPr>
            <w:r>
              <w:t xml:space="preserve">Non-white</w:t>
            </w:r>
          </w:p>
        </w:tc>
      </w:tr>
      <w:tr>
        <w:tc>
          <w:p>
            <w:pPr>
              <w:pStyle w:val="Compact"/>
              <w:jc w:val="left"/>
            </w:pPr>
            <m:oMath>
              <m:r>
                <m:t>1.570</m:t>
              </m:r>
              <m:sSup>
                <m:e>
                  <m:r>
                    <m:t>e</m:t>
                  </m:r>
                </m:e>
                <m:sup>
                  <m:r>
                    <m:t>−</m:t>
                  </m:r>
                  <m:r>
                    <m:t>10</m:t>
                  </m:r>
                </m:sup>
              </m:sSup>
            </m:oMath>
          </w:p>
        </w:tc>
        <w:tc>
          <w:p>
            <w:pPr>
              <w:pStyle w:val="Compact"/>
              <w:jc w:val="left"/>
            </w:pPr>
            <m:oMath>
              <m:r>
                <m:t>−</m:t>
              </m:r>
              <m:r>
                <m:t>1.869</m:t>
              </m:r>
              <m:sSup>
                <m:e>
                  <m:r>
                    <m:t>e</m:t>
                  </m:r>
                </m:e>
                <m:sup>
                  <m:r>
                    <m:t>−</m:t>
                  </m:r>
                  <m:r>
                    <m:t>10</m:t>
                  </m:r>
                </m:sup>
              </m:sSup>
            </m:oMath>
          </w:p>
        </w:tc>
      </w:tr>
    </w:tbl>
    <w:p>
      <w:pPr>
        <w:pStyle w:val="BodyText"/>
      </w:pPr>
    </w:p>
    <w:p>
      <w:pPr>
        <w:pStyle w:val="TableCaption"/>
      </w:pPr>
      <w:r>
        <w:t xml:space="preserve">Switch</w:t>
      </w:r>
    </w:p>
    <w:tbl>
      <w:tblPr>
        <w:tblStyle w:val="TableNormal"/>
        <w:tblW w:type="pct" w:w="0.0"/>
        <w:tblLook w:firstRow="1"/>
        <w:tblCaption w:val="Switch"/>
      </w:tblPr>
      <w:tblGrid/>
      <w:tr>
        <w:trPr>
          <w:cnfStyle w:firstRow="1"/>
        </w:trPr>
        <w:tc>
          <w:tcPr>
            <w:tcBorders>
              <w:bottom w:val="single"/>
            </w:tcBorders>
            <w:vAlign w:val="bottom"/>
          </w:tcPr>
          <w:p>
            <w:pPr>
              <w:pStyle w:val="Compact"/>
              <w:jc w:val="left"/>
            </w:pPr>
            <w:r>
              <w:t xml:space="preserve">Switch</w:t>
            </w:r>
          </w:p>
        </w:tc>
        <w:tc>
          <w:tcPr>
            <w:tcBorders>
              <w:bottom w:val="single"/>
            </w:tcBorders>
            <w:vAlign w:val="bottom"/>
          </w:tcPr>
          <w:p>
            <w:pPr>
              <w:pStyle w:val="Compact"/>
              <w:jc w:val="left"/>
            </w:pPr>
            <w:r>
              <w:t xml:space="preserve">No-switch</w:t>
            </w:r>
          </w:p>
        </w:tc>
      </w:tr>
      <w:tr>
        <w:tc>
          <w:p>
            <w:pPr>
              <w:pStyle w:val="Compact"/>
              <w:jc w:val="left"/>
            </w:pPr>
            <m:oMath>
              <m:r>
                <m:t>−</m:t>
              </m:r>
              <m:r>
                <m:t>1.549</m:t>
              </m:r>
              <m:sSup>
                <m:e>
                  <m:r>
                    <m:t>e</m:t>
                  </m:r>
                </m:e>
                <m:sup>
                  <m:r>
                    <m:t>−</m:t>
                  </m:r>
                  <m:r>
                    <m:t>10</m:t>
                  </m:r>
                </m:sup>
              </m:sSup>
            </m:oMath>
          </w:p>
        </w:tc>
        <w:tc>
          <w:p>
            <w:pPr>
              <w:pStyle w:val="Compact"/>
              <w:jc w:val="left"/>
            </w:pPr>
            <m:oMath>
              <m:r>
                <m:t>−</m:t>
              </m:r>
              <m:r>
                <m:t>1.658</m:t>
              </m:r>
              <m:sSup>
                <m:e>
                  <m:r>
                    <m:t>e</m:t>
                  </m:r>
                </m:e>
                <m:sup>
                  <m:r>
                    <m:t>−</m:t>
                  </m:r>
                  <m:r>
                    <m:t>10</m:t>
                  </m:r>
                </m:sup>
              </m:sSup>
            </m:oMath>
          </w:p>
        </w:tc>
      </w:tr>
    </w:tbl>
    <w:p>
      <w:pPr>
        <w:pStyle w:val="BodyText"/>
      </w:pPr>
    </w:p>
    <w:p>
      <w:pPr>
        <w:pStyle w:val="TableCaption"/>
      </w:pPr>
      <w:r>
        <w:t xml:space="preserve">Supervisory Position Residuals</w:t>
      </w:r>
    </w:p>
    <w:tbl>
      <w:tblPr>
        <w:tblStyle w:val="TableNormal"/>
        <w:tblW w:type="pct" w:w="0.0"/>
        <w:tblLook w:firstRow="1"/>
        <w:tblCaption w:val="Supervisory Position Residuals"/>
      </w:tblPr>
      <w:tblGrid/>
      <w:tr>
        <w:trPr>
          <w:cnfStyle w:firstRow="1"/>
        </w:trPr>
        <w:tc>
          <w:tcPr>
            <w:tcBorders>
              <w:bottom w:val="single"/>
            </w:tcBorders>
            <w:vAlign w:val="bottom"/>
          </w:tcPr>
          <w:p>
            <w:pPr>
              <w:pStyle w:val="Compact"/>
              <w:jc w:val="left"/>
            </w:pPr>
            <w:r>
              <w:t xml:space="preserve">Supervisor</w:t>
            </w:r>
          </w:p>
        </w:tc>
        <w:tc>
          <w:tcPr>
            <w:tcBorders>
              <w:bottom w:val="single"/>
            </w:tcBorders>
            <w:vAlign w:val="bottom"/>
          </w:tcPr>
          <w:p>
            <w:pPr>
              <w:pStyle w:val="Compact"/>
              <w:jc w:val="left"/>
            </w:pPr>
            <w:r>
              <w:t xml:space="preserve">Non-supervisor</w:t>
            </w:r>
          </w:p>
        </w:tc>
      </w:tr>
      <w:tr>
        <w:tc>
          <w:p>
            <w:pPr>
              <w:pStyle w:val="Compact"/>
              <w:jc w:val="left"/>
            </w:pPr>
            <m:oMath>
              <m:r>
                <m:t>−</m:t>
              </m:r>
              <m:r>
                <m:t>2.010</m:t>
              </m:r>
              <m:sSup>
                <m:e>
                  <m:r>
                    <m:t>e</m:t>
                  </m:r>
                </m:e>
                <m:sup>
                  <m:r>
                    <m:t>−</m:t>
                  </m:r>
                  <m:r>
                    <m:t>10</m:t>
                  </m:r>
                </m:sup>
              </m:sSup>
            </m:oMath>
          </w:p>
        </w:tc>
        <w:tc>
          <w:p>
            <w:pPr>
              <w:pStyle w:val="Compact"/>
              <w:jc w:val="left"/>
            </w:pPr>
            <m:oMath>
              <m:r>
                <m:t>−</m:t>
              </m:r>
              <m:r>
                <m:t>1.588</m:t>
              </m:r>
              <m:sSup>
                <m:e>
                  <m:r>
                    <m:t>e</m:t>
                  </m:r>
                </m:e>
                <m:sup>
                  <m:r>
                    <m:t>−</m:t>
                  </m:r>
                  <m:r>
                    <m:t>10</m:t>
                  </m:r>
                </m:sup>
              </m:sSup>
            </m:oMath>
          </w:p>
        </w:tc>
      </w:tr>
    </w:tbl>
    <w:p>
      <w:pPr>
        <w:pStyle w:val="BodyText"/>
      </w:pPr>
    </w:p>
    <w:p>
      <w:pPr>
        <w:pStyle w:val="TableCaption"/>
      </w:pPr>
      <w:r>
        <w:t xml:space="preserve">Grade</w:t>
      </w:r>
    </w:p>
    <w:tbl>
      <w:tblPr>
        <w:tblStyle w:val="TableNormal"/>
        <w:tblW w:type="pct" w:w="0.0"/>
        <w:tblLook w:firstRow="1"/>
        <w:tblCaption w:val="Grade"/>
      </w:tblPr>
      <w:tblGrid/>
      <w:tr>
        <w:trPr>
          <w:cnfStyle w:firstRow="1"/>
        </w:trPr>
        <w:tc>
          <w:tcPr>
            <w:tcBorders>
              <w:bottom w:val="single"/>
            </w:tcBorders>
            <w:vAlign w:val="bottom"/>
          </w:tcPr>
          <w:p>
            <w:pPr>
              <w:pStyle w:val="Compact"/>
              <w:jc w:val="left"/>
            </w:pPr>
            <w:r>
              <w:t xml:space="preserve">Grade0</w:t>
            </w:r>
          </w:p>
        </w:tc>
        <w:tc>
          <w:tcPr>
            <w:tcBorders>
              <w:bottom w:val="single"/>
            </w:tcBorders>
            <w:vAlign w:val="bottom"/>
          </w:tcPr>
          <w:p>
            <w:pPr>
              <w:pStyle w:val="Compact"/>
              <w:jc w:val="left"/>
            </w:pPr>
            <w:r>
              <w:t xml:space="preserve">Grade1</w:t>
            </w:r>
          </w:p>
        </w:tc>
        <w:tc>
          <w:tcPr>
            <w:tcBorders>
              <w:bottom w:val="single"/>
            </w:tcBorders>
            <w:vAlign w:val="bottom"/>
          </w:tcPr>
          <w:p>
            <w:pPr>
              <w:pStyle w:val="Compact"/>
              <w:jc w:val="left"/>
            </w:pPr>
            <w:r>
              <w:t xml:space="preserve">Grade2</w:t>
            </w:r>
          </w:p>
        </w:tc>
      </w:tr>
      <w:tr>
        <w:tc>
          <w:p>
            <w:pPr>
              <w:pStyle w:val="Compact"/>
              <w:jc w:val="left"/>
            </w:pPr>
            <m:oMath>
              <m:r>
                <m:t>−</m:t>
              </m:r>
              <m:r>
                <m:t>2.464</m:t>
              </m:r>
              <m:sSup>
                <m:e>
                  <m:r>
                    <m:t>e</m:t>
                  </m:r>
                </m:e>
                <m:sup>
                  <m:r>
                    <m:t>−</m:t>
                  </m:r>
                  <m:r>
                    <m:t>10</m:t>
                  </m:r>
                </m:sup>
              </m:sSup>
            </m:oMath>
          </w:p>
        </w:tc>
        <w:tc>
          <w:p>
            <w:pPr>
              <w:pStyle w:val="Compact"/>
              <w:jc w:val="left"/>
            </w:pPr>
            <m:oMath>
              <m:r>
                <m:t>−</m:t>
              </m:r>
              <m:r>
                <m:t>5.606</m:t>
              </m:r>
              <m:sSup>
                <m:e>
                  <m:r>
                    <m:t>e</m:t>
                  </m:r>
                </m:e>
                <m:sup>
                  <m:r>
                    <m:t>−</m:t>
                  </m:r>
                  <m:r>
                    <m:t>12</m:t>
                  </m:r>
                </m:sup>
              </m:sSup>
            </m:oMath>
          </w:p>
        </w:tc>
        <w:tc>
          <w:p>
            <w:pPr>
              <w:pStyle w:val="Compact"/>
              <w:jc w:val="left"/>
            </w:pPr>
            <m:oMath>
              <m:r>
                <m:t>−</m:t>
              </m:r>
              <m:r>
                <m:t>5.440</m:t>
              </m:r>
              <m:sSup>
                <m:e>
                  <m:r>
                    <m:t>e</m:t>
                  </m:r>
                </m:e>
                <m:sup>
                  <m:r>
                    <m:t>−</m:t>
                  </m:r>
                  <m:r>
                    <m:t>12</m:t>
                  </m:r>
                </m:sup>
              </m:sSup>
            </m:oMath>
          </w:p>
        </w:tc>
      </w:tr>
    </w:tbl>
    <w:p>
      <w:pPr>
        <w:pStyle w:val="BodyText"/>
      </w:pPr>
    </w:p>
    <w:p>
      <w:pPr>
        <w:pStyle w:val="TableCaption"/>
      </w:pPr>
      <w:r>
        <w:t xml:space="preserve">% Change Residuals</w:t>
      </w:r>
    </w:p>
    <w:tbl>
      <w:tblPr>
        <w:tblStyle w:val="TableNormal"/>
        <w:tblW w:type="pct" w:w="0.0"/>
        <w:tblLook w:firstRow="1"/>
        <w:tblCaption w:val="% Change Residuals"/>
      </w:tblPr>
      <w:tblGrid/>
      <w:tr>
        <w:trPr>
          <w:cnfStyle w:firstRow="1"/>
        </w:trPr>
        <w:tc>
          <w:tcPr>
            <w:tcBorders>
              <w:bottom w:val="single"/>
            </w:tcBorders>
            <w:vAlign w:val="bottom"/>
          </w:tcPr>
          <w:p>
            <w:pPr>
              <w:pStyle w:val="Compact"/>
              <w:jc w:val="left"/>
            </w:pPr>
            <w:r>
              <w:t xml:space="preserve">Change2</w:t>
            </w:r>
          </w:p>
        </w:tc>
        <w:tc>
          <w:tcPr>
            <w:tcBorders>
              <w:bottom w:val="single"/>
            </w:tcBorders>
            <w:vAlign w:val="bottom"/>
          </w:tcPr>
          <w:p>
            <w:pPr>
              <w:pStyle w:val="Compact"/>
              <w:jc w:val="left"/>
            </w:pPr>
            <w:r>
              <w:t xml:space="preserve">Change1</w:t>
            </w:r>
          </w:p>
        </w:tc>
        <w:tc>
          <w:tcPr>
            <w:tcBorders>
              <w:bottom w:val="single"/>
            </w:tcBorders>
            <w:vAlign w:val="bottom"/>
          </w:tcPr>
          <w:p>
            <w:pPr>
              <w:pStyle w:val="Compact"/>
              <w:jc w:val="left"/>
            </w:pPr>
            <w:r>
              <w:t xml:space="preserve">Change3</w:t>
            </w:r>
          </w:p>
        </w:tc>
      </w:tr>
      <w:tr>
        <w:tc>
          <w:p>
            <w:pPr>
              <w:pStyle w:val="Compact"/>
              <w:jc w:val="left"/>
            </w:pPr>
            <m:oMath>
              <m:r>
                <m:t>−</m:t>
              </m:r>
              <m:r>
                <m:t>1.888</m:t>
              </m:r>
              <m:sSup>
                <m:e>
                  <m:r>
                    <m:t>e</m:t>
                  </m:r>
                </m:e>
                <m:sup>
                  <m:r>
                    <m:t>−</m:t>
                  </m:r>
                  <m:r>
                    <m:t>10</m:t>
                  </m:r>
                </m:sup>
              </m:sSup>
            </m:oMath>
          </w:p>
        </w:tc>
        <w:tc>
          <w:p>
            <w:pPr>
              <w:pStyle w:val="Compact"/>
              <w:jc w:val="left"/>
            </w:pPr>
            <m:oMath>
              <m:r>
                <m:t>−</m:t>
              </m:r>
              <m:r>
                <m:t>1.184</m:t>
              </m:r>
              <m:sSup>
                <m:e>
                  <m:r>
                    <m:t>e</m:t>
                  </m:r>
                </m:e>
                <m:sup>
                  <m:r>
                    <m:t>−</m:t>
                  </m:r>
                  <m:r>
                    <m:t>10</m:t>
                  </m:r>
                </m:sup>
              </m:sSup>
            </m:oMath>
          </w:p>
        </w:tc>
        <w:tc>
          <w:p>
            <w:pPr>
              <w:pStyle w:val="Compact"/>
              <w:jc w:val="left"/>
            </w:pPr>
            <m:oMath>
              <m:r>
                <m:t>−</m:t>
              </m:r>
              <m:r>
                <m:t>1.351</m:t>
              </m:r>
              <m:sSup>
                <m:e>
                  <m:r>
                    <m:t>e</m:t>
                  </m:r>
                </m:e>
                <m:sup>
                  <m:r>
                    <m:t>−</m:t>
                  </m:r>
                  <m:r>
                    <m:t>10</m:t>
                  </m:r>
                </m:sup>
              </m:sSup>
            </m:oMath>
          </w:p>
        </w:tc>
      </w:tr>
    </w:tbl>
    <w:p>
      <w:pPr>
        <w:pStyle w:val="BodyText"/>
      </w:pPr>
    </w:p>
    <w:p>
      <w:pPr>
        <w:pStyle w:val="Heading2"/>
      </w:pPr>
      <w:bookmarkStart w:id="51" w:name="pooled-results"/>
      <w:bookmarkEnd w:id="51"/>
      <w:r>
        <w:t xml:space="preserve">Pooled results</w:t>
      </w:r>
    </w:p>
    <w:p>
      <w:pPr>
        <w:pStyle w:val="FirstParagraph"/>
      </w:pPr>
      <w:r>
        <w:t xml:space="preserve">We combined poole results for both Frequentist model and Bayesian model. For Frequentist model, we obtained the pooled results through (1) averaging out the estimated regression coefficients of each completed dataset (2) accounting for both within and across datasets variances. For Bayesian model, we obtained the pooled results through summarizing the mixture draws from posterior distribution.</w:t>
      </w:r>
    </w:p>
    <w:p>
      <w:pPr>
        <w:pStyle w:val="Heading3"/>
      </w:pPr>
      <w:bookmarkStart w:id="52" w:name="frequentist-model"/>
      <w:bookmarkEnd w:id="52"/>
      <w:r>
        <w:t xml:space="preserve">Frequentist model</w:t>
      </w:r>
    </w:p>
    <w:p>
      <w:pPr>
        <w:pStyle w:val="FirstParagraph"/>
      </w:pPr>
      <w:r>
        <w:t xml:space="preserve">For each completed dataset</w:t>
      </w:r>
      <w:r>
        <w:t xml:space="preserve"> </w:t>
      </w:r>
      <m:oMath>
        <m:r>
          <m:t>j</m:t>
        </m:r>
      </m:oMath>
      <w:r>
        <w:t xml:space="preserve"> </w:t>
      </w:r>
      <w:r>
        <w:t xml:space="preserve">(</w:t>
      </w:r>
      <m:oMath>
        <m:r>
          <m:t>j</m:t>
        </m:r>
        <m:r>
          <m:t>=</m:t>
        </m:r>
        <m:r>
          <m:t>1</m:t>
        </m:r>
        <m:r>
          <m:t>,</m:t>
        </m:r>
        <m:r>
          <m:t>.</m:t>
        </m:r>
        <m:r>
          <m:t>.</m:t>
        </m:r>
        <m:r>
          <m:t>.</m:t>
        </m:r>
        <m:r>
          <m:t>,</m:t>
        </m:r>
        <m:r>
          <m:t>12</m:t>
        </m:r>
      </m:oMath>
      <w:r>
        <w:t xml:space="preserve">) and each regression coefficient</w:t>
      </w:r>
      <w:r>
        <w:t xml:space="preserve"> </w:t>
      </w:r>
      <m:oMath>
        <m:sSub>
          <m:e>
            <m:r>
              <m:t>β</m:t>
            </m:r>
          </m:e>
          <m:sub>
            <m:r>
              <m:t>i</m:t>
            </m:r>
            <m:r>
              <m:t>j</m:t>
            </m:r>
          </m:sub>
        </m:sSub>
      </m:oMath>
      <w:r>
        <w:t xml:space="preserve"> </w:t>
      </w:r>
      <w:r>
        <w:t xml:space="preserve">(</w:t>
      </w:r>
      <m:oMath>
        <m:r>
          <m:t>i</m:t>
        </m:r>
        <m:r>
          <m:t>=</m:t>
        </m:r>
        <m:r>
          <m:t>0</m:t>
        </m:r>
        <m:r>
          <m:t>,</m:t>
        </m:r>
        <m:r>
          <m:t>.</m:t>
        </m:r>
        <m:r>
          <m:t>.</m:t>
        </m:r>
        <m:r>
          <m:t>.</m:t>
        </m:r>
        <m:r>
          <m:t>,</m:t>
        </m:r>
        <m:r>
          <m:t>17</m:t>
        </m:r>
      </m:oMath>
      <w:r>
        <w:t xml:space="preserve">), let</w:t>
      </w:r>
      <w:r>
        <w:t xml:space="preserve"> </w:t>
      </w:r>
      <m:oMath>
        <m:sSub>
          <m:e>
            <m:r>
              <m:t>q</m:t>
            </m:r>
          </m:e>
          <m:sub>
            <m:r>
              <m:t>i</m:t>
            </m:r>
            <m:r>
              <m:t>j</m:t>
            </m:r>
          </m:sub>
        </m:sSub>
      </m:oMath>
      <w:r>
        <w:t xml:space="preserve"> </w:t>
      </w:r>
      <w:r>
        <w:t xml:space="preserve">be the estimator of</w:t>
      </w:r>
      <w:r>
        <w:t xml:space="preserve"> </w:t>
      </w:r>
      <m:oMath>
        <m:sSub>
          <m:e>
            <m:r>
              <m:t>β</m:t>
            </m:r>
          </m:e>
          <m:sub>
            <m:r>
              <m:t>i</m:t>
            </m:r>
            <m:r>
              <m:t>j</m:t>
            </m:r>
          </m:sub>
        </m:sSub>
      </m:oMath>
      <w:r>
        <w:t xml:space="preserve"> </w:t>
      </w:r>
      <w:r>
        <w:t xml:space="preserve">from</w:t>
      </w:r>
      <w:r>
        <w:t xml:space="preserve"> </w:t>
      </w:r>
      <m:oMath>
        <m:sSub>
          <m:e>
            <m:r>
              <m:t>j</m:t>
            </m:r>
          </m:e>
          <m:sub>
            <m:r>
              <m:t>t</m:t>
            </m:r>
            <m:r>
              <m:t>h</m:t>
            </m:r>
          </m:sub>
        </m:sSub>
      </m:oMath>
      <w:r>
        <w:t xml:space="preserve"> </w:t>
      </w:r>
      <w:r>
        <w:t xml:space="preserve">dataset, and let</w:t>
      </w:r>
      <w:r>
        <w:t xml:space="preserve"> </w:t>
      </w:r>
      <m:oMath>
        <m:sSub>
          <m:e>
            <m:r>
              <m:t>u</m:t>
            </m:r>
          </m:e>
          <m:sub>
            <m:r>
              <m:t>i</m:t>
            </m:r>
            <m:r>
              <m:t>j</m:t>
            </m:r>
          </m:sub>
        </m:sSub>
      </m:oMath>
      <w:r>
        <w:t xml:space="preserve"> </w:t>
      </w:r>
      <w:r>
        <w:t xml:space="preserve">be the estimator of the variance of</w:t>
      </w:r>
      <w:r>
        <w:t xml:space="preserve"> </w:t>
      </w:r>
      <m:oMath>
        <m:sSub>
          <m:e>
            <m:r>
              <m:t>β</m:t>
            </m:r>
          </m:e>
          <m:sub>
            <m:r>
              <m:t>i</m:t>
            </m:r>
            <m:r>
              <m:t>j</m:t>
            </m:r>
          </m:sub>
        </m:sSub>
      </m:oMath>
      <w:r>
        <w:t xml:space="preserve"> </w:t>
      </w:r>
      <w:r>
        <w:t xml:space="preserve">from</w:t>
      </w:r>
      <w:r>
        <w:t xml:space="preserve"> </w:t>
      </w:r>
      <m:oMath>
        <m:sSub>
          <m:e>
            <m:r>
              <m:t>j</m:t>
            </m:r>
          </m:e>
          <m:sub>
            <m:r>
              <m:t>t</m:t>
            </m:r>
            <m:r>
              <m:t>h</m:t>
            </m:r>
          </m:sub>
        </m:sSub>
      </m:oMath>
      <w:r>
        <w:t xml:space="preserve"> </w:t>
      </w:r>
      <w:r>
        <w:t xml:space="preserve">dataset. First, we computed the average of each dataset’s estimated slope to obtain the estimate of the model coefficient</w:t>
      </w:r>
      <w:r>
        <w:t xml:space="preserve"> </w:t>
      </w:r>
      <m:oMath>
        <m:bar>
          <m:barPr>
            <m:pos m:val="top"/>
          </m:barPr>
          <m:e>
            <m:sSub>
              <m:e>
                <m:r>
                  <m:t>q</m:t>
                </m:r>
              </m:e>
              <m:sub>
                <m:r>
                  <m:t>i</m:t>
                </m:r>
              </m:sub>
            </m:sSub>
          </m:e>
        </m:bar>
      </m:oMath>
      <w:r>
        <w:t xml:space="preserve">. Second, we computed the average of each dataset’s estimated slope variance to obtain the within-dataset variance</w:t>
      </w:r>
      <w:r>
        <w:t xml:space="preserve"> </w:t>
      </w:r>
      <m:oMath>
        <m:bar>
          <m:barPr>
            <m:pos m:val="top"/>
          </m:barPr>
          <m:e>
            <m:sSub>
              <m:e>
                <m:r>
                  <m:t>u</m:t>
                </m:r>
              </m:e>
              <m:sub>
                <m:r>
                  <m:t>i</m:t>
                </m:r>
              </m:sub>
            </m:sSub>
          </m:e>
        </m:bar>
      </m:oMath>
      <w:r>
        <w:t xml:space="preserve">. Thid, we computed the variance of the slopes across 12 datasets to obtain the across-datasets variance</w:t>
      </w:r>
      <w:r>
        <w:t xml:space="preserve"> </w:t>
      </w:r>
      <m:oMath>
        <m:sSub>
          <m:e>
            <m:r>
              <m:t>b</m:t>
            </m:r>
          </m:e>
          <m:sub>
            <m:r>
              <m:t>i</m:t>
            </m:r>
          </m:sub>
        </m:sSub>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e>
                <m:bar>
                  <m:barPr>
                    <m:pos m:val="top"/>
                  </m:barPr>
                  <m:e>
                    <m:sSub>
                      <m:e>
                        <m:r>
                          <m:t>q</m:t>
                        </m:r>
                      </m:e>
                      <m:sub>
                        <m:r>
                          <m:t>i</m:t>
                        </m:r>
                      </m:sub>
                    </m:sSub>
                  </m:e>
                </m:bar>
                <m:r>
                  <m:t>=</m:t>
                </m:r>
                <m:nary>
                  <m:naryPr>
                    <m:chr m:val="∑"/>
                    <m:limLoc m:val="undOvr"/>
                    <m:subHide m:val="0"/>
                    <m:supHide m:val="0"/>
                  </m:naryPr>
                  <m:sub>
                    <m:r>
                      <m:t>j</m:t>
                    </m:r>
                    <m:r>
                      <m:t>=</m:t>
                    </m:r>
                    <m:r>
                      <m:t>1</m:t>
                    </m:r>
                  </m:sub>
                  <m:sup>
                    <m:r>
                      <m:t>12</m:t>
                    </m:r>
                  </m:sup>
                  <m:e>
                    <m:sSub>
                      <m:e>
                        <m:r>
                          <m:t>q</m:t>
                        </m:r>
                      </m:e>
                      <m:sub>
                        <m:r>
                          <m:t>i</m:t>
                        </m:r>
                        <m:r>
                          <m:t>j</m:t>
                        </m:r>
                      </m:sub>
                    </m:sSub>
                  </m:e>
                </m:nary>
                <m:r>
                  <m:t>/</m:t>
                </m:r>
                <m:r>
                  <m:t>12</m:t>
                </m:r>
              </m:e>
            </m:mr>
            <m:mr>
              <m:e/>
              <m:e>
                <m:bar>
                  <m:barPr>
                    <m:pos m:val="top"/>
                  </m:barPr>
                  <m:e>
                    <m:sSub>
                      <m:e>
                        <m:r>
                          <m:t>u</m:t>
                        </m:r>
                      </m:e>
                      <m:sub>
                        <m:r>
                          <m:t>i</m:t>
                        </m:r>
                      </m:sub>
                    </m:sSub>
                  </m:e>
                </m:bar>
                <m:r>
                  <m:t>=</m:t>
                </m:r>
                <m:nary>
                  <m:naryPr>
                    <m:chr m:val="∑"/>
                    <m:limLoc m:val="undOvr"/>
                    <m:subHide m:val="0"/>
                    <m:supHide m:val="0"/>
                  </m:naryPr>
                  <m:sub>
                    <m:r>
                      <m:t>j</m:t>
                    </m:r>
                    <m:r>
                      <m:t>=</m:t>
                    </m:r>
                    <m:r>
                      <m:t>1</m:t>
                    </m:r>
                  </m:sub>
                  <m:sup>
                    <m:r>
                      <m:t>12</m:t>
                    </m:r>
                  </m:sup>
                  <m:e>
                    <m:sSub>
                      <m:e>
                        <m:r>
                          <m:t>u</m:t>
                        </m:r>
                      </m:e>
                      <m:sub>
                        <m:r>
                          <m:t>i</m:t>
                        </m:r>
                        <m:r>
                          <m:t>j</m:t>
                        </m:r>
                      </m:sub>
                    </m:sSub>
                  </m:e>
                </m:nary>
                <m:r>
                  <m:t>/</m:t>
                </m:r>
                <m:r>
                  <m:t>12</m:t>
                </m:r>
              </m:e>
            </m:mr>
            <m:mr>
              <m:e/>
              <m:e>
                <m:sSub>
                  <m:e>
                    <m:r>
                      <m:t>b</m:t>
                    </m:r>
                  </m:e>
                  <m:sub>
                    <m:r>
                      <m:t>i</m:t>
                    </m:r>
                  </m:sub>
                </m:sSub>
                <m:r>
                  <m:t>=</m:t>
                </m:r>
                <m:nary>
                  <m:naryPr>
                    <m:chr m:val="∑"/>
                    <m:limLoc m:val="undOvr"/>
                    <m:subHide m:val="0"/>
                    <m:supHide m:val="0"/>
                  </m:naryPr>
                  <m:sub>
                    <m:r>
                      <m:t>j</m:t>
                    </m:r>
                    <m:r>
                      <m:t>=</m:t>
                    </m:r>
                    <m:r>
                      <m:t>1</m:t>
                    </m:r>
                  </m:sub>
                  <m:sup>
                    <m:r>
                      <m:t>12</m:t>
                    </m:r>
                  </m:sup>
                  <m:e>
                    <m:r>
                      <m:t>(</m:t>
                    </m:r>
                  </m:e>
                </m:nary>
                <m:sSub>
                  <m:e>
                    <m:r>
                      <m:t>q</m:t>
                    </m:r>
                  </m:e>
                  <m:sub>
                    <m:r>
                      <m:t>i</m:t>
                    </m:r>
                    <m:r>
                      <m:t>j</m:t>
                    </m:r>
                  </m:sub>
                </m:sSub>
                <m:r>
                  <m:t>−</m:t>
                </m:r>
                <m:bar>
                  <m:barPr>
                    <m:pos m:val="top"/>
                  </m:barPr>
                  <m:e>
                    <m:sSub>
                      <m:e>
                        <m:r>
                          <m:t>q</m:t>
                        </m:r>
                      </m:e>
                      <m:sub>
                        <m:r>
                          <m:t>i</m:t>
                        </m:r>
                      </m:sub>
                    </m:sSub>
                  </m:e>
                </m:bar>
                <m:r>
                  <m:t>)</m:t>
                </m:r>
                <m:r>
                  <m:t>/</m:t>
                </m:r>
                <m:r>
                  <m:t>(</m:t>
                </m:r>
                <m:r>
                  <m:t>12</m:t>
                </m:r>
                <m:r>
                  <m:t>−</m:t>
                </m:r>
                <m:r>
                  <m:t>1</m:t>
                </m:r>
                <m:r>
                  <m:t>)</m:t>
                </m:r>
              </m:e>
            </m:mr>
          </m:m>
        </m:oMath>
      </m:oMathPara>
    </w:p>
    <w:p>
      <w:pPr>
        <w:pStyle w:val="FirstParagraph"/>
      </w:pPr>
      <w:r>
        <w:t xml:space="preserve">With average estimated regression coefficient (</w:t>
      </w:r>
      <m:oMath>
        <m:bar>
          <m:barPr>
            <m:pos m:val="top"/>
          </m:barPr>
          <m:e>
            <m:sSub>
              <m:e>
                <m:r>
                  <m:t>q</m:t>
                </m:r>
              </m:e>
              <m:sub>
                <m:r>
                  <m:t>i</m:t>
                </m:r>
              </m:sub>
            </m:sSub>
          </m:e>
        </m:bar>
      </m:oMath>
      <w:r>
        <w:t xml:space="preserve">), within-dataset variance (</w:t>
      </w:r>
      <m:oMath>
        <m:bar>
          <m:barPr>
            <m:pos m:val="top"/>
          </m:barPr>
          <m:e>
            <m:sSub>
              <m:e>
                <m:r>
                  <m:t>u</m:t>
                </m:r>
              </m:e>
              <m:sub>
                <m:r>
                  <m:t>i</m:t>
                </m:r>
              </m:sub>
            </m:sSub>
          </m:e>
        </m:bar>
      </m:oMath>
      <w:r>
        <w:t xml:space="preserve">), and across-datasets variance (</w:t>
      </w:r>
      <m:oMath>
        <m:sSub>
          <m:e>
            <m:r>
              <m:t>b</m:t>
            </m:r>
          </m:e>
          <m:sub>
            <m:r>
              <m:t>i</m:t>
            </m:r>
          </m:sub>
        </m:sSub>
      </m:oMath>
      <w:r>
        <w:t xml:space="preserve">), the point estimate of</w:t>
      </w:r>
      <w:r>
        <w:t xml:space="preserve"> </w:t>
      </w:r>
      <m:oMath>
        <m:sSub>
          <m:e>
            <m:r>
              <m:t>β</m:t>
            </m:r>
          </m:e>
          <m:sub>
            <m:r>
              <m:t>i</m:t>
            </m:r>
          </m:sub>
        </m:sSub>
      </m:oMath>
      <w:r>
        <w:t xml:space="preserve"> </w:t>
      </w:r>
      <w:r>
        <w:t xml:space="preserve">is</w:t>
      </w:r>
      <w:r>
        <w:t xml:space="preserve"> </w:t>
      </w:r>
      <m:oMath>
        <m:bar>
          <m:barPr>
            <m:pos m:val="top"/>
          </m:barPr>
          <m:e>
            <m:sSub>
              <m:e>
                <m:r>
                  <m:t>q</m:t>
                </m:r>
              </m:e>
              <m:sub>
                <m:r>
                  <m:t>i</m:t>
                </m:r>
              </m:sub>
            </m:sSub>
          </m:e>
        </m:bar>
      </m:oMath>
      <w:r>
        <w:t xml:space="preserve">, and its variance is</w:t>
      </w:r>
      <w:r>
        <w:t xml:space="preserve"> </w:t>
      </w:r>
      <m:oMath>
        <m:sSub>
          <m:e>
            <m:r>
              <m:t>T</m:t>
            </m:r>
          </m:e>
          <m:sub>
            <m:r>
              <m:t>i</m:t>
            </m:r>
          </m:sub>
        </m:sSub>
        <m:r>
          <m:t>=</m:t>
        </m:r>
        <m:r>
          <m:t>(</m:t>
        </m:r>
        <m:r>
          <m:t>1</m:t>
        </m:r>
        <m:r>
          <m:t>+</m:t>
        </m:r>
        <m:r>
          <m:t>1</m:t>
        </m:r>
        <m:r>
          <m:t>/</m:t>
        </m:r>
        <m:r>
          <m:t>12</m:t>
        </m:r>
        <m:r>
          <m:t>)</m:t>
        </m:r>
        <m:sSub>
          <m:e>
            <m:r>
              <m:t>b</m:t>
            </m:r>
          </m:e>
          <m:sub>
            <m:r>
              <m:t>i</m:t>
            </m:r>
          </m:sub>
        </m:sSub>
        <m:r>
          <m:t>+</m:t>
        </m:r>
        <m:bar>
          <m:barPr>
            <m:pos m:val="top"/>
          </m:barPr>
          <m:e>
            <m:sSub>
              <m:e>
                <m:r>
                  <m:t>u</m:t>
                </m:r>
              </m:e>
              <m:sub>
                <m:r>
                  <m:t>i</m:t>
                </m:r>
              </m:sub>
            </m:sSub>
          </m:e>
        </m:bar>
      </m:oMath>
      <w:r>
        <w:t xml:space="preserve">. An approximate 95% confidence interval is</w:t>
      </w:r>
      <w:r>
        <w:t xml:space="preserve"> </w:t>
      </w:r>
      <m:oMath>
        <m:bar>
          <m:barPr>
            <m:pos m:val="top"/>
          </m:barPr>
          <m:e>
            <m:sSub>
              <m:e>
                <m:r>
                  <m:t>q</m:t>
                </m:r>
              </m:e>
              <m:sub>
                <m:r>
                  <m:t>i</m:t>
                </m:r>
              </m:sub>
            </m:sSub>
          </m:e>
        </m:bar>
        <m:r>
          <m:t>±</m:t>
        </m:r>
        <m:r>
          <m:t>1.96</m:t>
        </m:r>
        <m:rad>
          <m:radPr>
            <m:degHide m:val="1"/>
          </m:radPr>
          <m:deg/>
          <m:e>
            <m:sSub>
              <m:e>
                <m:r>
                  <m:t>T</m:t>
                </m:r>
              </m:e>
              <m:sub>
                <m:r>
                  <m:t>i</m:t>
                </m:r>
              </m:sub>
            </m:sSub>
          </m:e>
        </m:rad>
      </m:oMath>
      <w:r>
        <w:t xml:space="preserve">. The table below shows the pooled estimated slope, standard error, and 95% confidence interval of each regression coefficient.</w:t>
      </w:r>
    </w:p>
    <w:p>
      <w:pPr>
        <w:pStyle w:val="TableCaption"/>
      </w:pPr>
      <w:r>
        <w:rPr>
          <w:i/>
        </w:rPr>
        <w:t xml:space="preserve">Combined Coefficient Estimate, Standard Error, and 95% CI. (Frequentist Model)</w:t>
      </w:r>
    </w:p>
    <w:tbl>
      <w:tblPr>
        <w:tblStyle w:val="TableNormal"/>
        <w:tblW w:type="pct" w:w="0.0"/>
        <w:tblLook w:firstRow="1"/>
        <w:tblCaption w:val="Combined Coefficient Estimate, Standard Error, and 95% CI. (Frequentist Model)"/>
      </w:tblPr>
      <w:tblGrid/>
      <w:tr>
        <w:trPr>
          <w:cnfStyle w:firstRow="1"/>
        </w:trPr>
        <w:tc>
          <w:tcPr>
            <w:tcBorders>
              <w:bottom w:val="single"/>
            </w:tcBorders>
            <w:vAlign w:val="bottom"/>
          </w:tcPr>
          <w:p>
            <w:pPr>
              <w:pStyle w:val="Compact"/>
              <w:jc w:val="left"/>
            </w:pPr>
            <w:r>
              <w:t xml:space="preserve">Coefficient</w:t>
            </w: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Std. Error</w:t>
            </w:r>
          </w:p>
        </w:tc>
        <w:tc>
          <w:tcPr>
            <w:tcBorders>
              <w:bottom w:val="single"/>
            </w:tcBorders>
            <w:vAlign w:val="bottom"/>
          </w:tcPr>
          <w:p>
            <w:pPr>
              <w:pStyle w:val="Compact"/>
              <w:jc w:val="left"/>
            </w:pPr>
            <w:r>
              <w:t xml:space="preserve">95% CI.</w:t>
            </w:r>
          </w:p>
        </w:tc>
      </w:tr>
      <w:tr>
        <w:tc>
          <w:p>
            <w:pPr>
              <w:pStyle w:val="Compact"/>
              <w:jc w:val="left"/>
            </w:pPr>
            <w:r>
              <w:t xml:space="preserve">Intercept (</w:t>
            </w:r>
            <m:oMath>
              <m:sSub>
                <m:e>
                  <m:r>
                    <m:t>β</m:t>
                  </m:r>
                </m:e>
                <m:sub>
                  <m:r>
                    <m:t>0</m:t>
                  </m:r>
                </m:sub>
              </m:sSub>
            </m:oMath>
            <w:r>
              <w:t xml:space="preserve">)</w:t>
            </w:r>
          </w:p>
        </w:tc>
        <w:tc>
          <w:p>
            <w:pPr>
              <w:pStyle w:val="Compact"/>
              <w:jc w:val="left"/>
            </w:pPr>
            <w:r>
              <w:t xml:space="preserve">-6.018</w:t>
            </w:r>
          </w:p>
        </w:tc>
        <w:tc>
          <w:p>
            <w:pPr>
              <w:pStyle w:val="Compact"/>
              <w:jc w:val="left"/>
            </w:pPr>
            <w:r>
              <w:t xml:space="preserve">0.697</w:t>
            </w:r>
          </w:p>
        </w:tc>
        <w:tc>
          <w:p>
            <w:pPr>
              <w:pStyle w:val="Compact"/>
              <w:jc w:val="left"/>
            </w:pPr>
            <w:r>
              <w:t xml:space="preserve">[-6.871, -5.164]</w:t>
            </w:r>
          </w:p>
        </w:tc>
      </w:tr>
      <w:tr>
        <w:tc>
          <w:p>
            <w:pPr>
              <w:pStyle w:val="Compact"/>
              <w:jc w:val="left"/>
            </w:pPr>
            <w:r>
              <w:t xml:space="preserve">Female (</w:t>
            </w:r>
            <m:oMath>
              <m:sSub>
                <m:e>
                  <m:r>
                    <m:t>β</m:t>
                  </m:r>
                </m:e>
                <m:sub>
                  <m:r>
                    <m:t>1</m:t>
                  </m:r>
                </m:sub>
              </m:sSub>
            </m:oMath>
            <w:r>
              <w:t xml:space="preserve">)</w:t>
            </w:r>
          </w:p>
        </w:tc>
        <w:tc>
          <w:p>
            <w:pPr>
              <w:pStyle w:val="Compact"/>
              <w:jc w:val="left"/>
            </w:pPr>
            <w:r>
              <w:t xml:space="preserve">-0.035</w:t>
            </w:r>
          </w:p>
        </w:tc>
        <w:tc>
          <w:p>
            <w:pPr>
              <w:pStyle w:val="Compact"/>
              <w:jc w:val="left"/>
            </w:pPr>
            <w:r>
              <w:t xml:space="preserve">0.012</w:t>
            </w:r>
          </w:p>
        </w:tc>
        <w:tc>
          <w:p>
            <w:pPr>
              <w:pStyle w:val="Compact"/>
              <w:jc w:val="left"/>
            </w:pPr>
            <w:r>
              <w:t xml:space="preserve">[-0.0815, 0.011]</w:t>
            </w:r>
          </w:p>
        </w:tc>
      </w:tr>
      <w:tr>
        <w:tc>
          <w:p>
            <w:pPr>
              <w:pStyle w:val="Compact"/>
              <w:jc w:val="left"/>
            </w:pPr>
            <w:r>
              <w:t xml:space="preserve">OccA (</w:t>
            </w:r>
            <m:oMath>
              <m:sSub>
                <m:e>
                  <m:r>
                    <m:t>β</m:t>
                  </m:r>
                </m:e>
                <m:sub>
                  <m:r>
                    <m:t>2</m:t>
                  </m:r>
                </m:sub>
              </m:sSub>
            </m:oMath>
            <w:r>
              <w:t xml:space="preserve">)</w:t>
            </w:r>
          </w:p>
        </w:tc>
        <w:tc>
          <w:p>
            <w:pPr>
              <w:pStyle w:val="Compact"/>
              <w:jc w:val="left"/>
            </w:pPr>
            <w:r>
              <w:t xml:space="preserve">0.744</w:t>
            </w:r>
          </w:p>
        </w:tc>
        <w:tc>
          <w:p>
            <w:pPr>
              <w:pStyle w:val="Compact"/>
              <w:jc w:val="left"/>
            </w:pPr>
            <w:r>
              <w:t xml:space="preserve">0.015</w:t>
            </w:r>
          </w:p>
        </w:tc>
        <w:tc>
          <w:p>
            <w:pPr>
              <w:pStyle w:val="Compact"/>
              <w:jc w:val="left"/>
            </w:pPr>
            <w:r>
              <w:t xml:space="preserve">[0.709, 0.779]</w:t>
            </w:r>
          </w:p>
        </w:tc>
      </w:tr>
      <w:tr>
        <w:tc>
          <w:p>
            <w:pPr>
              <w:pStyle w:val="Compact"/>
              <w:jc w:val="left"/>
            </w:pPr>
            <w:r>
              <w:t xml:space="preserve">OccO (</w:t>
            </w:r>
            <m:oMath>
              <m:sSub>
                <m:e>
                  <m:r>
                    <m:t>β</m:t>
                  </m:r>
                </m:e>
                <m:sub>
                  <m:r>
                    <m:t>3</m:t>
                  </m:r>
                </m:sub>
              </m:sSub>
            </m:oMath>
            <w:r>
              <w:t xml:space="preserve">)</w:t>
            </w:r>
          </w:p>
        </w:tc>
        <w:tc>
          <w:p>
            <w:pPr>
              <w:pStyle w:val="Compact"/>
              <w:jc w:val="left"/>
            </w:pPr>
            <w:r>
              <w:t xml:space="preserve">1.005</w:t>
            </w:r>
          </w:p>
        </w:tc>
        <w:tc>
          <w:p>
            <w:pPr>
              <w:pStyle w:val="Compact"/>
              <w:jc w:val="left"/>
            </w:pPr>
            <w:r>
              <w:t xml:space="preserve">0.299</w:t>
            </w:r>
          </w:p>
        </w:tc>
        <w:tc>
          <w:p>
            <w:pPr>
              <w:pStyle w:val="Compact"/>
              <w:jc w:val="left"/>
            </w:pPr>
            <w:r>
              <w:t xml:space="preserve">[0.845, 1.170]</w:t>
            </w:r>
          </w:p>
        </w:tc>
      </w:tr>
      <w:tr>
        <w:tc>
          <w:p>
            <w:pPr>
              <w:pStyle w:val="Compact"/>
              <w:jc w:val="left"/>
            </w:pPr>
            <w:r>
              <w:t xml:space="preserve">EducA (</w:t>
            </w:r>
            <m:oMath>
              <m:sSub>
                <m:e>
                  <m:r>
                    <m:t>β</m:t>
                  </m:r>
                </m:e>
                <m:sub>
                  <m:r>
                    <m:t>4</m:t>
                  </m:r>
                </m:sub>
              </m:sSub>
            </m:oMath>
            <w:r>
              <w:t xml:space="preserve">)</w:t>
            </w:r>
          </w:p>
        </w:tc>
        <w:tc>
          <w:p>
            <w:pPr>
              <w:pStyle w:val="Compact"/>
              <w:jc w:val="left"/>
            </w:pPr>
            <w:r>
              <w:t xml:space="preserve">-0.712</w:t>
            </w:r>
          </w:p>
        </w:tc>
        <w:tc>
          <w:p>
            <w:pPr>
              <w:pStyle w:val="Compact"/>
              <w:jc w:val="left"/>
            </w:pPr>
            <w:r>
              <w:t xml:space="preserve">0.036</w:t>
            </w:r>
          </w:p>
        </w:tc>
        <w:tc>
          <w:p>
            <w:pPr>
              <w:pStyle w:val="Compact"/>
              <w:jc w:val="left"/>
            </w:pPr>
            <w:r>
              <w:t xml:space="preserve">[-0.748, -0.675]</w:t>
            </w:r>
          </w:p>
        </w:tc>
      </w:tr>
      <w:tr>
        <w:tc>
          <w:p>
            <w:pPr>
              <w:pStyle w:val="Compact"/>
              <w:jc w:val="left"/>
            </w:pPr>
            <w:r>
              <w:t xml:space="preserve">EducC (</w:t>
            </w:r>
            <m:oMath>
              <m:sSub>
                <m:e>
                  <m:r>
                    <m:t>β</m:t>
                  </m:r>
                </m:e>
                <m:sub>
                  <m:r>
                    <m:t>5</m:t>
                  </m:r>
                </m:sub>
              </m:sSub>
            </m:oMath>
            <w:r>
              <w:t xml:space="preserve">)</w:t>
            </w:r>
          </w:p>
        </w:tc>
        <w:tc>
          <w:p>
            <w:pPr>
              <w:pStyle w:val="Compact"/>
              <w:jc w:val="left"/>
            </w:pPr>
            <w:r>
              <w:t xml:space="preserve">0.128</w:t>
            </w:r>
          </w:p>
        </w:tc>
        <w:tc>
          <w:p>
            <w:pPr>
              <w:pStyle w:val="Compact"/>
              <w:jc w:val="left"/>
            </w:pPr>
            <w:r>
              <w:t xml:space="preserve">0.016</w:t>
            </w:r>
          </w:p>
        </w:tc>
        <w:tc>
          <w:p>
            <w:pPr>
              <w:pStyle w:val="Compact"/>
              <w:jc w:val="left"/>
            </w:pPr>
            <w:r>
              <w:t xml:space="preserve">[0.094, 0.161]</w:t>
            </w:r>
          </w:p>
        </w:tc>
      </w:tr>
      <w:tr>
        <w:tc>
          <w:p>
            <w:pPr>
              <w:pStyle w:val="Compact"/>
              <w:jc w:val="left"/>
            </w:pPr>
            <w:r>
              <w:t xml:space="preserve">EducD (</w:t>
            </w:r>
            <m:oMath>
              <m:sSub>
                <m:e>
                  <m:r>
                    <m:t>β</m:t>
                  </m:r>
                </m:e>
                <m:sub>
                  <m:r>
                    <m:t>6</m:t>
                  </m:r>
                </m:sub>
              </m:sSub>
            </m:oMath>
            <w:r>
              <w:t xml:space="preserve">)</w:t>
            </w:r>
          </w:p>
        </w:tc>
        <w:tc>
          <w:p>
            <w:pPr>
              <w:pStyle w:val="Compact"/>
              <w:jc w:val="left"/>
            </w:pPr>
            <w:r>
              <w:t xml:space="preserve">0.195</w:t>
            </w:r>
          </w:p>
        </w:tc>
        <w:tc>
          <w:p>
            <w:pPr>
              <w:pStyle w:val="Compact"/>
              <w:jc w:val="left"/>
            </w:pPr>
            <w:r>
              <w:t xml:space="preserve">0.033</w:t>
            </w:r>
          </w:p>
        </w:tc>
        <w:tc>
          <w:p>
            <w:pPr>
              <w:pStyle w:val="Compact"/>
              <w:jc w:val="left"/>
            </w:pPr>
            <w:r>
              <w:t xml:space="preserve">[0.139, 0.252]</w:t>
            </w:r>
          </w:p>
        </w:tc>
      </w:tr>
      <w:tr>
        <w:tc>
          <w:p>
            <w:pPr>
              <w:pStyle w:val="Compact"/>
              <w:jc w:val="left"/>
            </w:pPr>
            <w:r>
              <w:t xml:space="preserve">EducE (</w:t>
            </w:r>
            <m:oMath>
              <m:sSub>
                <m:e>
                  <m:r>
                    <m:t>β</m:t>
                  </m:r>
                </m:e>
                <m:sub>
                  <m:r>
                    <m:t>7</m:t>
                  </m:r>
                </m:sub>
              </m:sSub>
            </m:oMath>
            <w:r>
              <w:t xml:space="preserve">)</w:t>
            </w:r>
          </w:p>
        </w:tc>
        <w:tc>
          <w:p>
            <w:pPr>
              <w:pStyle w:val="Compact"/>
              <w:jc w:val="left"/>
            </w:pPr>
            <w:r>
              <w:t xml:space="preserve">-0.047</w:t>
            </w:r>
          </w:p>
        </w:tc>
        <w:tc>
          <w:p>
            <w:pPr>
              <w:pStyle w:val="Compact"/>
              <w:jc w:val="left"/>
            </w:pPr>
            <w:r>
              <w:t xml:space="preserve">0.045</w:t>
            </w:r>
          </w:p>
        </w:tc>
        <w:tc>
          <w:p>
            <w:pPr>
              <w:pStyle w:val="Compact"/>
              <w:jc w:val="left"/>
            </w:pPr>
            <w:r>
              <w:t xml:space="preserve">[-0.129, 0.036]</w:t>
            </w:r>
          </w:p>
        </w:tc>
      </w:tr>
      <w:tr>
        <w:tc>
          <w:p>
            <w:pPr>
              <w:pStyle w:val="Compact"/>
              <w:jc w:val="left"/>
            </w:pPr>
            <w:r>
              <w:t xml:space="preserve">Non-white (</w:t>
            </w:r>
            <m:oMath>
              <m:sSub>
                <m:e>
                  <m:r>
                    <m:t>β</m:t>
                  </m:r>
                </m:e>
                <m:sub>
                  <m:r>
                    <m:t>8</m:t>
                  </m:r>
                </m:sub>
              </m:sSub>
            </m:oMath>
            <w:r>
              <w:t xml:space="preserve">)</w:t>
            </w:r>
          </w:p>
        </w:tc>
        <w:tc>
          <w:p>
            <w:pPr>
              <w:pStyle w:val="Compact"/>
              <w:jc w:val="left"/>
            </w:pPr>
            <w:r>
              <w:t xml:space="preserve">-0.112</w:t>
            </w:r>
          </w:p>
        </w:tc>
        <w:tc>
          <w:p>
            <w:pPr>
              <w:pStyle w:val="Compact"/>
              <w:jc w:val="left"/>
            </w:pPr>
            <w:r>
              <w:t xml:space="preserve">0.017</w:t>
            </w:r>
          </w:p>
        </w:tc>
        <w:tc>
          <w:p>
            <w:pPr>
              <w:pStyle w:val="Compact"/>
              <w:jc w:val="left"/>
            </w:pPr>
            <w:r>
              <w:t xml:space="preserve">[-0.151, -0.074]</w:t>
            </w:r>
          </w:p>
        </w:tc>
      </w:tr>
      <w:tr>
        <w:tc>
          <w:p>
            <w:pPr>
              <w:pStyle w:val="Compact"/>
              <w:jc w:val="left"/>
            </w:pPr>
            <w:r>
              <w:t xml:space="preserve">No-switch (</w:t>
            </w:r>
            <m:oMath>
              <m:sSub>
                <m:e>
                  <m:r>
                    <m:t>β</m:t>
                  </m:r>
                </m:e>
                <m:sub>
                  <m:r>
                    <m:t>9</m:t>
                  </m:r>
                </m:sub>
              </m:sSub>
            </m:oMath>
            <w:r>
              <w:t xml:space="preserve">)</w:t>
            </w:r>
          </w:p>
        </w:tc>
        <w:tc>
          <w:p>
            <w:pPr>
              <w:pStyle w:val="Compact"/>
              <w:jc w:val="left"/>
            </w:pPr>
            <w:r>
              <w:t xml:space="preserve">-0.039</w:t>
            </w:r>
          </w:p>
        </w:tc>
        <w:tc>
          <w:p>
            <w:pPr>
              <w:pStyle w:val="Compact"/>
              <w:jc w:val="left"/>
            </w:pPr>
            <w:r>
              <w:t xml:space="preserve">0.031</w:t>
            </w:r>
          </w:p>
        </w:tc>
        <w:tc>
          <w:p>
            <w:pPr>
              <w:pStyle w:val="Compact"/>
              <w:jc w:val="left"/>
            </w:pPr>
            <w:r>
              <w:t xml:space="preserve">[-0.057, -0.020]</w:t>
            </w:r>
          </w:p>
        </w:tc>
      </w:tr>
      <w:tr>
        <w:tc>
          <w:p>
            <w:pPr>
              <w:pStyle w:val="Compact"/>
              <w:jc w:val="left"/>
            </w:pPr>
            <w:r>
              <w:t xml:space="preserve">Non-Supervisor (</w:t>
            </w:r>
            <m:oMath>
              <m:sSub>
                <m:e>
                  <m:r>
                    <m:t>β</m:t>
                  </m:r>
                </m:e>
                <m:sub>
                  <m:r>
                    <m:t>10</m:t>
                  </m:r>
                </m:sub>
              </m:sSub>
            </m:oMath>
            <w:r>
              <w:t xml:space="preserve">)</w:t>
            </w:r>
          </w:p>
        </w:tc>
        <w:tc>
          <w:p>
            <w:pPr>
              <w:pStyle w:val="Compact"/>
              <w:jc w:val="left"/>
            </w:pPr>
            <w:r>
              <w:t xml:space="preserve">-0.949</w:t>
            </w:r>
          </w:p>
        </w:tc>
        <w:tc>
          <w:p>
            <w:pPr>
              <w:pStyle w:val="Compact"/>
              <w:jc w:val="left"/>
            </w:pPr>
            <w:r>
              <w:t xml:space="preserve">0.013</w:t>
            </w:r>
          </w:p>
        </w:tc>
        <w:tc>
          <w:p>
            <w:pPr>
              <w:pStyle w:val="Compact"/>
              <w:jc w:val="left"/>
            </w:pPr>
            <w:r>
              <w:t xml:space="preserve">[-1.008, -0.890]</w:t>
            </w:r>
          </w:p>
        </w:tc>
      </w:tr>
      <w:tr>
        <w:tc>
          <w:p>
            <w:pPr>
              <w:pStyle w:val="Compact"/>
              <w:jc w:val="left"/>
            </w:pPr>
            <w:r>
              <w:t xml:space="preserve">Grade0 (</w:t>
            </w:r>
            <m:oMath>
              <m:sSub>
                <m:e>
                  <m:r>
                    <m:t>β</m:t>
                  </m:r>
                </m:e>
                <m:sub>
                  <m:r>
                    <m:t>11</m:t>
                  </m:r>
                </m:sub>
              </m:sSub>
            </m:oMath>
            <w:r>
              <w:t xml:space="preserve">)</w:t>
            </w:r>
          </w:p>
        </w:tc>
        <w:tc>
          <w:p>
            <w:pPr>
              <w:pStyle w:val="Compact"/>
              <w:jc w:val="left"/>
            </w:pPr>
            <w:r>
              <w:t xml:space="preserve">-0.450</w:t>
            </w:r>
          </w:p>
        </w:tc>
        <w:tc>
          <w:p>
            <w:pPr>
              <w:pStyle w:val="Compact"/>
              <w:jc w:val="left"/>
            </w:pPr>
            <w:r>
              <w:t xml:space="preserve">0.066</w:t>
            </w:r>
          </w:p>
        </w:tc>
        <w:tc>
          <w:p>
            <w:pPr>
              <w:pStyle w:val="Compact"/>
              <w:jc w:val="left"/>
            </w:pPr>
            <w:r>
              <w:t xml:space="preserve">[-0.657, -0.244]</w:t>
            </w:r>
          </w:p>
        </w:tc>
      </w:tr>
      <w:tr>
        <w:tc>
          <w:p>
            <w:pPr>
              <w:pStyle w:val="Compact"/>
              <w:jc w:val="left"/>
            </w:pPr>
            <w:r>
              <w:t xml:space="preserve">Grade2 (</w:t>
            </w:r>
            <m:oMath>
              <m:sSub>
                <m:e>
                  <m:r>
                    <m:t>β</m:t>
                  </m:r>
                </m:e>
                <m:sub>
                  <m:r>
                    <m:t>12</m:t>
                  </m:r>
                </m:sub>
              </m:sSub>
            </m:oMath>
            <w:r>
              <w:t xml:space="preserve">)</w:t>
            </w:r>
          </w:p>
        </w:tc>
        <w:tc>
          <w:p>
            <w:pPr>
              <w:pStyle w:val="Compact"/>
              <w:jc w:val="left"/>
            </w:pPr>
            <w:r>
              <w:t xml:space="preserve">1.389</w:t>
            </w:r>
          </w:p>
        </w:tc>
        <w:tc>
          <w:p>
            <w:pPr>
              <w:pStyle w:val="Compact"/>
              <w:jc w:val="left"/>
            </w:pPr>
            <w:r>
              <w:t xml:space="preserve">0.049</w:t>
            </w:r>
          </w:p>
        </w:tc>
        <w:tc>
          <w:p>
            <w:pPr>
              <w:pStyle w:val="Compact"/>
              <w:jc w:val="left"/>
            </w:pPr>
            <w:r>
              <w:t xml:space="preserve">[1.213,1.565]</w:t>
            </w:r>
          </w:p>
        </w:tc>
      </w:tr>
      <w:tr>
        <w:tc>
          <w:p>
            <w:pPr>
              <w:pStyle w:val="Compact"/>
              <w:jc w:val="left"/>
            </w:pPr>
            <w:r>
              <w:t xml:space="preserve">ScaledSalary (</w:t>
            </w:r>
            <m:oMath>
              <m:sSub>
                <m:e>
                  <m:r>
                    <m:t>β</m:t>
                  </m:r>
                </m:e>
                <m:sub>
                  <m:r>
                    <m:t>13</m:t>
                  </m:r>
                </m:sub>
              </m:sSub>
            </m:oMath>
            <w:r>
              <w:t xml:space="preserve">)</w:t>
            </w:r>
          </w:p>
        </w:tc>
        <w:tc>
          <w:p>
            <w:pPr>
              <w:pStyle w:val="Compact"/>
              <w:jc w:val="left"/>
            </w:pPr>
            <w:r>
              <w:t xml:space="preserve">1.939</w:t>
            </w:r>
          </w:p>
        </w:tc>
        <w:tc>
          <w:p>
            <w:pPr>
              <w:pStyle w:val="Compact"/>
              <w:jc w:val="left"/>
            </w:pPr>
            <w:r>
              <w:t xml:space="preserve">0.618</w:t>
            </w:r>
          </w:p>
        </w:tc>
        <w:tc>
          <w:p>
            <w:pPr>
              <w:pStyle w:val="Compact"/>
              <w:jc w:val="left"/>
            </w:pPr>
            <w:r>
              <w:t xml:space="preserve">[1.157, 2.721]</w:t>
            </w:r>
          </w:p>
        </w:tc>
      </w:tr>
      <w:tr>
        <w:tc>
          <w:p>
            <w:pPr>
              <w:pStyle w:val="Compact"/>
              <w:jc w:val="left"/>
            </w:pPr>
            <w:r>
              <w:t xml:space="preserve">(ScaledSalary + 1.0751) (</w:t>
            </w:r>
            <m:oMath>
              <m:sSub>
                <m:e>
                  <m:r>
                    <m:t>β</m:t>
                  </m:r>
                </m:e>
                <m:sub>
                  <m:r>
                    <m:t>14</m:t>
                  </m:r>
                </m:sub>
              </m:sSub>
            </m:oMath>
            <w:r>
              <w:t xml:space="preserve">)</w:t>
            </w:r>
          </w:p>
        </w:tc>
        <w:tc>
          <w:p>
            <w:pPr>
              <w:pStyle w:val="Compact"/>
              <w:jc w:val="left"/>
            </w:pPr>
            <w:r>
              <w:t xml:space="preserve">2.919</w:t>
            </w:r>
          </w:p>
        </w:tc>
        <w:tc>
          <w:p>
            <w:pPr>
              <w:pStyle w:val="Compact"/>
              <w:jc w:val="left"/>
            </w:pPr>
            <w:r>
              <w:t xml:space="preserve">0.642</w:t>
            </w:r>
          </w:p>
        </w:tc>
        <w:tc>
          <w:p>
            <w:pPr>
              <w:pStyle w:val="Compact"/>
              <w:jc w:val="left"/>
            </w:pPr>
            <w:r>
              <w:t xml:space="preserve">[2.077, 3.761]</w:t>
            </w:r>
          </w:p>
        </w:tc>
      </w:tr>
      <w:tr>
        <w:tc>
          <w:p>
            <w:pPr>
              <w:pStyle w:val="Compact"/>
              <w:jc w:val="left"/>
            </w:pPr>
            <w:r>
              <w:t xml:space="preserve">(ScaledSalary - 0.2272) (</w:t>
            </w:r>
            <m:oMath>
              <m:sSub>
                <m:e>
                  <m:r>
                    <m:t>β</m:t>
                  </m:r>
                </m:e>
                <m:sub>
                  <m:r>
                    <m:t>15</m:t>
                  </m:r>
                </m:sub>
              </m:sSub>
            </m:oMath>
            <w:r>
              <w:t xml:space="preserve">)</w:t>
            </w:r>
          </w:p>
        </w:tc>
        <w:tc>
          <w:p>
            <w:pPr>
              <w:pStyle w:val="Compact"/>
              <w:jc w:val="left"/>
            </w:pPr>
            <w:r>
              <w:t xml:space="preserve">3.328</w:t>
            </w:r>
          </w:p>
        </w:tc>
        <w:tc>
          <w:p>
            <w:pPr>
              <w:pStyle w:val="Compact"/>
              <w:jc w:val="left"/>
            </w:pPr>
            <w:r>
              <w:t xml:space="preserve">0.902</w:t>
            </w:r>
          </w:p>
        </w:tc>
        <w:tc>
          <w:p>
            <w:pPr>
              <w:pStyle w:val="Compact"/>
              <w:jc w:val="left"/>
            </w:pPr>
            <w:r>
              <w:t xml:space="preserve">[2.362, 4.294]</w:t>
            </w:r>
          </w:p>
        </w:tc>
      </w:tr>
      <w:tr>
        <w:tc>
          <w:p>
            <w:pPr>
              <w:pStyle w:val="Compact"/>
              <w:jc w:val="left"/>
            </w:pPr>
            <w:r>
              <w:t xml:space="preserve">Change1 (</w:t>
            </w:r>
            <m:oMath>
              <m:sSub>
                <m:e>
                  <m:r>
                    <m:t>β</m:t>
                  </m:r>
                </m:e>
                <m:sub>
                  <m:r>
                    <m:t>16</m:t>
                  </m:r>
                </m:sub>
              </m:sSub>
            </m:oMath>
            <w:r>
              <w:t xml:space="preserve">)</w:t>
            </w:r>
          </w:p>
        </w:tc>
        <w:tc>
          <w:p>
            <w:pPr>
              <w:pStyle w:val="Compact"/>
              <w:jc w:val="left"/>
            </w:pPr>
            <w:r>
              <w:t xml:space="preserve">-0.266</w:t>
            </w:r>
          </w:p>
        </w:tc>
        <w:tc>
          <w:p>
            <w:pPr>
              <w:pStyle w:val="Compact"/>
              <w:jc w:val="left"/>
            </w:pPr>
            <w:r>
              <w:t xml:space="preserve">0.027</w:t>
            </w:r>
          </w:p>
        </w:tc>
        <w:tc>
          <w:p>
            <w:pPr>
              <w:pStyle w:val="Compact"/>
              <w:jc w:val="left"/>
            </w:pPr>
            <w:r>
              <w:t xml:space="preserve">[-0.457, -0.074]</w:t>
            </w:r>
          </w:p>
        </w:tc>
      </w:tr>
      <w:tr>
        <w:tc>
          <w:p>
            <w:pPr>
              <w:pStyle w:val="Compact"/>
              <w:jc w:val="left"/>
            </w:pPr>
            <w:r>
              <w:t xml:space="preserve">Change3 (</w:t>
            </w:r>
            <m:oMath>
              <m:sSub>
                <m:e>
                  <m:r>
                    <m:t>β</m:t>
                  </m:r>
                </m:e>
                <m:sub>
                  <m:r>
                    <m:t>17</m:t>
                  </m:r>
                </m:sub>
              </m:sSub>
            </m:oMath>
            <w:r>
              <w:t xml:space="preserve">)</w:t>
            </w:r>
          </w:p>
        </w:tc>
        <w:tc>
          <w:p>
            <w:pPr>
              <w:pStyle w:val="Compact"/>
              <w:jc w:val="left"/>
            </w:pPr>
            <w:r>
              <w:t xml:space="preserve">0.233</w:t>
            </w:r>
          </w:p>
        </w:tc>
        <w:tc>
          <w:p>
            <w:pPr>
              <w:pStyle w:val="Compact"/>
              <w:jc w:val="left"/>
            </w:pPr>
            <w:r>
              <w:t xml:space="preserve">0.025</w:t>
            </w:r>
          </w:p>
        </w:tc>
        <w:tc>
          <w:p>
            <w:pPr>
              <w:pStyle w:val="Compact"/>
              <w:jc w:val="left"/>
            </w:pPr>
            <w:r>
              <w:t xml:space="preserve">[0.065, 0.401]</w:t>
            </w:r>
          </w:p>
        </w:tc>
      </w:tr>
    </w:tbl>
    <w:p>
      <w:pPr>
        <w:pStyle w:val="Heading3"/>
      </w:pPr>
      <w:bookmarkStart w:id="53" w:name="bayesian-model"/>
      <w:bookmarkEnd w:id="53"/>
      <w:r>
        <w:t xml:space="preserve">Bayesian Model</w:t>
      </w:r>
    </w:p>
    <w:p>
      <w:pPr>
        <w:pStyle w:val="FirstParagraph"/>
      </w:pPr>
      <w:r>
        <w:t xml:space="preserve">For Bayesian model, instead of averaging out the estimated regression coefficients, we obtained the pooled results through applying the approach proposed by Zhou and Reiter (2010). For each completed dataset</w:t>
      </w:r>
      <w:r>
        <w:t xml:space="preserve"> </w:t>
      </w:r>
      <m:oMath>
        <m:r>
          <m:t>l</m:t>
        </m:r>
        <m:r>
          <m:t>=</m:t>
        </m:r>
        <m:r>
          <m:t>1</m:t>
        </m:r>
        <m:r>
          <m:t>,</m:t>
        </m:r>
        <m:r>
          <m:t>.</m:t>
        </m:r>
        <m:r>
          <m:t>.</m:t>
        </m:r>
        <m:r>
          <m:t>.</m:t>
        </m:r>
        <m:r>
          <m:t>,</m:t>
        </m:r>
        <m:r>
          <m:t>m</m:t>
        </m:r>
      </m:oMath>
      <w:r>
        <w:t xml:space="preserve"> </w:t>
      </w:r>
      <w:r>
        <w:t xml:space="preserve">and parameter of interest</w:t>
      </w:r>
      <w:r>
        <w:t xml:space="preserve"> </w:t>
      </w:r>
      <m:oMath>
        <m:r>
          <m:t>Q</m:t>
        </m:r>
      </m:oMath>
      <w:r>
        <w:t xml:space="preserve">, denote</w:t>
      </w:r>
      <w:r>
        <w:t xml:space="preserve"> </w:t>
      </w:r>
      <m:oMath>
        <m:sSup>
          <m:e>
            <m:r>
              <m:t>Q</m:t>
            </m:r>
          </m:e>
          <m:sup>
            <m:r>
              <m:t>(</m:t>
            </m:r>
            <m:r>
              <m:t>l</m:t>
            </m:r>
            <m:r>
              <m:t>)</m:t>
            </m:r>
          </m:sup>
        </m:sSup>
      </m:oMath>
      <w:r>
        <w:t xml:space="preserve"> </w:t>
      </w:r>
      <w:r>
        <w:t xml:space="preserve">as the MCMC draws from posterior distribution. First, simulate</w:t>
      </w:r>
      <w:r>
        <w:t xml:space="preserve"> </w:t>
      </w:r>
      <m:oMath>
        <m:r>
          <m:t>J</m:t>
        </m:r>
      </m:oMath>
      <w:r>
        <w:t xml:space="preserve"> </w:t>
      </w:r>
      <w:r>
        <w:t xml:space="preserve">values of posterior draws (where</w:t>
      </w:r>
      <w:r>
        <w:t xml:space="preserve"> </w:t>
      </w:r>
      <m:oMath>
        <m:r>
          <m:t>J</m:t>
        </m:r>
      </m:oMath>
      <w:r>
        <w:t xml:space="preserve"> </w:t>
      </w:r>
      <w:r>
        <w:t xml:space="preserve">is large) from each</w:t>
      </w:r>
      <w:r>
        <w:t xml:space="preserve"> </w:t>
      </w:r>
      <m:oMath>
        <m:sSup>
          <m:e>
            <m:r>
              <m:t>Q</m:t>
            </m:r>
          </m:e>
          <m:sup>
            <m:r>
              <m:t>(</m:t>
            </m:r>
            <m:r>
              <m:t>l</m:t>
            </m:r>
            <m:r>
              <m:t>)</m:t>
            </m:r>
          </m:sup>
        </m:sSup>
      </m:oMath>
      <w:r>
        <w:t xml:space="preserve">, with its distribution denoted as</w:t>
      </w:r>
      <w:r>
        <w:t xml:space="preserve"> </w:t>
      </w:r>
      <m:oMath>
        <m:groupChr>
          <m:groupChrPr>
            <m:chr m:val="^"/>
            <m:pos m:val="top"/>
            <m:vertJc m:val="bot"/>
          </m:groupChrPr>
          <m:e>
            <m:r>
              <m:t>f</m:t>
            </m:r>
          </m:e>
        </m:groupChr>
        <m:r>
          <m:t>(</m:t>
        </m:r>
        <m:sSup>
          <m:e>
            <m:r>
              <m:t>Q</m:t>
            </m:r>
          </m:e>
          <m:sup>
            <m:r>
              <m:t>(</m:t>
            </m:r>
            <m:r>
              <m:t>l</m:t>
            </m:r>
            <m:r>
              <m:t>)</m:t>
            </m:r>
          </m:sup>
        </m:sSup>
        <m:r>
          <m:t>)</m:t>
        </m:r>
      </m:oMath>
      <w:r>
        <w:t xml:space="preserve">. Second, mix all</w:t>
      </w:r>
      <w:r>
        <w:t xml:space="preserve"> </w:t>
      </w:r>
      <m:oMath>
        <m:groupChr>
          <m:groupChrPr>
            <m:chr m:val="^"/>
            <m:pos m:val="top"/>
            <m:vertJc m:val="bot"/>
          </m:groupChrPr>
          <m:e>
            <m:r>
              <m:t>f</m:t>
            </m:r>
          </m:e>
        </m:groupChr>
        <m:r>
          <m:t>(</m:t>
        </m:r>
        <m:sSup>
          <m:e>
            <m:r>
              <m:t>Q</m:t>
            </m:r>
          </m:e>
          <m:sup>
            <m:r>
              <m:t>(</m:t>
            </m:r>
            <m:r>
              <m:t>l</m:t>
            </m:r>
            <m:r>
              <m:t>)</m:t>
            </m:r>
          </m:sup>
        </m:sSup>
        <m:r>
          <m:t>)</m:t>
        </m:r>
      </m:oMath>
      <w:r>
        <w:t xml:space="preserve"> </w:t>
      </w:r>
      <w:r>
        <w:t xml:space="preserve">to form</w:t>
      </w:r>
      <w:r>
        <w:t xml:space="preserve"> </w:t>
      </w:r>
      <m:oMath>
        <m:groupChr>
          <m:groupChrPr>
            <m:chr m:val="^"/>
            <m:pos m:val="top"/>
            <m:vertJc m:val="bot"/>
          </m:groupChrPr>
          <m:e>
            <m:r>
              <m:t>f</m:t>
            </m:r>
          </m:e>
        </m:groupChr>
        <m:r>
          <m:t>(</m:t>
        </m:r>
        <m:sSup>
          <m:e>
            <m:r>
              <m:t>Q</m:t>
            </m:r>
          </m:e>
          <m:sup>
            <m:r>
              <m:t>(</m:t>
            </m:r>
            <m:r>
              <m:t>a</m:t>
            </m:r>
            <m:r>
              <m:t>l</m:t>
            </m:r>
            <m:r>
              <m:t>l</m:t>
            </m:r>
            <m:r>
              <m:t>)</m:t>
            </m:r>
          </m:sup>
        </m:sSup>
        <m:r>
          <m:t>)</m:t>
        </m:r>
      </m:oMath>
      <w:r>
        <w:t xml:space="preserve">. Third, sort total number of</w:t>
      </w:r>
      <w:r>
        <w:t xml:space="preserve"> </w:t>
      </w:r>
      <m:oMath>
        <m:r>
          <m:t>m</m:t>
        </m:r>
        <m:r>
          <m:t>*</m:t>
        </m:r>
        <m:r>
          <m:t>J</m:t>
        </m:r>
      </m:oMath>
      <w:r>
        <w:t xml:space="preserve"> </w:t>
      </w:r>
      <w:r>
        <w:t xml:space="preserve">draws from</w:t>
      </w:r>
      <w:r>
        <w:t xml:space="preserve"> </w:t>
      </w:r>
      <m:oMath>
        <m:groupChr>
          <m:groupChrPr>
            <m:chr m:val="^"/>
            <m:pos m:val="top"/>
            <m:vertJc m:val="bot"/>
          </m:groupChrPr>
          <m:e>
            <m:r>
              <m:t>f</m:t>
            </m:r>
          </m:e>
        </m:groupChr>
        <m:r>
          <m:t>(</m:t>
        </m:r>
        <m:sSup>
          <m:e>
            <m:r>
              <m:t>Q</m:t>
            </m:r>
          </m:e>
          <m:sup>
            <m:r>
              <m:t>(</m:t>
            </m:r>
            <m:r>
              <m:t>a</m:t>
            </m:r>
            <m:r>
              <m:t>l</m:t>
            </m:r>
            <m:r>
              <m:t>l</m:t>
            </m:r>
            <m:r>
              <m:t>)</m:t>
            </m:r>
          </m:sup>
        </m:sSup>
        <m:r>
          <m:t>)</m:t>
        </m:r>
      </m:oMath>
      <w:r>
        <w:t xml:space="preserve">, where the estimates of 95% posterior interval, posterior median, and other statistics can be obtained from the mixed posterior draws</w:t>
      </w:r>
      <w:r>
        <w:t xml:space="preserve"> </w:t>
      </w:r>
      <w:r>
        <w:t xml:space="preserve">(Zhou &amp; Reiter, 2010)</w:t>
      </w:r>
      <w:r>
        <w:t xml:space="preserve">.</w:t>
      </w:r>
    </w:p>
    <w:p>
      <w:pPr>
        <w:pStyle w:val="BodyText"/>
      </w:pPr>
      <w:r>
        <w:t xml:space="preserve">The pooled estimated slope, standard error, and 95% credible interval are generated through specifying</w:t>
      </w:r>
      <w:r>
        <w:t xml:space="preserve"> </w:t>
      </w:r>
      <m:oMath>
        <m:r>
          <m:t>J</m:t>
        </m:r>
        <m:r>
          <m:t>=</m:t>
        </m:r>
        <m:r>
          <m:t>4000</m:t>
        </m:r>
      </m:oMath>
      <w:r>
        <w:t xml:space="preserve"> </w:t>
      </w:r>
      <w:r>
        <w:t xml:space="preserve">to create a total number of</w:t>
      </w:r>
      <w:r>
        <w:t xml:space="preserve"> </w:t>
      </w:r>
      <m:oMath>
        <m:r>
          <m:t>12</m:t>
        </m:r>
        <m:r>
          <m:t>*</m:t>
        </m:r>
        <m:r>
          <m:t>4000</m:t>
        </m:r>
        <m:r>
          <m:t>=</m:t>
        </m:r>
        <m:r>
          <m:t>48000</m:t>
        </m:r>
      </m:oMath>
      <w:r>
        <w:t xml:space="preserve"> </w:t>
      </w:r>
      <w:r>
        <w:t xml:space="preserve">draws. The table below shows the pooled estimated slope, standard error, and 95% credible interval of each regression coefficient.</w:t>
      </w:r>
    </w:p>
    <w:p>
      <w:pPr>
        <w:pStyle w:val="TableCaption"/>
      </w:pPr>
      <w:r>
        <w:rPr>
          <w:i/>
        </w:rPr>
        <w:t xml:space="preserve">Combined Coefficient Estimate, Standard Error, and 95% CI. (Frequentist’s Model)</w:t>
      </w:r>
    </w:p>
    <w:tbl>
      <w:tblPr>
        <w:tblStyle w:val="TableNormal"/>
        <w:tblW w:type="pct" w:w="0.0"/>
        <w:tblLook w:firstRow="1"/>
        <w:tblCaption w:val="Combined Coefficient Estimate, Standard Error, and 95% CI. (Frequentist’s Model)"/>
      </w:tblPr>
      <w:tblGrid/>
      <w:tr>
        <w:trPr>
          <w:cnfStyle w:firstRow="1"/>
        </w:trPr>
        <w:tc>
          <w:tcPr>
            <w:tcBorders>
              <w:bottom w:val="single"/>
            </w:tcBorders>
            <w:vAlign w:val="bottom"/>
          </w:tcPr>
          <w:p>
            <w:pPr>
              <w:pStyle w:val="Compact"/>
              <w:jc w:val="left"/>
            </w:pPr>
            <w:r>
              <w:t xml:space="preserve">Coefficient</w:t>
            </w: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Std. Error</w:t>
            </w:r>
          </w:p>
        </w:tc>
        <w:tc>
          <w:tcPr>
            <w:tcBorders>
              <w:bottom w:val="single"/>
            </w:tcBorders>
            <w:vAlign w:val="bottom"/>
          </w:tcPr>
          <w:p>
            <w:pPr>
              <w:pStyle w:val="Compact"/>
              <w:jc w:val="left"/>
            </w:pPr>
            <w:r>
              <w:t xml:space="preserve">95% CI.</w:t>
            </w:r>
          </w:p>
        </w:tc>
      </w:tr>
      <w:tr>
        <w:tc>
          <w:p>
            <w:pPr>
              <w:pStyle w:val="Compact"/>
              <w:jc w:val="left"/>
            </w:pPr>
            <w:r>
              <w:t xml:space="preserve">Intercept (</w:t>
            </w:r>
            <m:oMath>
              <m:sSub>
                <m:e>
                  <m:r>
                    <m:t>β</m:t>
                  </m:r>
                </m:e>
                <m:sub>
                  <m:r>
                    <m:t>0</m:t>
                  </m:r>
                </m:sub>
              </m:sSub>
            </m:oMath>
            <w:r>
              <w:t xml:space="preserve">)</w:t>
            </w:r>
          </w:p>
        </w:tc>
        <w:tc>
          <w:p>
            <w:pPr>
              <w:pStyle w:val="Compact"/>
              <w:jc w:val="left"/>
            </w:pPr>
            <w:r>
              <w:t xml:space="preserve">-6.033</w:t>
            </w:r>
          </w:p>
        </w:tc>
        <w:tc>
          <w:p>
            <w:pPr>
              <w:pStyle w:val="Compact"/>
              <w:jc w:val="left"/>
            </w:pPr>
            <w:r>
              <w:t xml:space="preserve">0.816</w:t>
            </w:r>
          </w:p>
        </w:tc>
        <w:tc>
          <w:p>
            <w:pPr>
              <w:pStyle w:val="Compact"/>
              <w:jc w:val="left"/>
            </w:pPr>
            <w:r>
              <w:t xml:space="preserve">[-7.732, -4.529]</w:t>
            </w:r>
          </w:p>
        </w:tc>
      </w:tr>
      <w:tr>
        <w:tc>
          <w:p>
            <w:pPr>
              <w:pStyle w:val="Compact"/>
              <w:jc w:val="left"/>
            </w:pPr>
            <w:r>
              <w:t xml:space="preserve">Female (</w:t>
            </w:r>
            <m:oMath>
              <m:sSub>
                <m:e>
                  <m:r>
                    <m:t>β</m:t>
                  </m:r>
                </m:e>
                <m:sub>
                  <m:r>
                    <m:t>1</m:t>
                  </m:r>
                </m:sub>
              </m:sSub>
            </m:oMath>
            <w:r>
              <w:t xml:space="preserve">)</w:t>
            </w:r>
          </w:p>
        </w:tc>
        <w:tc>
          <w:p>
            <w:pPr>
              <w:pStyle w:val="Compact"/>
              <w:jc w:val="left"/>
            </w:pPr>
            <w:r>
              <w:t xml:space="preserve">-0.036</w:t>
            </w:r>
          </w:p>
        </w:tc>
        <w:tc>
          <w:p>
            <w:pPr>
              <w:pStyle w:val="Compact"/>
              <w:jc w:val="left"/>
            </w:pPr>
            <w:r>
              <w:t xml:space="preserve">0.110</w:t>
            </w:r>
          </w:p>
        </w:tc>
        <w:tc>
          <w:p>
            <w:pPr>
              <w:pStyle w:val="Compact"/>
              <w:jc w:val="left"/>
            </w:pPr>
            <w:r>
              <w:t xml:space="preserve">[-0.254, 0.176]</w:t>
            </w:r>
          </w:p>
        </w:tc>
      </w:tr>
      <w:tr>
        <w:tc>
          <w:p>
            <w:pPr>
              <w:pStyle w:val="Compact"/>
              <w:jc w:val="left"/>
            </w:pPr>
            <w:r>
              <w:t xml:space="preserve">OccA (</w:t>
            </w:r>
            <m:oMath>
              <m:sSub>
                <m:e>
                  <m:r>
                    <m:t>β</m:t>
                  </m:r>
                </m:e>
                <m:sub>
                  <m:r>
                    <m:t>2</m:t>
                  </m:r>
                </m:sub>
              </m:sSub>
            </m:oMath>
            <w:r>
              <w:t xml:space="preserve">)</w:t>
            </w:r>
          </w:p>
        </w:tc>
        <w:tc>
          <w:p>
            <w:pPr>
              <w:pStyle w:val="Compact"/>
              <w:jc w:val="left"/>
            </w:pPr>
            <w:r>
              <w:t xml:space="preserve">0.745</w:t>
            </w:r>
          </w:p>
        </w:tc>
        <w:tc>
          <w:p>
            <w:pPr>
              <w:pStyle w:val="Compact"/>
              <w:jc w:val="left"/>
            </w:pPr>
            <w:r>
              <w:t xml:space="preserve">0.124</w:t>
            </w:r>
          </w:p>
        </w:tc>
        <w:tc>
          <w:p>
            <w:pPr>
              <w:pStyle w:val="Compact"/>
              <w:jc w:val="left"/>
            </w:pPr>
            <w:r>
              <w:t xml:space="preserve">[0.502, 0.988]</w:t>
            </w:r>
          </w:p>
        </w:tc>
      </w:tr>
      <w:tr>
        <w:tc>
          <w:p>
            <w:pPr>
              <w:pStyle w:val="Compact"/>
              <w:jc w:val="left"/>
            </w:pPr>
            <w:r>
              <w:t xml:space="preserve">OccO (</w:t>
            </w:r>
            <m:oMath>
              <m:sSub>
                <m:e>
                  <m:r>
                    <m:t>β</m:t>
                  </m:r>
                </m:e>
                <m:sub>
                  <m:r>
                    <m:t>3</m:t>
                  </m:r>
                </m:sub>
              </m:sSub>
            </m:oMath>
            <w:r>
              <w:t xml:space="preserve">)</w:t>
            </w:r>
          </w:p>
        </w:tc>
        <w:tc>
          <w:p>
            <w:pPr>
              <w:pStyle w:val="Compact"/>
              <w:jc w:val="left"/>
            </w:pPr>
            <w:r>
              <w:t xml:space="preserve">0.877</w:t>
            </w:r>
          </w:p>
        </w:tc>
        <w:tc>
          <w:p>
            <w:pPr>
              <w:pStyle w:val="Compact"/>
              <w:jc w:val="left"/>
            </w:pPr>
            <w:r>
              <w:t xml:space="preserve">0.571</w:t>
            </w:r>
          </w:p>
        </w:tc>
        <w:tc>
          <w:p>
            <w:pPr>
              <w:pStyle w:val="Compact"/>
              <w:jc w:val="left"/>
            </w:pPr>
            <w:r>
              <w:t xml:space="preserve">[-0.359, 1.887]</w:t>
            </w:r>
          </w:p>
        </w:tc>
      </w:tr>
      <w:tr>
        <w:tc>
          <w:p>
            <w:pPr>
              <w:pStyle w:val="Compact"/>
              <w:jc w:val="left"/>
            </w:pPr>
            <w:r>
              <w:t xml:space="preserve">EducA (</w:t>
            </w:r>
            <m:oMath>
              <m:sSub>
                <m:e>
                  <m:r>
                    <m:t>β</m:t>
                  </m:r>
                </m:e>
                <m:sub>
                  <m:r>
                    <m:t>4</m:t>
                  </m:r>
                </m:sub>
              </m:sSub>
            </m:oMath>
            <w:r>
              <w:t xml:space="preserve">)</w:t>
            </w:r>
          </w:p>
        </w:tc>
        <w:tc>
          <w:p>
            <w:pPr>
              <w:pStyle w:val="Compact"/>
              <w:jc w:val="left"/>
            </w:pPr>
            <w:r>
              <w:t xml:space="preserve">-0.719</w:t>
            </w:r>
          </w:p>
        </w:tc>
        <w:tc>
          <w:p>
            <w:pPr>
              <w:pStyle w:val="Compact"/>
              <w:jc w:val="left"/>
            </w:pPr>
            <w:r>
              <w:t xml:space="preserve">0.191</w:t>
            </w:r>
          </w:p>
        </w:tc>
        <w:tc>
          <w:p>
            <w:pPr>
              <w:pStyle w:val="Compact"/>
              <w:jc w:val="left"/>
            </w:pPr>
            <w:r>
              <w:t xml:space="preserve">[-1.103, -0.354]</w:t>
            </w:r>
          </w:p>
        </w:tc>
      </w:tr>
      <w:tr>
        <w:tc>
          <w:p>
            <w:pPr>
              <w:pStyle w:val="Compact"/>
              <w:jc w:val="left"/>
            </w:pPr>
            <w:r>
              <w:t xml:space="preserve">EducC (</w:t>
            </w:r>
            <m:oMath>
              <m:sSub>
                <m:e>
                  <m:r>
                    <m:t>β</m:t>
                  </m:r>
                </m:e>
                <m:sub>
                  <m:r>
                    <m:t>5</m:t>
                  </m:r>
                </m:sub>
              </m:sSub>
            </m:oMath>
            <w:r>
              <w:t xml:space="preserve">)</w:t>
            </w:r>
          </w:p>
        </w:tc>
        <w:tc>
          <w:p>
            <w:pPr>
              <w:pStyle w:val="Compact"/>
              <w:jc w:val="left"/>
            </w:pPr>
            <w:r>
              <w:t xml:space="preserve">0.127</w:t>
            </w:r>
          </w:p>
        </w:tc>
        <w:tc>
          <w:p>
            <w:pPr>
              <w:pStyle w:val="Compact"/>
              <w:jc w:val="left"/>
            </w:pPr>
            <w:r>
              <w:t xml:space="preserve">0.127</w:t>
            </w:r>
          </w:p>
        </w:tc>
        <w:tc>
          <w:p>
            <w:pPr>
              <w:pStyle w:val="Compact"/>
              <w:jc w:val="left"/>
            </w:pPr>
            <w:r>
              <w:t xml:space="preserve">[-0.123, 0.375]</w:t>
            </w:r>
          </w:p>
        </w:tc>
      </w:tr>
      <w:tr>
        <w:tc>
          <w:p>
            <w:pPr>
              <w:pStyle w:val="Compact"/>
              <w:jc w:val="left"/>
            </w:pPr>
            <w:r>
              <w:t xml:space="preserve">EducD (</w:t>
            </w:r>
            <m:oMath>
              <m:sSub>
                <m:e>
                  <m:r>
                    <m:t>β</m:t>
                  </m:r>
                </m:e>
                <m:sub>
                  <m:r>
                    <m:t>6</m:t>
                  </m:r>
                </m:sub>
              </m:sSub>
            </m:oMath>
            <w:r>
              <w:t xml:space="preserve">)</w:t>
            </w:r>
          </w:p>
        </w:tc>
        <w:tc>
          <w:p>
            <w:pPr>
              <w:pStyle w:val="Compact"/>
              <w:jc w:val="left"/>
            </w:pPr>
            <w:r>
              <w:t xml:space="preserve">0.190</w:t>
            </w:r>
          </w:p>
        </w:tc>
        <w:tc>
          <w:p>
            <w:pPr>
              <w:pStyle w:val="Compact"/>
              <w:jc w:val="left"/>
            </w:pPr>
            <w:r>
              <w:t xml:space="preserve">0.183</w:t>
            </w:r>
          </w:p>
        </w:tc>
        <w:tc>
          <w:p>
            <w:pPr>
              <w:pStyle w:val="Compact"/>
              <w:jc w:val="left"/>
            </w:pPr>
            <w:r>
              <w:t xml:space="preserve">[-0.174, 0.542]</w:t>
            </w:r>
          </w:p>
        </w:tc>
      </w:tr>
      <w:tr>
        <w:tc>
          <w:p>
            <w:pPr>
              <w:pStyle w:val="Compact"/>
              <w:jc w:val="left"/>
            </w:pPr>
            <w:r>
              <w:t xml:space="preserve">EducE (</w:t>
            </w:r>
            <m:oMath>
              <m:sSub>
                <m:e>
                  <m:r>
                    <m:t>β</m:t>
                  </m:r>
                </m:e>
                <m:sub>
                  <m:r>
                    <m:t>7</m:t>
                  </m:r>
                </m:sub>
              </m:sSub>
            </m:oMath>
            <w:r>
              <w:t xml:space="preserve">)</w:t>
            </w:r>
          </w:p>
        </w:tc>
        <w:tc>
          <w:p>
            <w:pPr>
              <w:pStyle w:val="Compact"/>
              <w:jc w:val="left"/>
            </w:pPr>
            <w:r>
              <w:t xml:space="preserve">-0.056</w:t>
            </w:r>
          </w:p>
        </w:tc>
        <w:tc>
          <w:p>
            <w:pPr>
              <w:pStyle w:val="Compact"/>
              <w:jc w:val="left"/>
            </w:pPr>
            <w:r>
              <w:t xml:space="preserve">0.212</w:t>
            </w:r>
          </w:p>
        </w:tc>
        <w:tc>
          <w:p>
            <w:pPr>
              <w:pStyle w:val="Compact"/>
              <w:jc w:val="left"/>
            </w:pPr>
            <w:r>
              <w:t xml:space="preserve">[-0.479, 0.355]</w:t>
            </w:r>
          </w:p>
        </w:tc>
      </w:tr>
      <w:tr>
        <w:tc>
          <w:p>
            <w:pPr>
              <w:pStyle w:val="Compact"/>
              <w:jc w:val="left"/>
            </w:pPr>
            <w:r>
              <w:t xml:space="preserve">Non-white (</w:t>
            </w:r>
            <m:oMath>
              <m:sSub>
                <m:e>
                  <m:r>
                    <m:t>β</m:t>
                  </m:r>
                </m:e>
                <m:sub>
                  <m:r>
                    <m:t>8</m:t>
                  </m:r>
                </m:sub>
              </m:sSub>
            </m:oMath>
            <w:r>
              <w:t xml:space="preserve">)</w:t>
            </w:r>
          </w:p>
        </w:tc>
        <w:tc>
          <w:p>
            <w:pPr>
              <w:pStyle w:val="Compact"/>
              <w:jc w:val="left"/>
            </w:pPr>
            <w:r>
              <w:t xml:space="preserve">-0.116</w:t>
            </w:r>
          </w:p>
        </w:tc>
        <w:tc>
          <w:p>
            <w:pPr>
              <w:pStyle w:val="Compact"/>
              <w:jc w:val="left"/>
            </w:pPr>
            <w:r>
              <w:t xml:space="preserve">0.132</w:t>
            </w:r>
          </w:p>
        </w:tc>
        <w:tc>
          <w:p>
            <w:pPr>
              <w:pStyle w:val="Compact"/>
              <w:jc w:val="left"/>
            </w:pPr>
            <w:r>
              <w:t xml:space="preserve">[-0.383, 0.140]</w:t>
            </w:r>
          </w:p>
        </w:tc>
      </w:tr>
      <w:tr>
        <w:tc>
          <w:p>
            <w:pPr>
              <w:pStyle w:val="Compact"/>
              <w:jc w:val="left"/>
            </w:pPr>
            <w:r>
              <w:t xml:space="preserve">No-switch (</w:t>
            </w:r>
            <m:oMath>
              <m:sSub>
                <m:e>
                  <m:r>
                    <m:t>β</m:t>
                  </m:r>
                </m:e>
                <m:sub>
                  <m:r>
                    <m:t>9</m:t>
                  </m:r>
                </m:sub>
              </m:sSub>
            </m:oMath>
            <w:r>
              <w:t xml:space="preserve">)</w:t>
            </w:r>
          </w:p>
        </w:tc>
        <w:tc>
          <w:p>
            <w:pPr>
              <w:pStyle w:val="Compact"/>
              <w:jc w:val="left"/>
            </w:pPr>
            <w:r>
              <w:t xml:space="preserve">-0.029</w:t>
            </w:r>
          </w:p>
        </w:tc>
        <w:tc>
          <w:p>
            <w:pPr>
              <w:pStyle w:val="Compact"/>
              <w:jc w:val="left"/>
            </w:pPr>
            <w:r>
              <w:t xml:space="preserve">0.178</w:t>
            </w:r>
          </w:p>
        </w:tc>
        <w:tc>
          <w:p>
            <w:pPr>
              <w:pStyle w:val="Compact"/>
              <w:jc w:val="left"/>
            </w:pPr>
            <w:r>
              <w:t xml:space="preserve">[-0.365, 0.326]</w:t>
            </w:r>
          </w:p>
        </w:tc>
      </w:tr>
      <w:tr>
        <w:tc>
          <w:p>
            <w:pPr>
              <w:pStyle w:val="Compact"/>
              <w:jc w:val="left"/>
            </w:pPr>
            <w:r>
              <w:t xml:space="preserve">Non-Supervisor (</w:t>
            </w:r>
            <m:oMath>
              <m:sSub>
                <m:e>
                  <m:r>
                    <m:t>β</m:t>
                  </m:r>
                </m:e>
                <m:sub>
                  <m:r>
                    <m:t>10</m:t>
                  </m:r>
                </m:sub>
              </m:sSub>
            </m:oMath>
            <w:r>
              <w:t xml:space="preserve">)</w:t>
            </w:r>
          </w:p>
        </w:tc>
        <w:tc>
          <w:p>
            <w:pPr>
              <w:pStyle w:val="Compact"/>
              <w:jc w:val="left"/>
            </w:pPr>
            <w:r>
              <w:t xml:space="preserve">-0.950</w:t>
            </w:r>
          </w:p>
        </w:tc>
        <w:tc>
          <w:p>
            <w:pPr>
              <w:pStyle w:val="Compact"/>
              <w:jc w:val="left"/>
            </w:pPr>
            <w:r>
              <w:t xml:space="preserve">0.112</w:t>
            </w:r>
          </w:p>
        </w:tc>
        <w:tc>
          <w:p>
            <w:pPr>
              <w:pStyle w:val="Compact"/>
              <w:jc w:val="left"/>
            </w:pPr>
            <w:r>
              <w:t xml:space="preserve">[-1.167, -0.729]</w:t>
            </w:r>
          </w:p>
        </w:tc>
      </w:tr>
      <w:tr>
        <w:tc>
          <w:p>
            <w:pPr>
              <w:pStyle w:val="Compact"/>
              <w:jc w:val="left"/>
            </w:pPr>
            <w:r>
              <w:t xml:space="preserve">Grade0 (</w:t>
            </w:r>
            <m:oMath>
              <m:sSub>
                <m:e>
                  <m:r>
                    <m:t>β</m:t>
                  </m:r>
                </m:e>
                <m:sub>
                  <m:r>
                    <m:t>11</m:t>
                  </m:r>
                </m:sub>
              </m:sSub>
            </m:oMath>
            <w:r>
              <w:t xml:space="preserve">)</w:t>
            </w:r>
          </w:p>
        </w:tc>
        <w:tc>
          <w:p>
            <w:pPr>
              <w:pStyle w:val="Compact"/>
              <w:jc w:val="left"/>
            </w:pPr>
            <w:r>
              <w:t xml:space="preserve">-0.458</w:t>
            </w:r>
          </w:p>
        </w:tc>
        <w:tc>
          <w:p>
            <w:pPr>
              <w:pStyle w:val="Compact"/>
              <w:jc w:val="left"/>
            </w:pPr>
            <w:r>
              <w:t xml:space="preserve">0.253</w:t>
            </w:r>
          </w:p>
        </w:tc>
        <w:tc>
          <w:p>
            <w:pPr>
              <w:pStyle w:val="Compact"/>
              <w:jc w:val="left"/>
            </w:pPr>
            <w:r>
              <w:t xml:space="preserve">[-0.966, 0.025]</w:t>
            </w:r>
          </w:p>
        </w:tc>
      </w:tr>
      <w:tr>
        <w:tc>
          <w:p>
            <w:pPr>
              <w:pStyle w:val="Compact"/>
              <w:jc w:val="left"/>
            </w:pPr>
            <w:r>
              <w:t xml:space="preserve">Grade2 (</w:t>
            </w:r>
            <m:oMath>
              <m:sSub>
                <m:e>
                  <m:r>
                    <m:t>β</m:t>
                  </m:r>
                </m:e>
                <m:sub>
                  <m:r>
                    <m:t>12</m:t>
                  </m:r>
                </m:sub>
              </m:sSub>
            </m:oMath>
            <w:r>
              <w:t xml:space="preserve">)</w:t>
            </w:r>
          </w:p>
        </w:tc>
        <w:tc>
          <w:p>
            <w:pPr>
              <w:pStyle w:val="Compact"/>
              <w:jc w:val="left"/>
            </w:pPr>
            <w:r>
              <w:t xml:space="preserve">1.395</w:t>
            </w:r>
          </w:p>
        </w:tc>
        <w:tc>
          <w:p>
            <w:pPr>
              <w:pStyle w:val="Compact"/>
              <w:jc w:val="left"/>
            </w:pPr>
            <w:r>
              <w:t xml:space="preserve">0.218</w:t>
            </w:r>
          </w:p>
        </w:tc>
        <w:tc>
          <w:p>
            <w:pPr>
              <w:pStyle w:val="Compact"/>
              <w:jc w:val="left"/>
            </w:pPr>
            <w:r>
              <w:t xml:space="preserve">[0.969, 1.823]</w:t>
            </w:r>
          </w:p>
        </w:tc>
      </w:tr>
      <w:tr>
        <w:tc>
          <w:p>
            <w:pPr>
              <w:pStyle w:val="Compact"/>
              <w:jc w:val="left"/>
            </w:pPr>
            <w:r>
              <w:t xml:space="preserve">ScaledSalary (</w:t>
            </w:r>
            <m:oMath>
              <m:sSub>
                <m:e>
                  <m:r>
                    <m:t>β</m:t>
                  </m:r>
                </m:e>
                <m:sub>
                  <m:r>
                    <m:t>13</m:t>
                  </m:r>
                </m:sub>
              </m:sSub>
            </m:oMath>
            <w:r>
              <w:t xml:space="preserve">)</w:t>
            </w:r>
          </w:p>
        </w:tc>
        <w:tc>
          <w:p>
            <w:pPr>
              <w:pStyle w:val="Compact"/>
              <w:jc w:val="left"/>
            </w:pPr>
            <w:r>
              <w:t xml:space="preserve">1.933</w:t>
            </w:r>
          </w:p>
        </w:tc>
        <w:tc>
          <w:p>
            <w:pPr>
              <w:pStyle w:val="Compact"/>
              <w:jc w:val="left"/>
            </w:pPr>
            <w:r>
              <w:t xml:space="preserve">0.770</w:t>
            </w:r>
          </w:p>
        </w:tc>
        <w:tc>
          <w:p>
            <w:pPr>
              <w:pStyle w:val="Compact"/>
              <w:jc w:val="left"/>
            </w:pPr>
            <w:r>
              <w:t xml:space="preserve">[0.530, 3.559]</w:t>
            </w:r>
          </w:p>
        </w:tc>
      </w:tr>
      <w:tr>
        <w:tc>
          <w:p>
            <w:pPr>
              <w:pStyle w:val="Compact"/>
              <w:jc w:val="left"/>
            </w:pPr>
            <w:r>
              <w:t xml:space="preserve">(ScaledSalary + 1.0751) (</w:t>
            </w:r>
            <m:oMath>
              <m:sSub>
                <m:e>
                  <m:r>
                    <m:t>β</m:t>
                  </m:r>
                </m:e>
                <m:sub>
                  <m:r>
                    <m:t>14</m:t>
                  </m:r>
                </m:sub>
              </m:sSub>
            </m:oMath>
            <w:r>
              <w:t xml:space="preserve">)</w:t>
            </w:r>
          </w:p>
        </w:tc>
        <w:tc>
          <w:p>
            <w:pPr>
              <w:pStyle w:val="Compact"/>
              <w:jc w:val="left"/>
            </w:pPr>
            <w:r>
              <w:t xml:space="preserve">2.915</w:t>
            </w:r>
          </w:p>
        </w:tc>
        <w:tc>
          <w:p>
            <w:pPr>
              <w:pStyle w:val="Compact"/>
              <w:jc w:val="left"/>
            </w:pPr>
            <w:r>
              <w:t xml:space="preserve">0.781</w:t>
            </w:r>
          </w:p>
        </w:tc>
        <w:tc>
          <w:p>
            <w:pPr>
              <w:pStyle w:val="Compact"/>
              <w:jc w:val="left"/>
            </w:pPr>
            <w:r>
              <w:t xml:space="preserve">[1.476, 4.538]</w:t>
            </w:r>
          </w:p>
        </w:tc>
      </w:tr>
      <w:tr>
        <w:tc>
          <w:p>
            <w:pPr>
              <w:pStyle w:val="Compact"/>
              <w:jc w:val="left"/>
            </w:pPr>
            <w:r>
              <w:t xml:space="preserve">(ScaledSalary - 0.2272) (</w:t>
            </w:r>
            <m:oMath>
              <m:sSub>
                <m:e>
                  <m:r>
                    <m:t>β</m:t>
                  </m:r>
                </m:e>
                <m:sub>
                  <m:r>
                    <m:t>15</m:t>
                  </m:r>
                </m:sub>
              </m:sSub>
            </m:oMath>
            <w:r>
              <w:t xml:space="preserve">)</w:t>
            </w:r>
          </w:p>
        </w:tc>
        <w:tc>
          <w:p>
            <w:pPr>
              <w:pStyle w:val="Compact"/>
              <w:jc w:val="left"/>
            </w:pPr>
            <w:r>
              <w:t xml:space="preserve">3.316</w:t>
            </w:r>
          </w:p>
        </w:tc>
        <w:tc>
          <w:p>
            <w:pPr>
              <w:pStyle w:val="Compact"/>
              <w:jc w:val="left"/>
            </w:pPr>
            <w:r>
              <w:t xml:space="preserve">0.927</w:t>
            </w:r>
          </w:p>
        </w:tc>
        <w:tc>
          <w:p>
            <w:pPr>
              <w:pStyle w:val="Compact"/>
              <w:jc w:val="left"/>
            </w:pPr>
            <w:r>
              <w:t xml:space="preserve">[1.573, 5.205]</w:t>
            </w:r>
          </w:p>
        </w:tc>
      </w:tr>
      <w:tr>
        <w:tc>
          <w:p>
            <w:pPr>
              <w:pStyle w:val="Compact"/>
              <w:jc w:val="left"/>
            </w:pPr>
            <w:r>
              <w:t xml:space="preserve">Change1 (</w:t>
            </w:r>
            <m:oMath>
              <m:sSub>
                <m:e>
                  <m:r>
                    <m:t>β</m:t>
                  </m:r>
                </m:e>
                <m:sub>
                  <m:r>
                    <m:t>16</m:t>
                  </m:r>
                </m:sub>
              </m:sSub>
            </m:oMath>
            <w:r>
              <w:t xml:space="preserve">)</w:t>
            </w:r>
          </w:p>
        </w:tc>
        <w:tc>
          <w:p>
            <w:pPr>
              <w:pStyle w:val="Compact"/>
              <w:jc w:val="left"/>
            </w:pPr>
            <w:r>
              <w:t xml:space="preserve">-0.268</w:t>
            </w:r>
          </w:p>
        </w:tc>
        <w:tc>
          <w:p>
            <w:pPr>
              <w:pStyle w:val="Compact"/>
              <w:jc w:val="left"/>
            </w:pPr>
            <w:r>
              <w:t xml:space="preserve">0.159</w:t>
            </w:r>
          </w:p>
        </w:tc>
        <w:tc>
          <w:p>
            <w:pPr>
              <w:pStyle w:val="Compact"/>
              <w:jc w:val="left"/>
            </w:pPr>
            <w:r>
              <w:t xml:space="preserve">[-0.586, 0.032]</w:t>
            </w:r>
          </w:p>
        </w:tc>
      </w:tr>
      <w:tr>
        <w:tc>
          <w:p>
            <w:pPr>
              <w:pStyle w:val="Compact"/>
              <w:jc w:val="left"/>
            </w:pPr>
            <w:r>
              <w:t xml:space="preserve">Change3 (</w:t>
            </w:r>
            <m:oMath>
              <m:sSub>
                <m:e>
                  <m:r>
                    <m:t>β</m:t>
                  </m:r>
                </m:e>
                <m:sub>
                  <m:r>
                    <m:t>17</m:t>
                  </m:r>
                </m:sub>
              </m:sSub>
            </m:oMath>
            <w:r>
              <w:t xml:space="preserve">)</w:t>
            </w:r>
          </w:p>
        </w:tc>
        <w:tc>
          <w:p>
            <w:pPr>
              <w:pStyle w:val="Compact"/>
              <w:jc w:val="left"/>
            </w:pPr>
            <w:r>
              <w:t xml:space="preserve">0.231</w:t>
            </w:r>
          </w:p>
        </w:tc>
        <w:tc>
          <w:p>
            <w:pPr>
              <w:pStyle w:val="Compact"/>
              <w:jc w:val="left"/>
            </w:pPr>
            <w:r>
              <w:t xml:space="preserve">0.154</w:t>
            </w:r>
          </w:p>
        </w:tc>
        <w:tc>
          <w:p>
            <w:pPr>
              <w:pStyle w:val="Compact"/>
              <w:jc w:val="left"/>
            </w:pPr>
            <w:r>
              <w:t xml:space="preserve">[-0.078, 0.521]</w:t>
            </w:r>
          </w:p>
        </w:tc>
      </w:tr>
    </w:tbl>
    <w:p>
      <w:pPr>
        <w:pStyle w:val="Heading3"/>
      </w:pPr>
      <w:bookmarkStart w:id="54" w:name="comparison-between-frequentist-and-bayesian-model"/>
      <w:bookmarkEnd w:id="54"/>
      <w:r>
        <w:t xml:space="preserve">Comparison between Frequentist and Bayesian Model</w:t>
      </w:r>
    </w:p>
    <w:p>
      <w:pPr>
        <w:pStyle w:val="FirstParagraph"/>
      </w:pPr>
      <w:r>
        <w:t xml:space="preserve">We compared the pooled results for both Frequentist model (Figure</w:t>
      </w:r>
      <w:r>
        <w:t xml:space="preserve"> </w:t>
      </w:r>
      <w:r>
        <w:t xml:space="preserve">11</w:t>
      </w:r>
      <w:r>
        <w:t xml:space="preserve">) and Bayesian model (Figure</w:t>
      </w:r>
      <w:r>
        <w:t xml:space="preserve"> </w:t>
      </w:r>
      <w:r>
        <w:t xml:space="preserve">12</w:t>
      </w:r>
      <w:r>
        <w:t xml:space="preserve">). The pooled coefficient means of both models are close to each other, but Bayesian model has higher pooled standard errors. There are certain requirements for Bayesian inference after multiple imputation. Our inherent constraints - prior parameter choices and number of available imputed datasets therefore lead to greater uncertainty. First, the posterior distribution depends on the choice of prior parameter, which usually requires knowledge from experts. Our choice of non-informative prior might not be the most ideal prior. Second, Zhou and Reiter</w:t>
      </w:r>
      <w:r>
        <w:t xml:space="preserve"> </w:t>
      </w:r>
      <w:r>
        <w:t xml:space="preserve">(Zhou &amp; Reiter, 2010)</w:t>
      </w:r>
      <w:r>
        <w:t xml:space="preserve"> </w:t>
      </w:r>
      <w:r>
        <w:t xml:space="preserve">suggested that the number of imputed datasets should be large (at least 100 imputed datasets) in order for Bayesian inference to work well. Since there are only 12 available imputed datasets, Bayesian inference might not be valid. Thus, we conducted inference based on the Frequentist model.</w:t>
      </w:r>
    </w:p>
    <w:p>
      <w:pPr>
        <w:pStyle w:val="FigureWithCaption"/>
      </w:pPr>
      <w:r>
        <w:drawing>
          <wp:inline>
            <wp:extent cx="5334000" cy="3291840"/>
            <wp:effectExtent b="0" l="0" r="0" t="0"/>
            <wp:docPr descr="Figure 11 Frequentist Model" title="" id="1" name="Picture"/>
            <a:graphic>
              <a:graphicData uri="http://schemas.openxmlformats.org/drawingml/2006/picture">
                <pic:pic>
                  <pic:nvPicPr>
                    <pic:cNvPr descr="figure/Frequentist.png" id="0" name="Picture"/>
                    <pic:cNvPicPr>
                      <a:picLocks noChangeArrowheads="1" noChangeAspect="1"/>
                    </pic:cNvPicPr>
                  </pic:nvPicPr>
                  <pic:blipFill>
                    <a:blip r:embed="rId55"/>
                    <a:stretch>
                      <a:fillRect/>
                    </a:stretch>
                  </pic:blipFill>
                  <pic:spPr bwMode="auto">
                    <a:xfrm>
                      <a:off x="0" y="0"/>
                      <a:ext cx="5334000" cy="3291840"/>
                    </a:xfrm>
                    <a:prstGeom prst="rect">
                      <a:avLst/>
                    </a:prstGeom>
                    <a:noFill/>
                    <a:ln w="9525">
                      <a:noFill/>
                      <a:headEnd/>
                      <a:tailEnd/>
                    </a:ln>
                  </pic:spPr>
                </pic:pic>
              </a:graphicData>
            </a:graphic>
          </wp:inline>
        </w:drawing>
      </w:r>
    </w:p>
    <w:p>
      <w:pPr>
        <w:pStyle w:val="ImageCaption"/>
      </w:pPr>
      <w:r>
        <w:t xml:space="preserve">Figure 11 Frequentist Model</w:t>
      </w:r>
    </w:p>
    <w:p>
      <w:pPr>
        <w:pStyle w:val="FigureWithCaption"/>
      </w:pPr>
      <w:r>
        <w:drawing>
          <wp:inline>
            <wp:extent cx="5334000" cy="3291840"/>
            <wp:effectExtent b="0" l="0" r="0" t="0"/>
            <wp:docPr descr="Figure 12 Bayesian Model" title="" id="1" name="Picture"/>
            <a:graphic>
              <a:graphicData uri="http://schemas.openxmlformats.org/drawingml/2006/picture">
                <pic:pic>
                  <pic:nvPicPr>
                    <pic:cNvPr descr="figure/Bayesian.png" id="0" name="Picture"/>
                    <pic:cNvPicPr>
                      <a:picLocks noChangeArrowheads="1" noChangeAspect="1"/>
                    </pic:cNvPicPr>
                  </pic:nvPicPr>
                  <pic:blipFill>
                    <a:blip r:embed="rId56"/>
                    <a:stretch>
                      <a:fillRect/>
                    </a:stretch>
                  </pic:blipFill>
                  <pic:spPr bwMode="auto">
                    <a:xfrm>
                      <a:off x="0" y="0"/>
                      <a:ext cx="5334000" cy="3291840"/>
                    </a:xfrm>
                    <a:prstGeom prst="rect">
                      <a:avLst/>
                    </a:prstGeom>
                    <a:noFill/>
                    <a:ln w="9525">
                      <a:noFill/>
                      <a:headEnd/>
                      <a:tailEnd/>
                    </a:ln>
                  </pic:spPr>
                </pic:pic>
              </a:graphicData>
            </a:graphic>
          </wp:inline>
        </w:drawing>
      </w:r>
    </w:p>
    <w:p>
      <w:pPr>
        <w:pStyle w:val="ImageCaption"/>
      </w:pPr>
      <w:r>
        <w:t xml:space="preserve">Figure 12 Bayesian Model</w:t>
      </w:r>
    </w:p>
    <w:p>
      <w:pPr>
        <w:pStyle w:val="Heading2"/>
      </w:pPr>
      <w:bookmarkStart w:id="57" w:name="inference-based-on-frequentist-model"/>
      <w:bookmarkEnd w:id="57"/>
      <w:r>
        <w:t xml:space="preserve">Inference based on Frequentist model</w:t>
      </w:r>
    </w:p>
    <w:p>
      <w:pPr>
        <w:pStyle w:val="FirstParagraph"/>
      </w:pPr>
      <w:r>
        <w:t xml:space="preserve">In general, the selection of the SES positions is highly dependent on (1) personal skills (indicated by variable</w:t>
      </w:r>
      <w:r>
        <w:t xml:space="preserve"> </w:t>
      </w:r>
      <w:r>
        <w:rPr>
          <w:i/>
        </w:rPr>
        <w:t xml:space="preserve">Occupational Category</w:t>
      </w:r>
      <w:r>
        <w:t xml:space="preserve"> </w:t>
      </w:r>
      <w:r>
        <w:t xml:space="preserve">and</w:t>
      </w:r>
      <w:r>
        <w:t xml:space="preserve"> </w:t>
      </w:r>
      <w:r>
        <w:rPr>
          <w:i/>
        </w:rPr>
        <w:t xml:space="preserve">Supervisory Status</w:t>
      </w:r>
      <w:r>
        <w:t xml:space="preserve">) (2) education level (indicated by variable</w:t>
      </w:r>
      <w:r>
        <w:t xml:space="preserve"> </w:t>
      </w:r>
      <w:r>
        <w:rPr>
          <w:i/>
        </w:rPr>
        <w:t xml:space="preserve">Education Group</w:t>
      </w:r>
      <w:r>
        <w:t xml:space="preserve">) and (3) performance at work (indicated by variable</w:t>
      </w:r>
      <w:r>
        <w:t xml:space="preserve"> </w:t>
      </w:r>
      <w:r>
        <w:rPr>
          <w:i/>
        </w:rPr>
        <w:t xml:space="preserve">Salary</w:t>
      </w:r>
      <w:r>
        <w:t xml:space="preserve">,</w:t>
      </w:r>
      <w:r>
        <w:t xml:space="preserve"> </w:t>
      </w:r>
      <w:r>
        <w:rPr>
          <w:i/>
        </w:rPr>
        <w:t xml:space="preserve">Grade</w:t>
      </w:r>
      <w:r>
        <w:t xml:space="preserve">, and</w:t>
      </w:r>
      <w:r>
        <w:t xml:space="preserve"> </w:t>
      </w:r>
      <w:r>
        <w:rPr>
          <w:i/>
        </w:rPr>
        <w:t xml:space="preserve">Change in Pay Rate</w:t>
      </w:r>
      <w:r>
        <w:t xml:space="preserve">)</w:t>
      </w:r>
    </w:p>
    <w:p>
      <w:pPr>
        <w:pStyle w:val="BodyText"/>
      </w:pPr>
      <w:r>
        <w:t xml:space="preserve">First, for employees whose occupational category are</w:t>
      </w:r>
      <w:r>
        <w:t xml:space="preserve"> </w:t>
      </w:r>
      <w:r>
        <w:rPr>
          <w:i/>
        </w:rPr>
        <w:t xml:space="preserve">Administrative</w:t>
      </w:r>
      <w:r>
        <w:t xml:space="preserve">, the odds of getting promoted are multiplied by a factor of 2.104 (95% CI: 2.031 to 2.180) compared to employees whose occupational category are</w:t>
      </w:r>
      <w:r>
        <w:t xml:space="preserve"> </w:t>
      </w:r>
      <w:r>
        <w:rPr>
          <w:i/>
        </w:rPr>
        <w:t xml:space="preserve">Professional</w:t>
      </w:r>
      <w:r>
        <w:t xml:space="preserve">, holding all else constant. This implies that analytical ability, judgment, discretion, and personal responsibility (characteristics of occupational category</w:t>
      </w:r>
      <w:r>
        <w:t xml:space="preserve"> </w:t>
      </w:r>
      <w:r>
        <w:rPr>
          <w:i/>
        </w:rPr>
        <w:t xml:space="preserve">Administrative</w:t>
      </w:r>
      <w:r>
        <w:t xml:space="preserve">) might be more important than having knowledge in a specific field of science (characteristics of occupational category</w:t>
      </w:r>
      <w:r>
        <w:t xml:space="preserve"> </w:t>
      </w:r>
      <w:r>
        <w:rPr>
          <w:i/>
        </w:rPr>
        <w:t xml:space="preserve">Professional</w:t>
      </w:r>
      <w:r>
        <w:t xml:space="preserve">). Furthermore, for employees who do not serve in supervisory positions, the odds of getting promoted are multiplied by a factor of 0.387 (95% CI: 0.365 to 0.411) than employees who serve in supervisory positions, holding all else constant. Since leadership is one of the key competencies for the SES positions, employees without leadership experiences might be put into disadvantages.</w:t>
      </w:r>
    </w:p>
    <w:p>
      <w:pPr>
        <w:pStyle w:val="BodyText"/>
      </w:pPr>
      <w:r>
        <w:t xml:space="preserve">Second, education level also plays an important role when it comes to predicting promotion outcome. For employees with degrees below Bachelor’s, the odds of getting promoted is multiplied by 0.491 (95% CI: 0.473 to 0.509) compared to employees with Bachelor’s degree, holding all else constant. Furthermore, though it is expected that the odds of getting promoted would increase with higher education level, there is certain limit. Specifically, compared to employees with only Bachelor’s degrees, the odds of getting promoted increases if employees acquired Master’s and Advanced degrees. However, the effect of PhD degrees on predicting promotion is not significant because its 95% confidence interval contains 0. Because PhD degrees focus on particular fields of studies, this result further confirms that having specific knowledge in a field of science might not be one of the important promotion criteria.</w:t>
      </w:r>
    </w:p>
    <w:p>
      <w:pPr>
        <w:pStyle w:val="BodyText"/>
      </w:pPr>
      <w:r>
        <w:t xml:space="preserve">Third, compared to employees with grade 13 and 14 at working year 10, the odds of getting promoted are multiplied by a factor of 0.637 (95% CI: 0.519 to 0.784) for employees with grade below 13, but multiplied by a factor of 4.010 (95% CI: 3.364 to 4.781) for employees with grade 15. The visualization graphs further show the relationship between salary at given grade and % change in salary (Grade 15 for Figure</w:t>
      </w:r>
      <w:r>
        <w:t xml:space="preserve"> </w:t>
      </w:r>
      <w:r>
        <w:t xml:space="preserve">13</w:t>
      </w:r>
      <w:r>
        <w:t xml:space="preserve">, Grade 14 for Figure</w:t>
      </w:r>
      <w:r>
        <w:t xml:space="preserve"> </w:t>
      </w:r>
      <w:r>
        <w:t xml:space="preserve">14</w:t>
      </w:r>
      <w:r>
        <w:t xml:space="preserve">, Grade 13 for Figure</w:t>
      </w:r>
      <w:r>
        <w:t xml:space="preserve"> </w:t>
      </w:r>
      <w:r>
        <w:t xml:space="preserve">15</w:t>
      </w:r>
      <w:r>
        <w:t xml:space="preserve">, Grade &lt; 13 for Figure</w:t>
      </w:r>
      <w:r>
        <w:t xml:space="preserve"> </w:t>
      </w:r>
      <w:r>
        <w:t xml:space="preserve">16</w:t>
      </w:r>
      <w:r>
        <w:t xml:space="preserve">). Regardless of Grade, the predicted probability of getting promoted increases as salary increases, and employees with bigger percentage change in salary also have higher odds of getting promoted. Note that the model yields predicted probability up to 0.25 at Grade 15. Given the small proportion of ones, we believe that the predicted probability at grade 15 is potentially overestimated due to sparsity of the data at higher salary values.</w:t>
      </w:r>
    </w:p>
    <w:p>
      <w:pPr>
        <w:pStyle w:val="FigureWithCaption"/>
      </w:pPr>
      <w:r>
        <w:drawing>
          <wp:inline>
            <wp:extent cx="5334000" cy="3291840"/>
            <wp:effectExtent b="0" l="0" r="0" t="0"/>
            <wp:docPr descr="Figure 13 Grade 15" title="" id="1" name="Picture"/>
            <a:graphic>
              <a:graphicData uri="http://schemas.openxmlformats.org/drawingml/2006/picture">
                <pic:pic>
                  <pic:nvPicPr>
                    <pic:cNvPr descr="figure/Grade15.png" id="0" name="Picture"/>
                    <pic:cNvPicPr>
                      <a:picLocks noChangeArrowheads="1" noChangeAspect="1"/>
                    </pic:cNvPicPr>
                  </pic:nvPicPr>
                  <pic:blipFill>
                    <a:blip r:embed="rId58"/>
                    <a:stretch>
                      <a:fillRect/>
                    </a:stretch>
                  </pic:blipFill>
                  <pic:spPr bwMode="auto">
                    <a:xfrm>
                      <a:off x="0" y="0"/>
                      <a:ext cx="5334000" cy="3291840"/>
                    </a:xfrm>
                    <a:prstGeom prst="rect">
                      <a:avLst/>
                    </a:prstGeom>
                    <a:noFill/>
                    <a:ln w="9525">
                      <a:noFill/>
                      <a:headEnd/>
                      <a:tailEnd/>
                    </a:ln>
                  </pic:spPr>
                </pic:pic>
              </a:graphicData>
            </a:graphic>
          </wp:inline>
        </w:drawing>
      </w:r>
    </w:p>
    <w:p>
      <w:pPr>
        <w:pStyle w:val="ImageCaption"/>
      </w:pPr>
      <w:r>
        <w:t xml:space="preserve">Figure 13 Grade 15</w:t>
      </w:r>
    </w:p>
    <w:p>
      <w:pPr>
        <w:pStyle w:val="FigureWithCaption"/>
      </w:pPr>
      <w:r>
        <w:drawing>
          <wp:inline>
            <wp:extent cx="5334000" cy="3291840"/>
            <wp:effectExtent b="0" l="0" r="0" t="0"/>
            <wp:docPr descr="Figure 14 Grade 14" title="" id="1" name="Picture"/>
            <a:graphic>
              <a:graphicData uri="http://schemas.openxmlformats.org/drawingml/2006/picture">
                <pic:pic>
                  <pic:nvPicPr>
                    <pic:cNvPr descr="figure/Grade14.png" id="0" name="Picture"/>
                    <pic:cNvPicPr>
                      <a:picLocks noChangeArrowheads="1" noChangeAspect="1"/>
                    </pic:cNvPicPr>
                  </pic:nvPicPr>
                  <pic:blipFill>
                    <a:blip r:embed="rId59"/>
                    <a:stretch>
                      <a:fillRect/>
                    </a:stretch>
                  </pic:blipFill>
                  <pic:spPr bwMode="auto">
                    <a:xfrm>
                      <a:off x="0" y="0"/>
                      <a:ext cx="5334000" cy="3291840"/>
                    </a:xfrm>
                    <a:prstGeom prst="rect">
                      <a:avLst/>
                    </a:prstGeom>
                    <a:noFill/>
                    <a:ln w="9525">
                      <a:noFill/>
                      <a:headEnd/>
                      <a:tailEnd/>
                    </a:ln>
                  </pic:spPr>
                </pic:pic>
              </a:graphicData>
            </a:graphic>
          </wp:inline>
        </w:drawing>
      </w:r>
    </w:p>
    <w:p>
      <w:pPr>
        <w:pStyle w:val="ImageCaption"/>
      </w:pPr>
      <w:r>
        <w:t xml:space="preserve">Figure 14 Grade 14</w:t>
      </w:r>
    </w:p>
    <w:p>
      <w:pPr>
        <w:pStyle w:val="FigureWithCaption"/>
      </w:pPr>
      <w:r>
        <w:drawing>
          <wp:inline>
            <wp:extent cx="5334000" cy="3291840"/>
            <wp:effectExtent b="0" l="0" r="0" t="0"/>
            <wp:docPr descr="Figure 15 Grade 13" title="" id="1" name="Picture"/>
            <a:graphic>
              <a:graphicData uri="http://schemas.openxmlformats.org/drawingml/2006/picture">
                <pic:pic>
                  <pic:nvPicPr>
                    <pic:cNvPr descr="figure/Grade13.png" id="0" name="Picture"/>
                    <pic:cNvPicPr>
                      <a:picLocks noChangeArrowheads="1" noChangeAspect="1"/>
                    </pic:cNvPicPr>
                  </pic:nvPicPr>
                  <pic:blipFill>
                    <a:blip r:embed="rId60"/>
                    <a:stretch>
                      <a:fillRect/>
                    </a:stretch>
                  </pic:blipFill>
                  <pic:spPr bwMode="auto">
                    <a:xfrm>
                      <a:off x="0" y="0"/>
                      <a:ext cx="5334000" cy="3291840"/>
                    </a:xfrm>
                    <a:prstGeom prst="rect">
                      <a:avLst/>
                    </a:prstGeom>
                    <a:noFill/>
                    <a:ln w="9525">
                      <a:noFill/>
                      <a:headEnd/>
                      <a:tailEnd/>
                    </a:ln>
                  </pic:spPr>
                </pic:pic>
              </a:graphicData>
            </a:graphic>
          </wp:inline>
        </w:drawing>
      </w:r>
    </w:p>
    <w:p>
      <w:pPr>
        <w:pStyle w:val="ImageCaption"/>
      </w:pPr>
      <w:r>
        <w:t xml:space="preserve">Figure 15 Grade 13</w:t>
      </w:r>
    </w:p>
    <w:p>
      <w:pPr>
        <w:pStyle w:val="FigureWithCaption"/>
      </w:pPr>
      <w:r>
        <w:drawing>
          <wp:inline>
            <wp:extent cx="5334000" cy="3291840"/>
            <wp:effectExtent b="0" l="0" r="0" t="0"/>
            <wp:docPr descr="Figure 16 Grade &lt; 13" title="" id="1" name="Picture"/>
            <a:graphic>
              <a:graphicData uri="http://schemas.openxmlformats.org/drawingml/2006/picture">
                <pic:pic>
                  <pic:nvPicPr>
                    <pic:cNvPr descr="figure/less13.png" id="0" name="Picture"/>
                    <pic:cNvPicPr>
                      <a:picLocks noChangeArrowheads="1" noChangeAspect="1"/>
                    </pic:cNvPicPr>
                  </pic:nvPicPr>
                  <pic:blipFill>
                    <a:blip r:embed="rId61"/>
                    <a:stretch>
                      <a:fillRect/>
                    </a:stretch>
                  </pic:blipFill>
                  <pic:spPr bwMode="auto">
                    <a:xfrm>
                      <a:off x="0" y="0"/>
                      <a:ext cx="5334000" cy="3291840"/>
                    </a:xfrm>
                    <a:prstGeom prst="rect">
                      <a:avLst/>
                    </a:prstGeom>
                    <a:noFill/>
                    <a:ln w="9525">
                      <a:noFill/>
                      <a:headEnd/>
                      <a:tailEnd/>
                    </a:ln>
                  </pic:spPr>
                </pic:pic>
              </a:graphicData>
            </a:graphic>
          </wp:inline>
        </w:drawing>
      </w:r>
    </w:p>
    <w:p>
      <w:pPr>
        <w:pStyle w:val="ImageCaption"/>
      </w:pPr>
      <w:r>
        <w:t xml:space="preserve">Figure 16 Grade &lt; 13</w:t>
      </w:r>
    </w:p>
    <w:p>
      <w:pPr>
        <w:pStyle w:val="BodyText"/>
      </w:pPr>
      <w:r>
        <w:t xml:space="preserve">Lastly, the 95% confidence interval of variable</w:t>
      </w:r>
      <w:r>
        <w:t xml:space="preserve"> </w:t>
      </w:r>
      <w:r>
        <w:rPr>
          <w:i/>
        </w:rPr>
        <w:t xml:space="preserve">Gender</w:t>
      </w:r>
      <w:r>
        <w:t xml:space="preserve"> </w:t>
      </w:r>
      <w:r>
        <w:t xml:space="preserve">contains value 0, suggesting that the effect of</w:t>
      </w:r>
      <w:r>
        <w:t xml:space="preserve"> </w:t>
      </w:r>
      <w:r>
        <w:rPr>
          <w:i/>
        </w:rPr>
        <w:t xml:space="preserve">Gender</w:t>
      </w:r>
      <w:r>
        <w:t xml:space="preserve"> </w:t>
      </w:r>
      <w:r>
        <w:t xml:space="preserve">is not significant in predicting promotion outcome. For employees whose race are</w:t>
      </w:r>
      <w:r>
        <w:t xml:space="preserve"> </w:t>
      </w:r>
      <w:r>
        <w:rPr>
          <w:i/>
        </w:rPr>
        <w:t xml:space="preserve">Non-white</w:t>
      </w:r>
      <w:r>
        <w:t xml:space="preserve">, the odds of getting promoted are multiplied by a factor of 0.894 (95% CI: 0.868 to 0.929) compared to employees whose race are</w:t>
      </w:r>
      <w:r>
        <w:t xml:space="preserve"> </w:t>
      </w:r>
      <w:r>
        <w:rPr>
          <w:i/>
        </w:rPr>
        <w:t xml:space="preserve">White</w:t>
      </w:r>
      <w:r>
        <w:t xml:space="preserve">, holding all else constant.</w:t>
      </w:r>
    </w:p>
    <w:p>
      <w:pPr>
        <w:pStyle w:val="Heading2"/>
      </w:pPr>
      <w:bookmarkStart w:id="62" w:name="conclusion-and-future-improvement"/>
      <w:bookmarkEnd w:id="62"/>
      <w:r>
        <w:t xml:space="preserve">Conclusion and future improvement</w:t>
      </w:r>
    </w:p>
    <w:p>
      <w:pPr>
        <w:pStyle w:val="FirstParagraph"/>
      </w:pPr>
      <w:r>
        <w:t xml:space="preserve">In conclusion, the model suggests an employee’s personal skills and performance at work are significant in predicting promotion outcomes, but certain limitations exist for the model. First, the analysis is based on 10% samples of the OPM data, and we would like to apply the current model to the full samples. Second, the predictive probability of employees with very high salary values is potentially overestimated because the piecewise linear model is not granular enough to account for small proportion of ones in outcome variables. In the future, we would like to experiment on various models to improve the predictive accuracy. Third, we did not have enough imputed datasets to account for random noises produced by the imputation models. This also affected the validity of the Bayesian inference after multiple imputation. In the future, we would like to impute more completed datasets through expanding computational capacity.</w:t>
      </w:r>
    </w:p>
    <w:p>
      <w:pPr>
        <w:pStyle w:val="BodyText"/>
      </w:pPr>
    </w:p>
    <w:p>
      <w:pPr>
        <w:pStyle w:val="Heading1"/>
      </w:pPr>
      <w:bookmarkStart w:id="63" w:name="references"/>
      <w:bookmarkEnd w:id="63"/>
      <w:r>
        <w:t xml:space="preserve">References</w:t>
      </w:r>
    </w:p>
    <w:p>
      <w:pPr>
        <w:pStyle w:val="FirstParagraph"/>
      </w:pPr>
    </w:p>
    <w:p>
      <w:pPr>
        <w:pStyle w:val="BodyText"/>
      </w:pPr>
      <w:r>
        <w:t xml:space="preserve"> </w:t>
      </w:r>
      <w:r>
        <w:t xml:space="preserve"> </w:t>
      </w:r>
    </w:p>
    <w:p>
      <w:pPr>
        <w:pStyle w:val="Bibliography"/>
      </w:pPr>
      <w:r>
        <w:t xml:space="preserve">Barrientos, A. F., Bolton, A., Balmat, T., Reiter, J. P., Figueiredo, J. M. de, Machanavajjhala, A., … DeLong, M. (2017). A framework for sharing confidential research data, applied to investigating differential pay by race in the us government.</w:t>
      </w:r>
      <w:r>
        <w:t xml:space="preserve"> </w:t>
      </w:r>
      <w:r>
        <w:rPr>
          <w:i/>
        </w:rPr>
        <w:t xml:space="preserve">arXiv Preprint arXiv:1705.07872</w:t>
      </w:r>
      <w:r>
        <w:t xml:space="preserve">.</w:t>
      </w:r>
    </w:p>
    <w:p>
      <w:pPr>
        <w:pStyle w:val="Bibliography"/>
      </w:pPr>
      <w:r>
        <w:t xml:space="preserve">Burgette, L. F., &amp; Reiter, J. P. (2010). Multiple imputation for missing data via sequential regression trees.</w:t>
      </w:r>
      <w:r>
        <w:t xml:space="preserve"> </w:t>
      </w:r>
      <w:r>
        <w:rPr>
          <w:i/>
        </w:rPr>
        <w:t xml:space="preserve">American Journal of Epidemiology</w:t>
      </w:r>
      <w:r>
        <w:t xml:space="preserve">,</w:t>
      </w:r>
      <w:r>
        <w:t xml:space="preserve"> </w:t>
      </w:r>
      <w:r>
        <w:rPr>
          <w:i/>
        </w:rPr>
        <w:t xml:space="preserve">172</w:t>
      </w:r>
      <w:r>
        <w:t xml:space="preserve">(9), 1070–1076.</w:t>
      </w:r>
    </w:p>
    <w:p>
      <w:pPr>
        <w:pStyle w:val="Bibliography"/>
      </w:pPr>
      <w:r>
        <w:t xml:space="preserve">Carey, M. P. (2011).</w:t>
      </w:r>
      <w:r>
        <w:t xml:space="preserve"> </w:t>
      </w:r>
      <w:r>
        <w:rPr>
          <w:i/>
        </w:rPr>
        <w:t xml:space="preserve">Senior executive service: Background and options for reform</w:t>
      </w:r>
      <w:r>
        <w:t xml:space="preserve">. DIANE Publishing.</w:t>
      </w:r>
    </w:p>
    <w:p>
      <w:pPr>
        <w:pStyle w:val="Bibliography"/>
      </w:pPr>
      <w:r>
        <w:t xml:space="preserve">Collins, L. M., Schafer, J. L., &amp; Kam, C.-M. (2001). A comparison of inclusive and restrictive strategies in modern missing data procedures.</w:t>
      </w:r>
      <w:r>
        <w:t xml:space="preserve"> </w:t>
      </w:r>
      <w:r>
        <w:rPr>
          <w:i/>
        </w:rPr>
        <w:t xml:space="preserve">Psychological Methods</w:t>
      </w:r>
      <w:r>
        <w:t xml:space="preserve">,</w:t>
      </w:r>
      <w:r>
        <w:t xml:space="preserve"> </w:t>
      </w:r>
      <w:r>
        <w:rPr>
          <w:i/>
        </w:rPr>
        <w:t xml:space="preserve">6</w:t>
      </w:r>
      <w:r>
        <w:t xml:space="preserve">(4), 330.</w:t>
      </w:r>
    </w:p>
    <w:p>
      <w:pPr>
        <w:pStyle w:val="Bibliography"/>
      </w:pPr>
      <w:r>
        <w:t xml:space="preserve">Doove, L. L., Van Buuren, S., &amp; Dusseldorp, E. (2014). Recursive partitioning for missing data imputation in the presence of interaction effects.</w:t>
      </w:r>
      <w:r>
        <w:t xml:space="preserve"> </w:t>
      </w:r>
      <w:r>
        <w:rPr>
          <w:i/>
        </w:rPr>
        <w:t xml:space="preserve">Computational Statistics &amp; Data Analysis</w:t>
      </w:r>
      <w:r>
        <w:t xml:space="preserve">,</w:t>
      </w:r>
      <w:r>
        <w:t xml:space="preserve"> </w:t>
      </w:r>
      <w:r>
        <w:rPr>
          <w:i/>
        </w:rPr>
        <w:t xml:space="preserve">72</w:t>
      </w:r>
      <w:r>
        <w:t xml:space="preserve">, 92–104.</w:t>
      </w:r>
    </w:p>
    <w:p>
      <w:pPr>
        <w:pStyle w:val="Bibliography"/>
      </w:pPr>
      <w:r>
        <w:t xml:space="preserve">Guide to the senior executive service. (2017), 2–12.</w:t>
      </w:r>
    </w:p>
    <w:p>
      <w:pPr>
        <w:pStyle w:val="Bibliography"/>
      </w:pPr>
      <w:r>
        <w:t xml:space="preserve">He, Y., &amp; Zaslavsky, A. M. (2012). Diagnosing imputation models by applying target analyses to posterior replicates of completed data.</w:t>
      </w:r>
      <w:r>
        <w:t xml:space="preserve"> </w:t>
      </w:r>
      <w:r>
        <w:rPr>
          <w:i/>
        </w:rPr>
        <w:t xml:space="preserve">Statistics in Medicine</w:t>
      </w:r>
      <w:r>
        <w:t xml:space="preserve">,</w:t>
      </w:r>
      <w:r>
        <w:t xml:space="preserve"> </w:t>
      </w:r>
      <w:r>
        <w:rPr>
          <w:i/>
        </w:rPr>
        <w:t xml:space="preserve">31</w:t>
      </w:r>
      <w:r>
        <w:t xml:space="preserve">(1), 1–18.</w:t>
      </w:r>
    </w:p>
    <w:p>
      <w:pPr>
        <w:pStyle w:val="Bibliography"/>
      </w:pPr>
      <w:r>
        <w:t xml:space="preserve">Huddleston, M. W., &amp; Boyer, W. W. (1996).</w:t>
      </w:r>
      <w:r>
        <w:t xml:space="preserve"> </w:t>
      </w:r>
      <w:r>
        <w:rPr>
          <w:i/>
        </w:rPr>
        <w:t xml:space="preserve">The higher civil service in the united states: Quest for reform</w:t>
      </w:r>
      <w:r>
        <w:t xml:space="preserve"> </w:t>
      </w:r>
      <w:r>
        <w:t xml:space="preserve">(pp. 116–117). University of Pittsburgh Pre.</w:t>
      </w:r>
    </w:p>
    <w:p>
      <w:pPr>
        <w:pStyle w:val="Bibliography"/>
      </w:pPr>
      <w:r>
        <w:t xml:space="preserve">Little, R. J., &amp; Rubin, D. B. (2014).</w:t>
      </w:r>
      <w:r>
        <w:t xml:space="preserve"> </w:t>
      </w:r>
      <w:r>
        <w:rPr>
          <w:i/>
        </w:rPr>
        <w:t xml:space="preserve">Statistical analysis with missing data</w:t>
      </w:r>
      <w:r>
        <w:t xml:space="preserve">. John Wiley &amp; Sons.</w:t>
      </w:r>
    </w:p>
    <w:p>
      <w:pPr>
        <w:pStyle w:val="Bibliography"/>
      </w:pPr>
      <w:r>
        <w:t xml:space="preserve">Office of Personal Management (OPM). (n.d.). Pay &amp; leave. Retrieved from</w:t>
      </w:r>
      <w:r>
        <w:t xml:space="preserve"> </w:t>
      </w:r>
      <w:hyperlink r:id="rId64">
        <w:r>
          <w:rPr>
            <w:rStyle w:val="Hyperlink"/>
          </w:rPr>
          <w:t xml:space="preserve">https://www.opm.gov/policy-data-oversight/pay-leave/pay-administration/fact-sheets/pay-plans/</w:t>
        </w:r>
      </w:hyperlink>
    </w:p>
    <w:p>
      <w:pPr>
        <w:pStyle w:val="Bibliography"/>
      </w:pPr>
      <w:r>
        <w:t xml:space="preserve">Powell, G. N., &amp; Butterfield, D. A. (1994). Investigating the “glass ceiling” phenomenon: An empirical study of actual promotions to top management.</w:t>
      </w:r>
      <w:r>
        <w:t xml:space="preserve"> </w:t>
      </w:r>
      <w:r>
        <w:rPr>
          <w:i/>
        </w:rPr>
        <w:t xml:space="preserve">Academy of Management Journal</w:t>
      </w:r>
      <w:r>
        <w:t xml:space="preserve">,</w:t>
      </w:r>
      <w:r>
        <w:t xml:space="preserve"> </w:t>
      </w:r>
      <w:r>
        <w:rPr>
          <w:i/>
        </w:rPr>
        <w:t xml:space="preserve">37</w:t>
      </w:r>
      <w:r>
        <w:t xml:space="preserve">(1), 68–86.</w:t>
      </w:r>
    </w:p>
    <w:p>
      <w:pPr>
        <w:pStyle w:val="Bibliography"/>
      </w:pPr>
      <w:r>
        <w:t xml:space="preserve">Statement of Jeffrey D. Zients, U.S. Congress, Senate Committee on Homeland Security and Governmental Affairs, Subcommittee on Oversight of Government Management, the Federal Workforce, and the District of Columbia. (2011), 1.</w:t>
      </w:r>
    </w:p>
    <w:p>
      <w:pPr>
        <w:pStyle w:val="Bibliography"/>
      </w:pPr>
      <w:r>
        <w:t xml:space="preserve">Walther, G. (2017). Lecture 17: Smoothing splines, Local Regression, and GAMs.</w:t>
      </w:r>
    </w:p>
    <w:p>
      <w:pPr>
        <w:pStyle w:val="Bibliography"/>
      </w:pPr>
      <w:r>
        <w:t xml:space="preserve">Zhou, X., &amp; Reiter, J. P. (2010). A note on bayesian inference after multiple imputation.</w:t>
      </w:r>
      <w:r>
        <w:t xml:space="preserve"> </w:t>
      </w:r>
      <w:r>
        <w:rPr>
          <w:i/>
        </w:rPr>
        <w:t xml:space="preserve">The American Statistician</w:t>
      </w:r>
      <w:r>
        <w:t xml:space="preserve">,</w:t>
      </w:r>
      <w:r>
        <w:t xml:space="preserve"> </w:t>
      </w:r>
      <w:r>
        <w:rPr>
          <w:i/>
        </w:rPr>
        <w:t xml:space="preserve">64</w:t>
      </w:r>
      <w:r>
        <w:t xml:space="preserve">(2), 159–163.</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8a6011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6" Target="media/rId56.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image" Id="rId59" Target="media/rId59.png" /><Relationship Type="http://schemas.openxmlformats.org/officeDocument/2006/relationships/image" Id="rId58" Target="media/rId58.png" /><Relationship Type="http://schemas.openxmlformats.org/officeDocument/2006/relationships/image" Id="rId34" Target="media/rId34.jp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26" Target="media/rId26.png" /><Relationship Type="http://schemas.openxmlformats.org/officeDocument/2006/relationships/image" Id="rId61" Target="media/rId61.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50" Target="media/rId50.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hyperlink" Id="rId64" Target="https://www.opm.gov/policy-data-oversight/pay-leave/pay-administration/fact-sheets/pay-plans/" TargetMode="External" /></Relationships>
</file>

<file path=word/_rels/footnotes.xml.rels><?xml version="1.0" encoding="UTF-8"?>
<Relationships xmlns="http://schemas.openxmlformats.org/package/2006/relationships"><Relationship Type="http://schemas.openxmlformats.org/officeDocument/2006/relationships/hyperlink" Id="rId64" Target="https://www.opm.gov/policy-data-oversight/pay-leave/pay-administration/fact-sheets/pay-plan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Federal Employees Data to Predict Promotion</dc:title>
  <dc:creator>Chia-Rui (Jerry) Chang</dc:creator>
  <dcterms:created xsi:type="dcterms:W3CDTF">2018-06-30T01:44:25Z</dcterms:created>
  <dcterms:modified xsi:type="dcterms:W3CDTF">2018-06-30T01:44:25Z</dcterms:modified>
</cp:coreProperties>
</file>