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TP2 : Explore AI PaaS Services</w:t>
      </w:r>
    </w:p>
    <w:p>
      <w:pPr>
        <w:spacing w:after="60"/>
        <w:jc w:val="center"/>
      </w:pPr>
      <w:r>
        <w:rPr>
          <w:i/>
          <w:iCs/>
          <w:sz w:val="24"/>
          <w:szCs w:val="24"/>
        </w:rPr>
        <w:t xml:space="preserve">Fiche de révision : ce que j'ai fait et les réponses aux questions</w:t>
      </w:r>
    </w:p>
    <w:p>
      <w:pPr>
        <w:pBdr>
          <w:bottom w:val="single" w:color="1F4E79" w:sz="8" w:space="6"/>
        </w:pBdr>
        <w:spacing w:after="300"/>
        <w:jc w:val="center"/>
      </w:pPr>
      <w:r>
        <w:rPr>
          <w:sz w:val="20"/>
          <w:szCs w:val="20"/>
        </w:rPr>
        <w:t xml:space="preserve">KABORE Mohammad Sharif Jonathan · UIR 2026/2027 · Pr. Ouassim Karrakchou</w:t>
      </w:r>
    </w:p>
    <w:p>
      <w:pPr>
        <w:pStyle w:val="Heading1"/>
      </w:pPr>
      <w:r>
        <w:t xml:space="preserve">0. Avant de montrer au prof</w:t>
      </w:r>
    </w:p>
    <w:p>
      <w:pPr>
        <w:spacing w:after="120"/>
      </w:pPr>
      <w:r>
        <w:t xml:space="preserve">Les ressources sont gardées jusqu'à la validation en classe. Les points à vérifier le jour J :</w:t>
      </w:r>
    </w:p>
    <w:p>
      <w:pPr>
        <w:pStyle w:val="ListParagraph"/>
        <w:numPr>
          <w:ilvl w:val="0"/>
          <w:numId w:val="2"/>
        </w:numPr>
        <w:spacing w:after="60"/>
      </w:pPr>
      <w:r>
        <w:rPr>
          <w:b/>
          <w:bCs/>
        </w:rPr>
        <w:t xml:space="preserve">Régénérer les URL SAS</w:t>
      </w:r>
      <w:r>
        <w:t xml:space="preserve"> des deux images (tajine et livre) : elles expirent le soir même. Portail &gt; container </w:t>
      </w:r>
      <w:r>
        <w:rPr>
          <w:rFonts w:ascii="Consolas" w:cs="Consolas" w:eastAsia="Consolas" w:hAnsi="Consolas"/>
          <w:color w:val="8B1A1A"/>
          <w:sz w:val="20"/>
          <w:szCs w:val="20"/>
        </w:rPr>
        <w:t xml:space="preserve">images</w:t>
      </w:r>
      <w:r>
        <w:t xml:space="preserve"> &gt; clic sur l'image &gt; Générer une signature d'accès partagé &gt; Lecture, HTTPS.</w:t>
      </w:r>
    </w:p>
    <w:p>
      <w:pPr>
        <w:pStyle w:val="ListParagraph"/>
        <w:numPr>
          <w:ilvl w:val="0"/>
          <w:numId w:val="2"/>
        </w:numPr>
        <w:spacing w:after="60"/>
      </w:pPr>
      <w:r>
        <w:rPr>
          <w:b/>
          <w:bCs/>
        </w:rPr>
        <w:t xml:space="preserve">Redéfinir les variables d'environnement</w:t>
      </w:r>
      <w:r>
        <w:t xml:space="preserve"> dans le terminal avant de lancer les scripts Python (</w:t>
      </w:r>
      <w:r>
        <w:rPr>
          <w:rFonts w:ascii="Consolas" w:cs="Consolas" w:eastAsia="Consolas" w:hAnsi="Consolas"/>
          <w:color w:val="8B1A1A"/>
          <w:sz w:val="20"/>
          <w:szCs w:val="20"/>
        </w:rPr>
        <w:t xml:space="preserve">VISION_ENDPOINT</w:t>
      </w:r>
      <w:r>
        <w:t xml:space="preserve">, </w:t>
      </w:r>
      <w:r>
        <w:rPr>
          <w:rFonts w:ascii="Consolas" w:cs="Consolas" w:eastAsia="Consolas" w:hAnsi="Consolas"/>
          <w:color w:val="8B1A1A"/>
          <w:sz w:val="20"/>
          <w:szCs w:val="20"/>
        </w:rPr>
        <w:t xml:space="preserve">VISION_KEY</w:t>
      </w:r>
      <w:r>
        <w:t xml:space="preserve">, </w:t>
      </w:r>
      <w:r>
        <w:rPr>
          <w:rFonts w:ascii="Consolas" w:cs="Consolas" w:eastAsia="Consolas" w:hAnsi="Consolas"/>
          <w:color w:val="8B1A1A"/>
          <w:sz w:val="20"/>
          <w:szCs w:val="20"/>
        </w:rPr>
        <w:t xml:space="preserve">FOUNDRY_ENDPOINT</w:t>
      </w:r>
      <w:r>
        <w:t xml:space="preserve">, </w:t>
      </w:r>
      <w:r>
        <w:rPr>
          <w:rFonts w:ascii="Consolas" w:cs="Consolas" w:eastAsia="Consolas" w:hAnsi="Consolas"/>
          <w:color w:val="8B1A1A"/>
          <w:sz w:val="20"/>
          <w:szCs w:val="20"/>
        </w:rPr>
        <w:t xml:space="preserve">FOUNDRY_KEY</w:t>
      </w:r>
      <w:r>
        <w:t xml:space="preserve">).</w:t>
      </w:r>
    </w:p>
    <w:p>
      <w:pPr>
        <w:pStyle w:val="ListParagraph"/>
        <w:numPr>
          <w:ilvl w:val="0"/>
          <w:numId w:val="2"/>
        </w:numPr>
        <w:spacing w:after="60"/>
      </w:pPr>
      <w:r>
        <w:rPr>
          <w:b/>
          <w:bCs/>
        </w:rPr>
        <w:t xml:space="preserve">Coût pendant l'attente</w:t>
      </w:r>
      <w:r>
        <w:t xml:space="preserve"> : négligeable. Le stockage de deux images coûte une fraction de centime, et Vision et le modèle déployé en Standard sont facturés à l'appel, pas au temps.</w:t>
      </w:r>
    </w:p>
    <w:p>
      <w:pPr>
        <w:pStyle w:val="ListParagraph"/>
        <w:numPr>
          <w:ilvl w:val="0"/>
          <w:numId w:val="2"/>
        </w:numPr>
        <w:spacing w:after="60"/>
      </w:pPr>
      <w:r>
        <w:rPr>
          <w:b/>
          <w:bCs/>
        </w:rPr>
        <w:t xml:space="preserve">Après validation</w:t>
      </w:r>
      <w:r>
        <w:t xml:space="preserve"> : supprimer le groupe de ressources </w:t>
      </w:r>
      <w:r>
        <w:rPr>
          <w:rFonts w:ascii="Consolas" w:cs="Consolas" w:eastAsia="Consolas" w:hAnsi="Consolas"/>
          <w:color w:val="8B1A1A"/>
          <w:sz w:val="20"/>
          <w:szCs w:val="20"/>
        </w:rPr>
        <w:t xml:space="preserve">TP2-Cloud-Foundations</w:t>
      </w:r>
      <w:r>
        <w:t xml:space="preserve"> (partie XII) et faire la capture de la suppression.</w:t>
      </w:r>
    </w:p>
    <w:p>
      <w:pPr>
        <w:pStyle w:val="Heading1"/>
      </w:pPr>
      <w:r>
        <w:t xml:space="preserve">1. Ressources créées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Ressource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Nom</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Resource Group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TP2-Cloud-Foundations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Conteneur logique qui regroupe toutes les ressources du TP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Storage Account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tp2jonathan2026</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Stockage des images (Standard, LRS, service principal Blob)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Blob Container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images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Dossier privé contenant le tajine et la couverture du livre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Computer Vision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visison-jonathan-tp2</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Analyse d'image : tags, OCR, caption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Microsoft Foundry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foundry-jonathan-tp2</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Plateforme pour déployer et appeler des LLM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Déploiement LLM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gpt-5-mini</w:t>
            </w:r>
            <w:r>
              <w:t xml:space="preserve"> (Global Standard)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Modèle de langage appelé par l'API Chat Completions</w:t>
            </w:r>
          </w:p>
        </w:tc>
      </w:tr>
    </w:tbl>
    <w:p>
      <w:pPr>
        <w:spacing w:after="120"/>
      </w:pPr>
    </w:p>
    <w:p>
      <w:pPr>
        <w:spacing w:after="120"/>
      </w:pPr>
      <w:r>
        <w:rPr>
          <w:b/>
          <w:bCs/>
        </w:rPr>
        <w:t xml:space="preserve">Régions autorisées par l'abonnement Azure for Students</w:t>
      </w:r>
      <w:r>
        <w:t xml:space="preserve"> (trouvées dans Stratégie &gt; Attributions &gt; Allowed resource deployment regions) : Poland Central, Spain Central, Austria East, Switzerland North, Sweden Central.</w:t>
      </w:r>
    </w:p>
    <w:p>
      <w:pPr>
        <w:pStyle w:val="Heading1"/>
      </w:pPr>
      <w:r>
        <w:t xml:space="preserve">2. Parties I à III : Resource Group, Storage et SAS</w:t>
      </w:r>
    </w:p>
    <w:p>
      <w:pPr>
        <w:spacing w:after="60" w:before="120"/>
      </w:pPr>
      <w:r>
        <w:rPr>
          <w:b/>
          <w:bCs/>
          <w:color w:val="1F4E79"/>
        </w:rPr>
        <w:t xml:space="preserve">Qu'est-ce qu'un Resource Group ?</w:t>
      </w:r>
    </w:p>
    <w:p>
      <w:pPr>
        <w:spacing w:after="120"/>
      </w:pPr>
      <w:r>
        <w:t xml:space="preserve">Un conteneur logique qui regroupe les ressources Azure d'un même projet. Il permet de les organiser, de gérer les droits et les coûts ensemble, et surtout de tout supprimer en une seule opération à la fin du TP.</w:t>
      </w:r>
    </w:p>
    <w:p>
      <w:pPr>
        <w:spacing w:after="60" w:before="120"/>
      </w:pPr>
      <w:r>
        <w:rPr>
          <w:b/>
          <w:bCs/>
          <w:color w:val="1F4E79"/>
        </w:rPr>
        <w:t xml:space="preserve">Pourquoi un Storage Account et un container Blob ?</w:t>
      </w:r>
    </w:p>
    <w:p>
      <w:pPr>
        <w:spacing w:after="120"/>
      </w:pPr>
      <w:r>
        <w:t xml:space="preserve">Les services d'IA ont besoin d'une image à analyser. Dans une architecture cloud classique, on dépose d'abord les fichiers dans un stockage objet (Blob Storage), puis le service d'IA vient les lire via une URL. Le container est laissé privé : personne ne peut lire les images sans autorisation.</w:t>
      </w:r>
    </w:p>
    <w:p>
      <w:pPr>
        <w:spacing w:after="60" w:before="120"/>
      </w:pPr>
      <w:r>
        <w:rPr>
          <w:b/>
          <w:bCs/>
          <w:color w:val="1F4E79"/>
        </w:rPr>
        <w:t xml:space="preserve">Qu'est-ce qu'une SAS (Shared Access Signature) et pourquoi l'utiliser ?</w:t>
      </w:r>
    </w:p>
    <w:p>
      <w:pPr>
        <w:spacing w:after="120"/>
      </w:pPr>
      <w:r>
        <w:t xml:space="preserve">Une SAS est une URL signée qui donne un accès </w:t>
      </w:r>
      <w:r>
        <w:rPr>
          <w:b/>
          <w:bCs/>
        </w:rPr>
        <w:t xml:space="preserve">temporaire et limité</w:t>
      </w:r>
      <w:r>
        <w:t xml:space="preserve"> à une ressource de stockage. La mienne n'autorise que la </w:t>
      </w:r>
      <w:r>
        <w:rPr>
          <w:b/>
          <w:bCs/>
        </w:rPr>
        <w:t xml:space="preserve">lecture</w:t>
      </w:r>
      <w:r>
        <w:t xml:space="preserve">, uniquement en </w:t>
      </w:r>
      <w:r>
        <w:rPr>
          <w:b/>
          <w:bCs/>
        </w:rPr>
        <w:t xml:space="preserve">HTTPS</w:t>
      </w:r>
      <w:r>
        <w:t xml:space="preserve">, et expire après quelques heures.</w:t>
      </w:r>
    </w:p>
    <w:p>
      <w:pPr>
        <w:spacing w:after="120"/>
      </w:pPr>
      <w:r>
        <w:t xml:space="preserve">On l'utilise pour que le service Vision puisse télécharger l'image sans rendre le container public. C'est le principe du </w:t>
      </w:r>
      <w:r>
        <w:rPr>
          <w:b/>
          <w:bCs/>
        </w:rPr>
        <w:t xml:space="preserve">moindre privilège</w:t>
      </w:r>
      <w:r>
        <w:t xml:space="preserve"> : on donne le minimum d'accès nécessaire, pour une durée limitée.</w:t>
      </w:r>
    </w:p>
    <w:p>
      <w:pPr>
        <w:spacing w:after="120"/>
      </w:pPr>
      <w:r>
        <w:t xml:space="preserve">La partie après le </w:t>
      </w:r>
      <w:r>
        <w:rPr>
          <w:rFonts w:ascii="Consolas" w:cs="Consolas" w:eastAsia="Consolas" w:hAnsi="Consolas"/>
          <w:color w:val="8B1A1A"/>
          <w:sz w:val="20"/>
          <w:szCs w:val="20"/>
        </w:rPr>
        <w:t xml:space="preserve">?</w:t>
      </w:r>
      <w:r>
        <w:t xml:space="preserve"> de l'URL contient la signature : c'est un secret, il ne faut pas la partager (je l'ai masquée sur mes captures).</w:t>
      </w:r>
    </w:p>
    <w:p>
      <w:pPr>
        <w:spacing w:after="60" w:before="120"/>
      </w:pPr>
      <w:r>
        <w:rPr>
          <w:b/>
          <w:bCs/>
          <w:color w:val="1F4E79"/>
        </w:rPr>
        <w:t xml:space="preserve">Que signifie LRS ?</w:t>
      </w:r>
    </w:p>
    <w:p>
      <w:pPr>
        <w:spacing w:after="120"/>
      </w:pPr>
      <w:r>
        <w:t xml:space="preserve">Locally-Redundant Storage : les données sont copiées trois fois dans un même datacenter. C'est l'option la moins chère, suffisante pour un TP, mais elle ne protège pas contre la perte complète du datacenter (contrairement à ZRS ou GRS).</w:t>
      </w:r>
    </w:p>
    <w:p>
      <w:pPr>
        <w:pStyle w:val="Heading1"/>
      </w:pPr>
      <w:r>
        <w:t xml:space="preserve">3. Parties IV et V : Computer Vision et analyse de tags</w:t>
      </w:r>
    </w:p>
    <w:p>
      <w:pPr>
        <w:spacing w:after="120"/>
      </w:pPr>
      <w:r>
        <w:rPr>
          <w:b/>
          <w:bCs/>
        </w:rPr>
        <w:t xml:space="preserve">Authentification</w:t>
      </w:r>
      <w:r>
        <w:t xml:space="preserve"> : Azure fournit deux clés (KEY 1 et KEY 2) et un endpoint. La clé est envoyée dans le header </w:t>
      </w:r>
      <w:r>
        <w:rPr>
          <w:rFonts w:ascii="Consolas" w:cs="Consolas" w:eastAsia="Consolas" w:hAnsi="Consolas"/>
          <w:color w:val="8B1A1A"/>
          <w:sz w:val="20"/>
          <w:szCs w:val="20"/>
        </w:rPr>
        <w:t xml:space="preserve">Ocp-Apim-Subscription-Key</w:t>
      </w:r>
      <w:r>
        <w:t xml:space="preserve">. Les deux clés servent à faire une rotation sans coupure : on bascule les applications sur la clé 2, puis on régénère la clé 1.</w:t>
      </w:r>
    </w:p>
    <w:p>
      <w:pPr>
        <w:spacing w:after="120"/>
      </w:pPr>
      <w:r>
        <w:rPr>
          <w:b/>
          <w:bCs/>
        </w:rPr>
        <w:t xml:space="preserve">Requête</w:t>
      </w:r>
      <w:r>
        <w:t xml:space="preserve"> : POST sur l'URL suivante, avec le header </w:t>
      </w:r>
      <w:r>
        <w:rPr>
          <w:rFonts w:ascii="Consolas" w:cs="Consolas" w:eastAsia="Consolas" w:hAnsi="Consolas"/>
          <w:color w:val="8B1A1A"/>
          <w:sz w:val="20"/>
          <w:szCs w:val="20"/>
        </w:rPr>
        <w:t xml:space="preserve">Content-Type: application/json</w:t>
      </w:r>
      <w:r>
        <w:t xml:space="preserve"> et le body </w:t>
      </w:r>
      <w:r>
        <w:rPr>
          <w:rFonts w:ascii="Consolas" w:cs="Consolas" w:eastAsia="Consolas" w:hAnsi="Consolas"/>
          <w:color w:val="8B1A1A"/>
          <w:sz w:val="20"/>
          <w:szCs w:val="20"/>
        </w:rPr>
        <w:t xml:space="preserve">{"url": "URL_SAS"}</w:t>
      </w:r>
      <w:r>
        <w:t xml:space="preserve"> :</w:t>
      </w:r>
    </w:p>
    <w:p>
      <w:pPr>
        <w:shd w:fill="F2F2F2" w:color="auto" w:val="clear"/>
        <w:spacing w:after="160"/>
      </w:pPr>
      <w:r>
        <w:rPr>
          <w:rFonts w:ascii="Consolas" w:cs="Consolas" w:eastAsia="Consolas" w:hAnsi="Consolas"/>
          <w:sz w:val="18"/>
          <w:szCs w:val="18"/>
        </w:rPr>
        <w:t xml:space="preserve">ENDPOINT/computervision/imageanalysis:analyze?api-version=2024-02-01&amp;features=tags</w:t>
      </w:r>
    </w:p>
    <w:p>
      <w:pPr>
        <w:spacing w:after="120"/>
      </w:pPr>
      <w:r>
        <w:rPr>
          <w:b/>
          <w:bCs/>
        </w:rPr>
        <w:t xml:space="preserve">Image utilisée</w:t>
      </w:r>
      <w:r>
        <w:t xml:space="preserve"> : un tajine au poulet, citron confit et olives, avec son couvercle conique, sur une nappe orange, avec un vase fleuri en arrière-plan.</w:t>
      </w:r>
    </w:p>
    <w:p>
      <w:pPr>
        <w:spacing w:after="60" w:before="120"/>
      </w:pPr>
      <w:r>
        <w:rPr>
          <w:b/>
          <w:bCs/>
          <w:color w:val="1F4E79"/>
        </w:rPr>
        <w:t xml:space="preserve">1. Quels tags ont été détectés ?</w:t>
      </w:r>
    </w:p>
    <w:p>
      <w:pPr>
        <w:spacing w:after="120"/>
      </w:pPr>
      <w:r>
        <w:t xml:space="preserve">food (0.971), table (0.837), plant (0.832), indoor (0.762), bowl (0.679), dish (0.674), pot (0.603).</w:t>
      </w:r>
    </w:p>
    <w:p>
      <w:pPr>
        <w:spacing w:after="60" w:before="120"/>
      </w:pPr>
      <w:r>
        <w:rPr>
          <w:b/>
          <w:bCs/>
          <w:color w:val="1F4E79"/>
        </w:rPr>
        <w:t xml:space="preserve">2. Quel tag a la plus haute confiance ?</w:t>
      </w:r>
    </w:p>
    <w:p>
      <w:pPr>
        <w:spacing w:after="120"/>
      </w:pPr>
      <w:r>
        <w:t xml:space="preserve">« food », avec une confiance d'environ 0.97 (97 %).</w:t>
      </w:r>
    </w:p>
    <w:p>
      <w:pPr>
        <w:spacing w:after="60" w:before="120"/>
      </w:pPr>
      <w:r>
        <w:rPr>
          <w:b/>
          <w:bCs/>
          <w:color w:val="1F4E79"/>
        </w:rPr>
        <w:t xml:space="preserve">3. Que représente la valeur de confiance ?</w:t>
      </w:r>
    </w:p>
    <w:p>
      <w:pPr>
        <w:spacing w:after="120"/>
      </w:pPr>
      <w:r>
        <w:t xml:space="preserve">Un score entre 0 et 1 qui exprime la probabilité, estimée par le modèle, que le tag soit correct. Plus il est proche de 1, plus le modèle est sûr de lui. Ce n'est pas une garantie de justesse, seulement une mesure de certitude du modèle.</w:t>
      </w:r>
    </w:p>
    <w:p>
      <w:pPr>
        <w:spacing w:after="60" w:before="120"/>
      </w:pPr>
      <w:r>
        <w:rPr>
          <w:b/>
          <w:bCs/>
          <w:color w:val="1F4E79"/>
        </w:rPr>
        <w:t xml:space="preserve">4. Le service a-t-il correctement identifié l'image ?</w:t>
      </w:r>
    </w:p>
    <w:p>
      <w:pPr>
        <w:spacing w:after="120"/>
      </w:pPr>
      <w:r>
        <w:t xml:space="preserve">Partiellement. Il a bien reconnu de la nourriture dans un récipient (bowl, dish, pot) sur une table, en intérieur, ainsi que le vase fleuri en arrière-plan (plant). En revanche, il n'a identifié ni le tajine, ni les ingrédients (poulet, citron, olives). Le tag « pot » correspond au couvercle en terre cuite, reconnu comme un simple récipient.</w:t>
      </w:r>
    </w:p>
    <w:p>
      <w:pPr>
        <w:spacing w:after="120"/>
      </w:pPr>
      <w:r>
        <w:t xml:space="preserve">Le modèle est fiable sur les catégories générales, mais moins précis sur un plat culturellement spécifique, probablement moins représenté dans ses données d'entraînement.</w:t>
      </w:r>
    </w:p>
    <w:p>
      <w:pPr>
        <w:pStyle w:val="Heading1"/>
      </w:pPr>
      <w:r>
        <w:t xml:space="preserve">4. Partie VI : OCR (détection de texte)</w:t>
      </w:r>
    </w:p>
    <w:p>
      <w:pPr>
        <w:spacing w:after="120"/>
      </w:pPr>
      <w:r>
        <w:rPr>
          <w:b/>
          <w:bCs/>
        </w:rPr>
        <w:t xml:space="preserve">Image utilisée</w:t>
      </w:r>
      <w:r>
        <w:t xml:space="preserve"> : la couverture du livre « Les Bouts de bois de Dieu » d'Ousmane Sembène (éditions Pocket), avec </w:t>
      </w:r>
      <w:r>
        <w:rPr>
          <w:rFonts w:ascii="Consolas" w:cs="Consolas" w:eastAsia="Consolas" w:hAnsi="Consolas"/>
          <w:color w:val="8B1A1A"/>
          <w:sz w:val="20"/>
          <w:szCs w:val="20"/>
        </w:rPr>
        <w:t xml:space="preserve">features=read</w:t>
      </w:r>
      <w:r>
        <w:t xml:space="preserve">.</w:t>
      </w:r>
    </w:p>
    <w:p>
      <w:pPr>
        <w:spacing w:after="60" w:before="120"/>
      </w:pPr>
      <w:r>
        <w:rPr>
          <w:b/>
          <w:bCs/>
          <w:color w:val="1F4E79"/>
        </w:rPr>
        <w:t xml:space="preserve">1. Quel texte a été détecté ?</w:t>
      </w:r>
    </w:p>
    <w:p>
      <w:pPr>
        <w:spacing w:after="120"/>
      </w:pPr>
      <w:r>
        <w:t xml:space="preserve">Cinq lignes : « OUSMANE », « SEMBENE », « Les Bouts de bois », « de Dieu » et « POCKET ».</w:t>
      </w:r>
    </w:p>
    <w:p>
      <w:pPr>
        <w:spacing w:after="60" w:before="120"/>
      </w:pPr>
      <w:r>
        <w:rPr>
          <w:b/>
          <w:bCs/>
          <w:color w:val="1F4E79"/>
        </w:rPr>
        <w:t xml:space="preserve">2. Comment les lignes sont-elles représentées dans le JSON ?</w:t>
      </w:r>
    </w:p>
    <w:p>
      <w:pPr>
        <w:spacing w:after="120"/>
      </w:pPr>
      <w:r>
        <w:t xml:space="preserve">Structure hiérarchique : </w:t>
      </w:r>
      <w:r>
        <w:rPr>
          <w:rFonts w:ascii="Consolas" w:cs="Consolas" w:eastAsia="Consolas" w:hAnsi="Consolas"/>
          <w:color w:val="8B1A1A"/>
          <w:sz w:val="20"/>
          <w:szCs w:val="20"/>
        </w:rPr>
        <w:t xml:space="preserve">readResult</w:t>
      </w:r>
      <w:r>
        <w:t xml:space="preserve"> &gt; </w:t>
      </w:r>
      <w:r>
        <w:rPr>
          <w:rFonts w:ascii="Consolas" w:cs="Consolas" w:eastAsia="Consolas" w:hAnsi="Consolas"/>
          <w:color w:val="8B1A1A"/>
          <w:sz w:val="20"/>
          <w:szCs w:val="20"/>
        </w:rPr>
        <w:t xml:space="preserve">blocks</w:t>
      </w:r>
      <w:r>
        <w:t xml:space="preserve"> &gt; </w:t>
      </w:r>
      <w:r>
        <w:rPr>
          <w:rFonts w:ascii="Consolas" w:cs="Consolas" w:eastAsia="Consolas" w:hAnsi="Consolas"/>
          <w:color w:val="8B1A1A"/>
          <w:sz w:val="20"/>
          <w:szCs w:val="20"/>
        </w:rPr>
        <w:t xml:space="preserve">lines</w:t>
      </w:r>
      <w:r>
        <w:t xml:space="preserve"> &gt; </w:t>
      </w:r>
      <w:r>
        <w:rPr>
          <w:rFonts w:ascii="Consolas" w:cs="Consolas" w:eastAsia="Consolas" w:hAnsi="Consolas"/>
          <w:color w:val="8B1A1A"/>
          <w:sz w:val="20"/>
          <w:szCs w:val="20"/>
        </w:rPr>
        <w:t xml:space="preserve">words</w:t>
      </w:r>
      <w:r>
        <w:t xml:space="preserve">. Chaque ligne a un </w:t>
      </w:r>
      <w:r>
        <w:rPr>
          <w:rFonts w:ascii="Consolas" w:cs="Consolas" w:eastAsia="Consolas" w:hAnsi="Consolas"/>
          <w:color w:val="8B1A1A"/>
          <w:sz w:val="20"/>
          <w:szCs w:val="20"/>
        </w:rPr>
        <w:t xml:space="preserve">text</w:t>
      </w:r>
      <w:r>
        <w:t xml:space="preserve">, un </w:t>
      </w:r>
      <w:r>
        <w:rPr>
          <w:rFonts w:ascii="Consolas" w:cs="Consolas" w:eastAsia="Consolas" w:hAnsi="Consolas"/>
          <w:color w:val="8B1A1A"/>
          <w:sz w:val="20"/>
          <w:szCs w:val="20"/>
        </w:rPr>
        <w:t xml:space="preserve">boundingPolygon</w:t>
      </w:r>
      <w:r>
        <w:t xml:space="preserve"> et une liste de mots. Chaque mot a son </w:t>
      </w:r>
      <w:r>
        <w:rPr>
          <w:rFonts w:ascii="Consolas" w:cs="Consolas" w:eastAsia="Consolas" w:hAnsi="Consolas"/>
          <w:color w:val="8B1A1A"/>
          <w:sz w:val="20"/>
          <w:szCs w:val="20"/>
        </w:rPr>
        <w:t xml:space="preserve">text</w:t>
      </w:r>
      <w:r>
        <w:t xml:space="preserve">, son polygone et sa </w:t>
      </w:r>
      <w:r>
        <w:rPr>
          <w:rFonts w:ascii="Consolas" w:cs="Consolas" w:eastAsia="Consolas" w:hAnsi="Consolas"/>
          <w:color w:val="8B1A1A"/>
          <w:sz w:val="20"/>
          <w:szCs w:val="20"/>
        </w:rPr>
        <w:t xml:space="preserve">confidence</w:t>
      </w:r>
      <w:r>
        <w:t xml:space="preserve">. Le titre est découpé en deux lignes, comme sur la couverture : le modèle suit la mise en page visuelle, pas le sens. La confiance est donnée par mot, pas par ligne.</w:t>
      </w:r>
    </w:p>
    <w:p>
      <w:pPr>
        <w:spacing w:after="60" w:before="120"/>
      </w:pPr>
      <w:r>
        <w:rPr>
          <w:b/>
          <w:bCs/>
          <w:color w:val="1F4E79"/>
        </w:rPr>
        <w:t xml:space="preserve">3. Azure donne-t-il la position du texte ?</w:t>
      </w:r>
    </w:p>
    <w:p>
      <w:pPr>
        <w:spacing w:after="120"/>
      </w:pPr>
      <w:r>
        <w:t xml:space="preserve">Oui. Chaque ligne et chaque mot ont un </w:t>
      </w:r>
      <w:r>
        <w:rPr>
          <w:rFonts w:ascii="Consolas" w:cs="Consolas" w:eastAsia="Consolas" w:hAnsi="Consolas"/>
          <w:color w:val="8B1A1A"/>
          <w:sz w:val="20"/>
          <w:szCs w:val="20"/>
        </w:rPr>
        <w:t xml:space="preserve">boundingPolygon</w:t>
      </w:r>
      <w:r>
        <w:t xml:space="preserve"> de 4 points (x, y) en pixels, relatifs à l'image (302 × 500 pixels d'après </w:t>
      </w:r>
      <w:r>
        <w:rPr>
          <w:rFonts w:ascii="Consolas" w:cs="Consolas" w:eastAsia="Consolas" w:hAnsi="Consolas"/>
          <w:color w:val="8B1A1A"/>
          <w:sz w:val="20"/>
          <w:szCs w:val="20"/>
        </w:rPr>
        <w:t xml:space="preserve">metadata</w:t>
      </w:r>
      <w:r>
        <w:t xml:space="preserve">), avec l'origine en haut à gauche. Exemple : « OUSMANE » se situe entre x = 75 et 224, y = 19 et 52.</w:t>
      </w:r>
    </w:p>
    <w:p>
      <w:pPr>
        <w:spacing w:after="120"/>
      </w:pPr>
      <w:r>
        <w:t xml:space="preserve">Un polygone plutôt qu'un rectangle permet de décrire du texte incliné ou pivoté. Exemple : « POCKET » est écrit verticalement le long du bord gauche (zone de 18 pixels de large pour 67 de haut) et a quand même été lu, avec une confiance de 0.994.</w:t>
      </w:r>
    </w:p>
    <w:p>
      <w:pPr>
        <w:spacing w:after="60" w:before="120"/>
      </w:pPr>
      <w:r>
        <w:rPr>
          <w:b/>
          <w:bCs/>
          <w:color w:val="1F4E79"/>
        </w:rPr>
        <w:t xml:space="preserve">4. Tout le texte a-t-il été correctement reconnu ?</w:t>
      </w:r>
    </w:p>
    <w:p>
      <w:pPr>
        <w:spacing w:after="120"/>
      </w:pPr>
      <w:r>
        <w:t xml:space="preserve">Oui, les cinq éléments ont été reconnus sans erreur, avec des confiances entre 0.992 et 0.998, malgré des polices de tailles différentes, un fond texturé et un texte vertical.</w:t>
      </w:r>
    </w:p>
    <w:p>
      <w:pPr>
        <w:pStyle w:val="Heading1"/>
      </w:pPr>
      <w:r>
        <w:t xml:space="preserve">5. Partie VII : Combiner plusieurs features</w:t>
      </w:r>
    </w:p>
    <w:p>
      <w:pPr>
        <w:spacing w:after="120"/>
      </w:pPr>
      <w:r>
        <w:rPr>
          <w:b/>
          <w:bCs/>
        </w:rPr>
        <w:t xml:space="preserve">Problème rencontré</w:t>
      </w:r>
      <w:r>
        <w:t xml:space="preserve"> : avec </w:t>
      </w:r>
      <w:r>
        <w:rPr>
          <w:rFonts w:ascii="Consolas" w:cs="Consolas" w:eastAsia="Consolas" w:hAnsi="Consolas"/>
          <w:color w:val="8B1A1A"/>
          <w:sz w:val="20"/>
          <w:szCs w:val="20"/>
        </w:rPr>
        <w:t xml:space="preserve">features=tags,caption</w:t>
      </w:r>
      <w:r>
        <w:t xml:space="preserve">, erreur 400 « The feature 'Caption' is not supported in this region ». La caption en version 4.0 n'est disponible que dans certaines régions (East US, France Central, West Europe, North Europe…), et aucune des cinq régions autorisées par mon abonnement ne la supporte.</w:t>
      </w:r>
    </w:p>
    <w:p>
      <w:pPr>
        <w:spacing w:after="120"/>
      </w:pPr>
      <w:r>
        <w:rPr>
          <w:b/>
          <w:bCs/>
        </w:rPr>
        <w:t xml:space="preserve">Solution</w:t>
      </w:r>
      <w:r>
        <w:t xml:space="preserve"> : utiliser l'API Image Analysis </w:t>
      </w:r>
      <w:r>
        <w:rPr>
          <w:b/>
          <w:bCs/>
        </w:rPr>
        <w:t xml:space="preserve">3.2</w:t>
      </w:r>
      <w:r>
        <w:t xml:space="preserve">, dont la fonctionnalité Description (caption) est disponible dans toutes les régions :</w:t>
      </w:r>
    </w:p>
    <w:p>
      <w:pPr>
        <w:shd w:fill="F2F2F2" w:color="auto" w:val="clear"/>
        <w:spacing w:after="160"/>
      </w:pPr>
      <w:r>
        <w:rPr>
          <w:rFonts w:ascii="Consolas" w:cs="Consolas" w:eastAsia="Consolas" w:hAnsi="Consolas"/>
          <w:sz w:val="18"/>
          <w:szCs w:val="18"/>
        </w:rPr>
        <w:t xml:space="preserve">ENDPOINT/vision/v3.2/analyze?visualFeatures=Tags,Description</w:t>
      </w:r>
    </w:p>
    <w:p>
      <w:pPr>
        <w:spacing w:after="60" w:before="120"/>
      </w:pPr>
      <w:r>
        <w:rPr>
          <w:b/>
          <w:bCs/>
          <w:color w:val="1F4E79"/>
        </w:rPr>
        <w:t xml:space="preserve">1. Différence entre un tag et une caption ?</w:t>
      </w:r>
    </w:p>
    <w:p>
      <w:pPr>
        <w:spacing w:after="120"/>
      </w:pPr>
      <w:r>
        <w:t xml:space="preserve">Un tag est un mot-clé isolé désignant un élément détecté, avec un score de confiance. Une caption est une phrase complète en langage naturel, générée par le modèle, qui décrit l'image dans son ensemble.</w:t>
      </w:r>
    </w:p>
    <w:p>
      <w:pPr>
        <w:spacing w:after="60" w:before="120"/>
      </w:pPr>
      <w:r>
        <w:rPr>
          <w:b/>
          <w:bCs/>
          <w:color w:val="1F4E79"/>
        </w:rPr>
        <w:t xml:space="preserve">2. Combien de tags ont été retournés ?</w:t>
      </w:r>
    </w:p>
    <w:p>
      <w:pPr>
        <w:spacing w:after="120"/>
      </w:pPr>
      <w:r>
        <w:t xml:space="preserve">7 tags, exactement les mêmes et avec les mêmes scores qu'en partie V avec l'API 4.0.</w:t>
      </w:r>
    </w:p>
    <w:p>
      <w:pPr>
        <w:spacing w:after="60" w:before="120"/>
      </w:pPr>
      <w:r>
        <w:rPr>
          <w:b/>
          <w:bCs/>
          <w:color w:val="1F4E79"/>
        </w:rPr>
        <w:t xml:space="preserve">3. Quelle caption a été générée ?</w:t>
      </w:r>
    </w:p>
    <w:p>
      <w:pPr>
        <w:spacing w:after="120"/>
      </w:pPr>
      <w:r>
        <w:t xml:space="preserve">« a plate of food » (une assiette de nourriture).</w:t>
      </w:r>
    </w:p>
    <w:p>
      <w:pPr>
        <w:spacing w:after="60" w:before="120"/>
      </w:pPr>
      <w:r>
        <w:rPr>
          <w:b/>
          <w:bCs/>
          <w:color w:val="1F4E79"/>
        </w:rPr>
        <w:t xml:space="preserve">4. Quelle confiance est associée à la caption ?</w:t>
      </w:r>
    </w:p>
    <w:p>
      <w:pPr>
        <w:spacing w:after="120"/>
      </w:pPr>
      <w:r>
        <w:t xml:space="preserve">Environ 0.35 (35 %), bien plus faible que celle des principaux tags.</w:t>
      </w:r>
    </w:p>
    <w:p>
      <w:pPr>
        <w:spacing w:after="60" w:before="120"/>
      </w:pPr>
      <w:r>
        <w:rPr>
          <w:b/>
          <w:bCs/>
          <w:color w:val="1F4E79"/>
        </w:rPr>
        <w:t xml:space="preserve">5. La description est-elle correcte ?</w:t>
      </w:r>
    </w:p>
    <w:p>
      <w:pPr>
        <w:spacing w:after="120"/>
      </w:pPr>
      <w:r>
        <w:t xml:space="preserve">Correcte mais très générique : c'est bien de la nourriture, mais ce n'est pas une assiette, c'est un tajine dans un plat en terre cuite avec son couvercle. La faible confiance montre que le modèle est lui-même peu sûr. Le modèle de l'API 3.2 (version 2021-05-01) est plus ancien et moins performant que le modèle Florence de l'API 4.0, indisponible dans ma région.</w:t>
      </w:r>
    </w:p>
    <w:p>
      <w:pPr>
        <w:pStyle w:val="Heading1"/>
      </w:pPr>
      <w:r>
        <w:t xml:space="preserve">6. Parties VIII et IX : Déployer et appeler un LLM</w:t>
      </w:r>
    </w:p>
    <w:p>
      <w:pPr>
        <w:spacing w:after="120"/>
      </w:pPr>
      <w:r>
        <w:rPr>
          <w:b/>
          <w:bCs/>
        </w:rPr>
        <w:t xml:space="preserve">Problèmes rencontrés lors du déploiement</w:t>
      </w:r>
      <w:r>
        <w:t xml:space="preserve"> :</w:t>
      </w:r>
    </w:p>
    <w:p>
      <w:pPr>
        <w:pStyle w:val="ListParagraph"/>
        <w:numPr>
          <w:ilvl w:val="0"/>
          <w:numId w:val="2"/>
        </w:numPr>
        <w:spacing w:after="60"/>
      </w:pPr>
      <w:r>
        <w:rPr>
          <w:rFonts w:ascii="Consolas" w:cs="Consolas" w:eastAsia="Consolas" w:hAnsi="Consolas"/>
          <w:color w:val="8B1A1A"/>
          <w:sz w:val="20"/>
          <w:szCs w:val="20"/>
        </w:rPr>
        <w:t xml:space="preserve">gpt-5.4-nano</w:t>
      </w:r>
      <w:r>
        <w:t xml:space="preserve"> : « Quota insuffisant » en Global Standard. Les abonnements étudiants ont des quotas très limités, souvent à 0 pour les modèles récents.</w:t>
      </w:r>
    </w:p>
    <w:p>
      <w:pPr>
        <w:pStyle w:val="ListParagraph"/>
        <w:numPr>
          <w:ilvl w:val="0"/>
          <w:numId w:val="2"/>
        </w:numPr>
        <w:spacing w:after="60"/>
      </w:pPr>
      <w:r>
        <w:rPr>
          <w:rFonts w:ascii="Consolas" w:cs="Consolas" w:eastAsia="Consolas" w:hAnsi="Consolas"/>
          <w:color w:val="8B1A1A"/>
          <w:sz w:val="20"/>
          <w:szCs w:val="20"/>
        </w:rPr>
        <w:t xml:space="preserve">gpt-4o-mini</w:t>
      </w:r>
      <w:r>
        <w:t xml:space="preserve"> : déploiement refusé car le modèle est </w:t>
      </w:r>
      <w:r>
        <w:rPr>
          <w:b/>
          <w:bCs/>
        </w:rPr>
        <w:t xml:space="preserve">déprécié</w:t>
      </w:r>
      <w:r>
        <w:t xml:space="preserve"> depuis le 31/03/2026. Les modèles ont un cycle de vie, les applications doivent migrer vers des versions plus récentes.</w:t>
      </w:r>
    </w:p>
    <w:p>
      <w:pPr>
        <w:pStyle w:val="ListParagraph"/>
        <w:numPr>
          <w:ilvl w:val="0"/>
          <w:numId w:val="2"/>
        </w:numPr>
        <w:spacing w:after="60"/>
      </w:pPr>
      <w:r>
        <w:rPr>
          <w:b/>
          <w:bCs/>
        </w:rPr>
        <w:t xml:space="preserve">Solution</w:t>
      </w:r>
      <w:r>
        <w:t xml:space="preserve"> : </w:t>
      </w:r>
      <w:r>
        <w:rPr>
          <w:rFonts w:ascii="Consolas" w:cs="Consolas" w:eastAsia="Consolas" w:hAnsi="Consolas"/>
          <w:color w:val="8B1A1A"/>
          <w:sz w:val="20"/>
          <w:szCs w:val="20"/>
        </w:rPr>
        <w:t xml:space="preserve">gpt-5-mini</w:t>
      </w:r>
      <w:r>
        <w:t xml:space="preserve">, déployé en Global Standard avec le garde-fou (filtre de contenu) par défaut.</w:t>
      </w:r>
    </w:p>
    <w:p>
      <w:pPr>
        <w:spacing w:after="120"/>
      </w:pPr>
      <w:r>
        <w:rPr>
          <w:b/>
          <w:bCs/>
        </w:rPr>
        <w:t xml:space="preserve">Appel Postman</w:t>
      </w:r>
      <w:r>
        <w:t xml:space="preserve"> : POST, clé en </w:t>
      </w:r>
      <w:r>
        <w:rPr>
          <w:b/>
          <w:bCs/>
        </w:rPr>
        <w:t xml:space="preserve">Authorization &gt; Bearer Token</w:t>
      </w:r>
      <w:r>
        <w:t xml:space="preserve">, header </w:t>
      </w:r>
      <w:r>
        <w:rPr>
          <w:rFonts w:ascii="Consolas" w:cs="Consolas" w:eastAsia="Consolas" w:hAnsi="Consolas"/>
          <w:color w:val="8B1A1A"/>
          <w:sz w:val="20"/>
          <w:szCs w:val="20"/>
        </w:rPr>
        <w:t xml:space="preserve">Content-Type: application/json</w:t>
      </w:r>
      <w:r>
        <w:t xml:space="preserve">. L'endpoint affiché par Foundry pointait vers la </w:t>
      </w:r>
      <w:r>
        <w:rPr>
          <w:b/>
          <w:bCs/>
        </w:rPr>
        <w:t xml:space="preserve">Responses API</w:t>
      </w:r>
      <w:r>
        <w:t xml:space="preserve"> (</w:t>
      </w:r>
      <w:r>
        <w:rPr>
          <w:rFonts w:ascii="Consolas" w:cs="Consolas" w:eastAsia="Consolas" w:hAnsi="Consolas"/>
          <w:color w:val="8B1A1A"/>
          <w:sz w:val="20"/>
          <w:szCs w:val="20"/>
        </w:rPr>
        <w:t xml:space="preserve">/responses</w:t>
      </w:r>
      <w:r>
        <w:t xml:space="preserve">), qui attend un champ </w:t>
      </w:r>
      <w:r>
        <w:rPr>
          <w:rFonts w:ascii="Consolas" w:cs="Consolas" w:eastAsia="Consolas" w:hAnsi="Consolas"/>
          <w:color w:val="8B1A1A"/>
          <w:sz w:val="20"/>
          <w:szCs w:val="20"/>
        </w:rPr>
        <w:t xml:space="preserve">input</w:t>
      </w:r>
      <w:r>
        <w:t xml:space="preserve"> au lieu de </w:t>
      </w:r>
      <w:r>
        <w:rPr>
          <w:rFonts w:ascii="Consolas" w:cs="Consolas" w:eastAsia="Consolas" w:hAnsi="Consolas"/>
          <w:color w:val="8B1A1A"/>
          <w:sz w:val="20"/>
          <w:szCs w:val="20"/>
        </w:rPr>
        <w:t xml:space="preserve">messages</w:t>
      </w:r>
      <w:r>
        <w:t xml:space="preserve">. J'ai donc utilisé l'endpoint </w:t>
      </w:r>
      <w:r>
        <w:rPr>
          <w:b/>
          <w:bCs/>
        </w:rPr>
        <w:t xml:space="preserve">Chat Completions</w:t>
      </w:r>
      <w:r>
        <w:t xml:space="preserve"> :</w:t>
      </w:r>
    </w:p>
    <w:p>
      <w:pPr>
        <w:shd w:fill="F2F2F2" w:color="auto" w:val="clear"/>
        <w:spacing w:after="160"/>
      </w:pPr>
      <w:r>
        <w:rPr>
          <w:rFonts w:ascii="Consolas" w:cs="Consolas" w:eastAsia="Consolas" w:hAnsi="Consolas"/>
          <w:sz w:val="18"/>
          <w:szCs w:val="18"/>
        </w:rPr>
        <w:t xml:space="preserve">https://foundry-jonathan-tp2.services.ai.azure.com/openai/v1/chat/completions</w:t>
      </w:r>
    </w:p>
    <w:p>
      <w:pPr>
        <w:spacing w:after="60" w:before="120"/>
      </w:pPr>
      <w:r>
        <w:rPr>
          <w:b/>
          <w:bCs/>
          <w:color w:val="1F4E79"/>
        </w:rPr>
        <w:t xml:space="preserve">1. Où se trouve le texte généré ?</w:t>
      </w:r>
    </w:p>
    <w:p>
      <w:pPr>
        <w:spacing w:after="120"/>
      </w:pPr>
      <w:r>
        <w:t xml:space="preserve">Dans </w:t>
      </w:r>
      <w:r>
        <w:rPr>
          <w:rFonts w:ascii="Consolas" w:cs="Consolas" w:eastAsia="Consolas" w:hAnsi="Consolas"/>
          <w:color w:val="8B1A1A"/>
          <w:sz w:val="20"/>
          <w:szCs w:val="20"/>
        </w:rPr>
        <w:t xml:space="preserve">choices[0].message.content</w:t>
      </w:r>
      <w:r>
        <w:t xml:space="preserve">. Le message a aussi un </w:t>
      </w:r>
      <w:r>
        <w:rPr>
          <w:rFonts w:ascii="Consolas" w:cs="Consolas" w:eastAsia="Consolas" w:hAnsi="Consolas"/>
          <w:color w:val="8B1A1A"/>
          <w:sz w:val="20"/>
          <w:szCs w:val="20"/>
        </w:rPr>
        <w:t xml:space="preserve">role</w:t>
      </w:r>
      <w:r>
        <w:t xml:space="preserve"> égal à </w:t>
      </w:r>
      <w:r>
        <w:rPr>
          <w:rFonts w:ascii="Consolas" w:cs="Consolas" w:eastAsia="Consolas" w:hAnsi="Consolas"/>
          <w:color w:val="8B1A1A"/>
          <w:sz w:val="20"/>
          <w:szCs w:val="20"/>
        </w:rPr>
        <w:t xml:space="preserve">assistant</w:t>
      </w:r>
      <w:r>
        <w:t xml:space="preserve"> et un champ </w:t>
      </w:r>
      <w:r>
        <w:rPr>
          <w:rFonts w:ascii="Consolas" w:cs="Consolas" w:eastAsia="Consolas" w:hAnsi="Consolas"/>
          <w:color w:val="8B1A1A"/>
          <w:sz w:val="20"/>
          <w:szCs w:val="20"/>
        </w:rPr>
        <w:t xml:space="preserve">refusal</w:t>
      </w:r>
      <w:r>
        <w:t xml:space="preserve"> à </w:t>
      </w:r>
      <w:r>
        <w:rPr>
          <w:rFonts w:ascii="Consolas" w:cs="Consolas" w:eastAsia="Consolas" w:hAnsi="Consolas"/>
          <w:color w:val="8B1A1A"/>
          <w:sz w:val="20"/>
          <w:szCs w:val="20"/>
        </w:rPr>
        <w:t xml:space="preserve">null</w:t>
      </w:r>
      <w:r>
        <w:t xml:space="preserve"> (le modèle n'a pas refusé de répondre).</w:t>
      </w:r>
    </w:p>
    <w:p>
      <w:pPr>
        <w:spacing w:after="60" w:before="120"/>
      </w:pPr>
      <w:r>
        <w:rPr>
          <w:b/>
          <w:bCs/>
          <w:color w:val="1F4E79"/>
        </w:rPr>
        <w:t xml:space="preserve">2. Quelles autres informations sont retournées ?</w:t>
      </w:r>
    </w:p>
    <w:p>
      <w:pPr>
        <w:spacing w:after="120"/>
      </w:pPr>
      <w:r>
        <w:t xml:space="preserve">Métadonnées : </w:t>
      </w:r>
      <w:r>
        <w:rPr>
          <w:rFonts w:ascii="Consolas" w:cs="Consolas" w:eastAsia="Consolas" w:hAnsi="Consolas"/>
          <w:color w:val="8B1A1A"/>
          <w:sz w:val="20"/>
          <w:szCs w:val="20"/>
        </w:rPr>
        <w:t xml:space="preserve">id</w:t>
      </w:r>
      <w:r>
        <w:t xml:space="preserve"> de la réponse, </w:t>
      </w:r>
      <w:r>
        <w:rPr>
          <w:rFonts w:ascii="Consolas" w:cs="Consolas" w:eastAsia="Consolas" w:hAnsi="Consolas"/>
          <w:color w:val="8B1A1A"/>
          <w:sz w:val="20"/>
          <w:szCs w:val="20"/>
        </w:rPr>
        <w:t xml:space="preserve">created</w:t>
      </w:r>
      <w:r>
        <w:t xml:space="preserve"> (horodatage Unix), </w:t>
      </w:r>
      <w:r>
        <w:rPr>
          <w:rFonts w:ascii="Consolas" w:cs="Consolas" w:eastAsia="Consolas" w:hAnsi="Consolas"/>
          <w:color w:val="8B1A1A"/>
          <w:sz w:val="20"/>
          <w:szCs w:val="20"/>
        </w:rPr>
        <w:t xml:space="preserve">model</w:t>
      </w:r>
      <w:r>
        <w:t xml:space="preserve"> (version exacte : gpt-5-mini-2025-08-07), </w:t>
      </w:r>
      <w:r>
        <w:rPr>
          <w:rFonts w:ascii="Consolas" w:cs="Consolas" w:eastAsia="Consolas" w:hAnsi="Consolas"/>
          <w:color w:val="8B1A1A"/>
          <w:sz w:val="20"/>
          <w:szCs w:val="20"/>
        </w:rPr>
        <w:t xml:space="preserve">object</w:t>
      </w:r>
      <w:r>
        <w:t xml:space="preserve"> (chat.completion).</w:t>
      </w:r>
    </w:p>
    <w:p>
      <w:pPr>
        <w:spacing w:after="120"/>
      </w:pPr>
      <w:r>
        <w:rPr>
          <w:rFonts w:ascii="Consolas" w:cs="Consolas" w:eastAsia="Consolas" w:hAnsi="Consolas"/>
          <w:color w:val="8B1A1A"/>
          <w:sz w:val="20"/>
          <w:szCs w:val="20"/>
        </w:rPr>
        <w:t xml:space="preserve">finish_reason: "stop"</w:t>
      </w:r>
      <w:r>
        <w:t xml:space="preserve"> : le modèle a terminé naturellement (on aurait </w:t>
      </w:r>
      <w:r>
        <w:rPr>
          <w:rFonts w:ascii="Consolas" w:cs="Consolas" w:eastAsia="Consolas" w:hAnsi="Consolas"/>
          <w:color w:val="8B1A1A"/>
          <w:sz w:val="20"/>
          <w:szCs w:val="20"/>
        </w:rPr>
        <w:t xml:space="preserve">length</w:t>
      </w:r>
      <w:r>
        <w:t xml:space="preserve"> s'il avait été coupé par la limite de tokens).</w:t>
      </w:r>
    </w:p>
    <w:p>
      <w:pPr>
        <w:spacing w:after="120"/>
      </w:pPr>
      <w:r>
        <w:t xml:space="preserve">Filtres de contenu : </w:t>
      </w:r>
      <w:r>
        <w:rPr>
          <w:rFonts w:ascii="Consolas" w:cs="Consolas" w:eastAsia="Consolas" w:hAnsi="Consolas"/>
          <w:color w:val="8B1A1A"/>
          <w:sz w:val="20"/>
          <w:szCs w:val="20"/>
        </w:rPr>
        <w:t xml:space="preserve">prompt_filter_results</w:t>
      </w:r>
      <w:r>
        <w:t xml:space="preserve"> pour la question (haine, violence, sexuel, automutilation, jailbreak) et </w:t>
      </w:r>
      <w:r>
        <w:rPr>
          <w:rFonts w:ascii="Consolas" w:cs="Consolas" w:eastAsia="Consolas" w:hAnsi="Consolas"/>
          <w:color w:val="8B1A1A"/>
          <w:sz w:val="20"/>
          <w:szCs w:val="20"/>
        </w:rPr>
        <w:t xml:space="preserve">content_filter_results</w:t>
      </w:r>
      <w:r>
        <w:t xml:space="preserve"> pour la réponse (plus la détection de contenu protégé). Tout était « safe ».</w:t>
      </w:r>
    </w:p>
    <w:p>
      <w:pPr>
        <w:spacing w:after="120"/>
      </w:pPr>
      <w:r>
        <w:t xml:space="preserve">Mesures de latence : environ 4,3 s pour la réponse complète et 0,5 s avant le premier token.</w:t>
      </w:r>
    </w:p>
    <w:p>
      <w:pPr>
        <w:spacing w:after="60" w:before="120"/>
      </w:pPr>
      <w:r>
        <w:rPr>
          <w:b/>
          <w:bCs/>
          <w:color w:val="1F4E79"/>
        </w:rPr>
        <w:t xml:space="preserve">3. Trouve-t-on le nombre de tokens utilisés ?</w:t>
      </w:r>
    </w:p>
    <w:p>
      <w:pPr>
        <w:spacing w:after="120"/>
      </w:pPr>
      <w:r>
        <w:t xml:space="preserve">Oui, dans </w:t>
      </w:r>
      <w:r>
        <w:rPr>
          <w:rFonts w:ascii="Consolas" w:cs="Consolas" w:eastAsia="Consolas" w:hAnsi="Consolas"/>
          <w:color w:val="8B1A1A"/>
          <w:sz w:val="20"/>
          <w:szCs w:val="20"/>
        </w:rPr>
        <w:t xml:space="preserve">usage</w:t>
      </w:r>
      <w:r>
        <w:t xml:space="preserve"> : </w:t>
      </w:r>
      <w:r>
        <w:rPr>
          <w:rFonts w:ascii="Consolas" w:cs="Consolas" w:eastAsia="Consolas" w:hAnsi="Consolas"/>
          <w:color w:val="8B1A1A"/>
          <w:sz w:val="20"/>
          <w:szCs w:val="20"/>
        </w:rPr>
        <w:t xml:space="preserve">prompt_tokens</w:t>
      </w:r>
      <w:r>
        <w:t xml:space="preserve"> = 13, </w:t>
      </w:r>
      <w:r>
        <w:rPr>
          <w:rFonts w:ascii="Consolas" w:cs="Consolas" w:eastAsia="Consolas" w:hAnsi="Consolas"/>
          <w:color w:val="8B1A1A"/>
          <w:sz w:val="20"/>
          <w:szCs w:val="20"/>
        </w:rPr>
        <w:t xml:space="preserve">completion_tokens</w:t>
      </w:r>
      <w:r>
        <w:t xml:space="preserve"> = 316, </w:t>
      </w:r>
      <w:r>
        <w:rPr>
          <w:rFonts w:ascii="Consolas" w:cs="Consolas" w:eastAsia="Consolas" w:hAnsi="Consolas"/>
          <w:color w:val="8B1A1A"/>
          <w:sz w:val="20"/>
          <w:szCs w:val="20"/>
        </w:rPr>
        <w:t xml:space="preserve">total_tokens</w:t>
      </w:r>
      <w:r>
        <w:t xml:space="preserve"> = 329.</w:t>
      </w:r>
    </w:p>
    <w:p>
      <w:pPr>
        <w:spacing w:after="120"/>
      </w:pPr>
      <w:r>
        <w:t xml:space="preserve">Détail important : </w:t>
      </w:r>
      <w:r>
        <w:rPr>
          <w:rFonts w:ascii="Consolas" w:cs="Consolas" w:eastAsia="Consolas" w:hAnsi="Consolas"/>
          <w:color w:val="8B1A1A"/>
          <w:sz w:val="20"/>
          <w:szCs w:val="20"/>
        </w:rPr>
        <w:t xml:space="preserve">reasoning_tokens</w:t>
      </w:r>
      <w:r>
        <w:t xml:space="preserve"> = 192. GPT-5 mini est un modèle de raisonnement : il « réfléchit » avec des tokens invisibles dans la réponse mais comptés et facturés. Seuls environ 124 tokens correspondent au texte visible. Le paramètre </w:t>
      </w:r>
      <w:r>
        <w:rPr>
          <w:rFonts w:ascii="Consolas" w:cs="Consolas" w:eastAsia="Consolas" w:hAnsi="Consolas"/>
          <w:color w:val="8B1A1A"/>
          <w:sz w:val="20"/>
          <w:szCs w:val="20"/>
        </w:rPr>
        <w:t xml:space="preserve">reasoning_effort</w:t>
      </w:r>
      <w:r>
        <w:t xml:space="preserve"> contrôle cette réflexion. La facturation d'un LLM se fait au token.</w:t>
      </w:r>
    </w:p>
    <w:p>
      <w:pPr>
        <w:pStyle w:val="Heading1"/>
      </w:pPr>
      <w:r>
        <w:t xml:space="preserve">7. Partie X : Conversation et mémoire</w:t>
      </w:r>
    </w:p>
    <w:p>
      <w:pPr>
        <w:spacing w:after="60" w:before="120"/>
      </w:pPr>
      <w:r>
        <w:rPr>
          <w:b/>
          <w:bCs/>
          <w:color w:val="1F4E79"/>
        </w:rPr>
        <w:t xml:space="preserve">Le modèle se souvient-il de la requête précédente ? Pourquoi ?</w:t>
      </w:r>
    </w:p>
    <w:p>
      <w:pPr>
        <w:spacing w:after="120"/>
      </w:pPr>
      <w:r>
        <w:t xml:space="preserve">Non. Au premier message, le modèle a répondu « Got it, I'll remember… », mais à la requête suivante il a dit qu'il ne connaissait pas mon langage préféré.</w:t>
      </w:r>
    </w:p>
    <w:p>
      <w:pPr>
        <w:spacing w:after="120"/>
      </w:pPr>
      <w:r>
        <w:t xml:space="preserve">L'API REST est </w:t>
      </w:r>
      <w:r>
        <w:rPr>
          <w:b/>
          <w:bCs/>
        </w:rPr>
        <w:t xml:space="preserve">sans état (stateless)</w:t>
      </w:r>
      <w:r>
        <w:t xml:space="preserve"> : chaque requête HTTP est indépendante et le serveur ne garde rien entre deux appels. Le modèle ne voit que les messages présents dans la requête en cours.</w:t>
      </w:r>
    </w:p>
    <w:p>
      <w:pPr>
        <w:spacing w:after="120"/>
      </w:pPr>
      <w:r>
        <w:t xml:space="preserve">À noter : le modèle a </w:t>
      </w:r>
      <w:r>
        <w:rPr>
          <w:b/>
          <w:bCs/>
        </w:rPr>
        <w:t xml:space="preserve">affirmé</w:t>
      </w:r>
      <w:r>
        <w:t xml:space="preserve"> qu'il allait se souvenir alors qu'il en est incapable. Un LLM génère une réponse plausible sans connaître ses propres limites techniques.</w:t>
      </w:r>
    </w:p>
    <w:p>
      <w:pPr>
        <w:spacing w:after="60" w:before="120"/>
      </w:pPr>
      <w:r>
        <w:rPr>
          <w:b/>
          <w:bCs/>
          <w:color w:val="1F4E79"/>
        </w:rPr>
        <w:t xml:space="preserve">1. Différence entre les deux expériences ?</w:t>
      </w:r>
    </w:p>
    <w:p>
      <w:pPr>
        <w:spacing w:after="120"/>
      </w:pPr>
      <w:r>
        <w:t xml:space="preserve">Dans la première, les messages sont envoyés dans deux requêtes séparées : pas de contexte, pas de réponse. Dans la seconde, une seule requête contient tout l'historique (user, assistant, user) : le modèle répond « Your favorite programming language is Python ».</w:t>
      </w:r>
    </w:p>
    <w:p>
      <w:pPr>
        <w:spacing w:after="60" w:before="120"/>
      </w:pPr>
      <w:r>
        <w:rPr>
          <w:b/>
          <w:bCs/>
          <w:color w:val="1F4E79"/>
        </w:rPr>
        <w:t xml:space="preserve">2. Qui maintient l'historique ?</w:t>
      </w:r>
    </w:p>
    <w:p>
      <w:pPr>
        <w:spacing w:after="120"/>
      </w:pPr>
      <w:r>
        <w:t xml:space="preserve">L'application cliente (Postman, puis mon script Python). Elle stocke les échanges et renvoie l'historique dans le tableau </w:t>
      </w:r>
      <w:r>
        <w:rPr>
          <w:rFonts w:ascii="Consolas" w:cs="Consolas" w:eastAsia="Consolas" w:hAnsi="Consolas"/>
          <w:color w:val="8B1A1A"/>
          <w:sz w:val="20"/>
          <w:szCs w:val="20"/>
        </w:rPr>
        <w:t xml:space="preserve">messages</w:t>
      </w:r>
      <w:r>
        <w:t xml:space="preserve"> à chaque requête. Les interfaces comme ChatGPT fonctionnent de la même manière.</w:t>
      </w:r>
    </w:p>
    <w:p>
      <w:pPr>
        <w:spacing w:after="60" w:before="120"/>
      </w:pPr>
      <w:r>
        <w:rPr>
          <w:b/>
          <w:bCs/>
          <w:color w:val="1F4E79"/>
        </w:rPr>
        <w:t xml:space="preserve">3. Pourquoi renvoyer toute la conversation devient problématique ?</w:t>
      </w:r>
    </w:p>
    <w:p>
      <w:pPr>
        <w:spacing w:after="120"/>
      </w:pPr>
      <w:r>
        <w:rPr>
          <w:b/>
          <w:bCs/>
        </w:rPr>
        <w:t xml:space="preserve">Coût</w:t>
      </w:r>
      <w:r>
        <w:t xml:space="preserve"> : tout l'historique est recompté en </w:t>
      </w:r>
      <w:r>
        <w:rPr>
          <w:rFonts w:ascii="Consolas" w:cs="Consolas" w:eastAsia="Consolas" w:hAnsi="Consolas"/>
          <w:color w:val="8B1A1A"/>
          <w:sz w:val="20"/>
          <w:szCs w:val="20"/>
        </w:rPr>
        <w:t xml:space="preserve">prompt_tokens</w:t>
      </w:r>
      <w:r>
        <w:t xml:space="preserve"> à chaque requête, le coût augmente à chaque message.</w:t>
      </w:r>
    </w:p>
    <w:p>
      <w:pPr>
        <w:spacing w:after="120"/>
      </w:pPr>
      <w:r>
        <w:rPr>
          <w:b/>
          <w:bCs/>
        </w:rPr>
        <w:t xml:space="preserve">Fenêtre de contexte</w:t>
      </w:r>
      <w:r>
        <w:t xml:space="preserve"> : chaque modèle a une limite maximale de tokens ; au-delà, il faut tronquer et le modèle « oublie » le début.</w:t>
      </w:r>
    </w:p>
    <w:p>
      <w:pPr>
        <w:spacing w:after="120"/>
      </w:pPr>
      <w:r>
        <w:rPr>
          <w:b/>
          <w:bCs/>
        </w:rPr>
        <w:t xml:space="preserve">Latence</w:t>
      </w:r>
      <w:r>
        <w:t xml:space="preserve"> : une requête plus longue est plus lente à traiter.</w:t>
      </w:r>
    </w:p>
    <w:p>
      <w:pPr>
        <w:spacing w:after="120"/>
      </w:pPr>
      <w:r>
        <w:rPr>
          <w:b/>
          <w:bCs/>
        </w:rPr>
        <w:t xml:space="preserve">Qualité</w:t>
      </w:r>
      <w:r>
        <w:t xml:space="preserve"> : dans un contexte très long, le modèle peut moins bien exploiter les informations anciennes.</w:t>
      </w:r>
    </w:p>
    <w:p>
      <w:pPr>
        <w:spacing w:after="120"/>
      </w:pPr>
      <w:r>
        <w:t xml:space="preserve">Solutions : garder seulement les derniers messages, résumer l'ancien historique, ou stocker à part les informations importantes et ne réinjecter que ce qui est utile.</w:t>
      </w:r>
    </w:p>
    <w:p>
      <w:pPr>
        <w:spacing w:after="120"/>
      </w:pPr>
      <w:r>
        <w:rPr>
          <w:b/>
          <w:bCs/>
        </w:rPr>
        <w:t xml:space="preserve">Ma conversation (3 messages user)</w:t>
      </w:r>
      <w:r>
        <w:t xml:space="preserve"> : « I am from Ouagadougou, Burkina Faso. » / « I am studying cybersecurity at a university in Rabat. » / « Where am I from, where do I study, and what is my field? ». Réponse : Ouagadougou, Burkina Faso ; une université à Rabat, </w:t>
      </w:r>
      <w:r>
        <w:rPr>
          <w:b/>
          <w:bCs/>
        </w:rPr>
        <w:t xml:space="preserve">Morocco</w:t>
      </w:r>
      <w:r>
        <w:t xml:space="preserve"> ; cybersécurité. Le modèle a ajouté « Morocco » de lui-même : il combine le contexte fourni et ses connaissances générales.</w:t>
      </w:r>
    </w:p>
    <w:p>
      <w:pPr>
        <w:pStyle w:val="Heading1"/>
      </w:pPr>
      <w:r>
        <w:t xml:space="preserve">8. Partie XI : Code Python</w:t>
      </w:r>
    </w:p>
    <w:p>
      <w:pPr>
        <w:spacing w:after="120"/>
      </w:pPr>
      <w:r>
        <w:t xml:space="preserve">Deux scripts utilisant la bibliothèque </w:t>
      </w:r>
      <w:r>
        <w:rPr>
          <w:rFonts w:ascii="Consolas" w:cs="Consolas" w:eastAsia="Consolas" w:hAnsi="Consolas"/>
          <w:color w:val="8B1A1A"/>
          <w:sz w:val="20"/>
          <w:szCs w:val="20"/>
        </w:rPr>
        <w:t xml:space="preserve">requests</w:t>
      </w:r>
      <w:r>
        <w:t xml:space="preserve"> :</w:t>
      </w:r>
    </w:p>
    <w:p>
      <w:pPr>
        <w:pStyle w:val="ListParagraph"/>
        <w:numPr>
          <w:ilvl w:val="0"/>
          <w:numId w:val="2"/>
        </w:numPr>
        <w:spacing w:after="60"/>
      </w:pPr>
      <w:r>
        <w:rPr>
          <w:rFonts w:ascii="Consolas" w:cs="Consolas" w:eastAsia="Consolas" w:hAnsi="Consolas"/>
          <w:color w:val="8B1A1A"/>
          <w:sz w:val="20"/>
          <w:szCs w:val="20"/>
        </w:rPr>
        <w:t xml:space="preserve">vision.py</w:t>
      </w:r>
      <w:r>
        <w:t xml:space="preserve"> : trois modes, </w:t>
      </w:r>
      <w:r>
        <w:rPr>
          <w:rFonts w:ascii="Consolas" w:cs="Consolas" w:eastAsia="Consolas" w:hAnsi="Consolas"/>
          <w:color w:val="8B1A1A"/>
          <w:sz w:val="20"/>
          <w:szCs w:val="20"/>
        </w:rPr>
        <w:t xml:space="preserve">tags</w:t>
      </w:r>
      <w:r>
        <w:t xml:space="preserve"> (API 4.0), </w:t>
      </w:r>
      <w:r>
        <w:rPr>
          <w:rFonts w:ascii="Consolas" w:cs="Consolas" w:eastAsia="Consolas" w:hAnsi="Consolas"/>
          <w:color w:val="8B1A1A"/>
          <w:sz w:val="20"/>
          <w:szCs w:val="20"/>
        </w:rPr>
        <w:t xml:space="preserve">ocr</w:t>
      </w:r>
      <w:r>
        <w:t xml:space="preserve"> (API 4.0, </w:t>
      </w:r>
      <w:r>
        <w:rPr>
          <w:rFonts w:ascii="Consolas" w:cs="Consolas" w:eastAsia="Consolas" w:hAnsi="Consolas"/>
          <w:color w:val="8B1A1A"/>
          <w:sz w:val="20"/>
          <w:szCs w:val="20"/>
        </w:rPr>
        <w:t xml:space="preserve">features=read</w:t>
      </w:r>
      <w:r>
        <w:t xml:space="preserve">) et </w:t>
      </w:r>
      <w:r>
        <w:rPr>
          <w:rFonts w:ascii="Consolas" w:cs="Consolas" w:eastAsia="Consolas" w:hAnsi="Consolas"/>
          <w:color w:val="8B1A1A"/>
          <w:sz w:val="20"/>
          <w:szCs w:val="20"/>
        </w:rPr>
        <w:t xml:space="preserve">caption</w:t>
      </w:r>
      <w:r>
        <w:t xml:space="preserve"> (API 3.2).</w:t>
      </w:r>
    </w:p>
    <w:p>
      <w:pPr>
        <w:pStyle w:val="ListParagraph"/>
        <w:numPr>
          <w:ilvl w:val="0"/>
          <w:numId w:val="2"/>
        </w:numPr>
        <w:spacing w:after="60"/>
      </w:pPr>
      <w:r>
        <w:rPr>
          <w:rFonts w:ascii="Consolas" w:cs="Consolas" w:eastAsia="Consolas" w:hAnsi="Consolas"/>
          <w:color w:val="8B1A1A"/>
          <w:sz w:val="20"/>
          <w:szCs w:val="20"/>
        </w:rPr>
        <w:t xml:space="preserve">llm.py</w:t>
      </w:r>
      <w:r>
        <w:t xml:space="preserve"> : </w:t>
      </w:r>
      <w:r>
        <w:rPr>
          <w:rFonts w:ascii="Consolas" w:cs="Consolas" w:eastAsia="Consolas" w:hAnsi="Consolas"/>
          <w:color w:val="8B1A1A"/>
          <w:sz w:val="20"/>
          <w:szCs w:val="20"/>
        </w:rPr>
        <w:t xml:space="preserve">ask</w:t>
      </w:r>
      <w:r>
        <w:t xml:space="preserve"> (une question), </w:t>
      </w:r>
      <w:r>
        <w:rPr>
          <w:rFonts w:ascii="Consolas" w:cs="Consolas" w:eastAsia="Consolas" w:hAnsi="Consolas"/>
          <w:color w:val="8B1A1A"/>
          <w:sz w:val="20"/>
          <w:szCs w:val="20"/>
        </w:rPr>
        <w:t xml:space="preserve">memory</w:t>
      </w:r>
      <w:r>
        <w:t xml:space="preserve"> (rejoue les deux expériences de la partie X) et </w:t>
      </w:r>
      <w:r>
        <w:rPr>
          <w:rFonts w:ascii="Consolas" w:cs="Consolas" w:eastAsia="Consolas" w:hAnsi="Consolas"/>
          <w:color w:val="8B1A1A"/>
          <w:sz w:val="20"/>
          <w:szCs w:val="20"/>
        </w:rPr>
        <w:t xml:space="preserve">chat</w:t>
      </w:r>
      <w:r>
        <w:t xml:space="preserve"> (conversation interactive où le programme maintient l'historique et affiche les tokens à chaque tour).</w:t>
      </w:r>
    </w:p>
    <w:p>
      <w:pPr>
        <w:spacing w:after="120"/>
      </w:pPr>
      <w:r>
        <w:rPr>
          <w:b/>
          <w:bCs/>
        </w:rPr>
        <w:t xml:space="preserve">Sécurité</w:t>
      </w:r>
      <w:r>
        <w:t xml:space="preserve"> : les clés et endpoints ne sont jamais écrits dans le code. Ils sont lus depuis des variables d'environnement, ce qui permet de publier le code sans exposer de secret, comme le recommande le TP :</w:t>
      </w:r>
    </w:p>
    <w:p>
      <w:pPr>
        <w:shd w:fill="F2F2F2" w:color="auto" w:val="clear"/>
        <w:spacing w:after="0" w:before="0"/>
      </w:pPr>
      <w:r>
        <w:rPr>
          <w:rFonts w:ascii="Consolas" w:cs="Consolas" w:eastAsia="Consolas" w:hAnsi="Consolas"/>
          <w:sz w:val="18"/>
          <w:szCs w:val="18"/>
        </w:rPr>
        <w:t xml:space="preserve">$env:VISION_ENDPOINT="https://visison-jonathan-tp2.cognitiveservices.azure.com"</w:t>
      </w:r>
    </w:p>
    <w:p>
      <w:pPr>
        <w:shd w:fill="F2F2F2" w:color="auto" w:val="clear"/>
        <w:spacing w:after="0" w:before="0"/>
      </w:pPr>
      <w:r>
        <w:rPr>
          <w:rFonts w:ascii="Consolas" w:cs="Consolas" w:eastAsia="Consolas" w:hAnsi="Consolas"/>
          <w:sz w:val="18"/>
          <w:szCs w:val="18"/>
        </w:rPr>
        <w:t xml:space="preserve">$env:VISION_KEY="..."</w:t>
      </w:r>
    </w:p>
    <w:p>
      <w:pPr>
        <w:shd w:fill="F2F2F2" w:color="auto" w:val="clear"/>
        <w:spacing w:after="0" w:before="0"/>
      </w:pPr>
      <w:r>
        <w:rPr>
          <w:rFonts w:ascii="Consolas" w:cs="Consolas" w:eastAsia="Consolas" w:hAnsi="Consolas"/>
          <w:sz w:val="18"/>
          <w:szCs w:val="18"/>
        </w:rPr>
        <w:t xml:space="preserve">$env:FOUNDRY_ENDPOINT="https://foundry-jonathan-tp2.services.ai.azure.com/openai/v1/chat/completions"</w:t>
      </w:r>
    </w:p>
    <w:p>
      <w:pPr>
        <w:shd w:fill="F2F2F2" w:color="auto" w:val="clear"/>
        <w:spacing w:after="0" w:before="0"/>
      </w:pPr>
      <w:r>
        <w:rPr>
          <w:rFonts w:ascii="Consolas" w:cs="Consolas" w:eastAsia="Consolas" w:hAnsi="Consolas"/>
          <w:sz w:val="18"/>
          <w:szCs w:val="18"/>
        </w:rPr>
        <w:t xml:space="preserve">$env:FOUNDRY_KEY="..."</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python vision.py tags "URL_SAS"</w:t>
      </w:r>
    </w:p>
    <w:p>
      <w:pPr>
        <w:shd w:fill="F2F2F2" w:color="auto" w:val="clear"/>
        <w:spacing w:after="160"/>
      </w:pPr>
      <w:r>
        <w:rPr>
          <w:rFonts w:ascii="Consolas" w:cs="Consolas" w:eastAsia="Consolas" w:hAnsi="Consolas"/>
          <w:sz w:val="18"/>
          <w:szCs w:val="18"/>
        </w:rPr>
        <w:t xml:space="preserve">python llm.py chat</w:t>
      </w:r>
    </w:p>
    <w:p>
      <w:pPr>
        <w:spacing w:after="120"/>
      </w:pPr>
      <w:r>
        <w:rPr>
          <w:b/>
          <w:bCs/>
        </w:rPr>
        <w:t xml:space="preserve">Ce que montre le mode chat</w:t>
      </w:r>
      <w:r>
        <w:t xml:space="preserve"> : le </w:t>
      </w:r>
      <w:r>
        <w:rPr>
          <w:rFonts w:ascii="Consolas" w:cs="Consolas" w:eastAsia="Consolas" w:hAnsi="Consolas"/>
          <w:color w:val="8B1A1A"/>
          <w:sz w:val="20"/>
          <w:szCs w:val="20"/>
        </w:rPr>
        <w:t xml:space="preserve">prompt_tokens</w:t>
      </w:r>
      <w:r>
        <w:t xml:space="preserve"> augmente à chaque tour, car tout l'historique est renvoyé. C'est la preuve concrète de la réponse à la question 3 de la partie X.</w:t>
      </w:r>
    </w:p>
    <w:p>
      <w:pPr>
        <w:spacing w:after="120"/>
      </w:pPr>
      <w:r>
        <w:rPr>
          <w:b/>
          <w:bCs/>
        </w:rPr>
        <w:t xml:space="preserve">Principe du code</w:t>
      </w:r>
      <w:r>
        <w:t xml:space="preserve"> : on construit l'URL, les headers (clé) et le body JSON, on envoie </w:t>
      </w:r>
      <w:r>
        <w:rPr>
          <w:rFonts w:ascii="Consolas" w:cs="Consolas" w:eastAsia="Consolas" w:hAnsi="Consolas"/>
          <w:color w:val="8B1A1A"/>
          <w:sz w:val="20"/>
          <w:szCs w:val="20"/>
        </w:rPr>
        <w:t xml:space="preserve">requests.post(...)</w:t>
      </w:r>
      <w:r>
        <w:t xml:space="preserve">, on vérifie le code HTTP (en cas d'erreur, on affiche le message renvoyé par Azure), puis on lit le JSON avec </w:t>
      </w:r>
      <w:r>
        <w:rPr>
          <w:rFonts w:ascii="Consolas" w:cs="Consolas" w:eastAsia="Consolas" w:hAnsi="Consolas"/>
          <w:color w:val="8B1A1A"/>
          <w:sz w:val="20"/>
          <w:szCs w:val="20"/>
        </w:rPr>
        <w:t xml:space="preserve">response.json()</w:t>
      </w:r>
      <w:r>
        <w:t xml:space="preserve"> et on extrait les champs utiles.</w:t>
      </w:r>
    </w:p>
    <w:p>
      <w:pPr>
        <w:pStyle w:val="Heading1"/>
      </w:pPr>
      <w:r>
        <w:t xml:space="preserve">9. Récapitulatif des problèmes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Problème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Cause</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Solution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Réponse « 200 Service Operational » vide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URL limitée à l'endpoint, sans le chemin de l'API</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Ajouter </w:t>
            </w:r>
            <w:r>
              <w:rPr>
                <w:rFonts w:ascii="Consolas" w:cs="Consolas" w:eastAsia="Consolas" w:hAnsi="Consolas"/>
                <w:color w:val="8B1A1A"/>
                <w:sz w:val="20"/>
                <w:szCs w:val="20"/>
              </w:rPr>
              <w:t xml:space="preserve">/computervision/imageanalysis:analyze?...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Erreur 400 sur la caption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Caption 4.0 indisponible dans les régions autorisées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Utiliser l'API Image Analysis 3.2</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Quota insuffisant pour gpt-5.4-nano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Quotas limités de l'abonnement étudiant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Choisir un autre modèle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gpt-4o-mini refusé</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Modèle déprécié depuis mars 2026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Déployer gpt-5-mini</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Erreur « Unsupported parameter: messages »</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Endpoint de la Responses API</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Utiliser </w:t>
            </w:r>
            <w:r>
              <w:rPr>
                <w:rFonts w:ascii="Consolas" w:cs="Consolas" w:eastAsia="Consolas" w:hAnsi="Consolas"/>
                <w:color w:val="8B1A1A"/>
                <w:sz w:val="20"/>
                <w:szCs w:val="20"/>
              </w:rPr>
              <w:t xml:space="preserve">/chat/completions</w:t>
            </w:r>
          </w:p>
        </w:tc>
      </w:tr>
    </w:tbl>
    <w:p>
      <w:pPr>
        <w:pStyle w:val="Heading1"/>
      </w:pPr>
      <w:r>
        <w:t xml:space="preserve">10. Questions que le prof peut poser</w:t>
      </w:r>
    </w:p>
    <w:p>
      <w:pPr>
        <w:spacing w:after="60" w:before="120"/>
      </w:pPr>
      <w:r>
        <w:rPr>
          <w:b/>
          <w:bCs/>
          <w:color w:val="1F4E79"/>
        </w:rPr>
        <w:t xml:space="preserve">Qu'est-ce qu'un service PaaS ? Différence avec IaaS et SaaS ?</w:t>
      </w:r>
    </w:p>
    <w:p>
      <w:pPr>
        <w:spacing w:after="120"/>
      </w:pPr>
      <w:r>
        <w:t xml:space="preserve">IaaS : on loue l'infrastructure (machines virtuelles) et on gère l'OS et les logiciels. PaaS : le fournisseur gère l'infrastructure et la plateforme, on consomme directement un service (ici un modèle d'IA prêt à l'emploi via une API), sans gérer de serveur ni entraîner de modèle. SaaS : une application complète prête à l'emploi (ex. Outlook, ChatGPT).</w:t>
      </w:r>
    </w:p>
    <w:p>
      <w:pPr>
        <w:spacing w:after="60" w:before="120"/>
      </w:pPr>
      <w:r>
        <w:rPr>
          <w:b/>
          <w:bCs/>
          <w:color w:val="1F4E79"/>
        </w:rPr>
        <w:t xml:space="preserve">Qu'est-ce qu'une API REST ?</w:t>
      </w:r>
    </w:p>
    <w:p>
      <w:pPr>
        <w:spacing w:after="120"/>
      </w:pPr>
      <w:r>
        <w:t xml:space="preserve">Une interface qui permet à des applications de communiquer via HTTP avec des méthodes standard (GET, POST…), des URL qui identifient les ressources, et des données échangées en JSON. Elle est sans état : chaque requête contient tout ce dont le serveur a besoin.</w:t>
      </w:r>
    </w:p>
    <w:p>
      <w:pPr>
        <w:spacing w:after="60" w:before="120"/>
      </w:pPr>
      <w:r>
        <w:rPr>
          <w:b/>
          <w:bCs/>
          <w:color w:val="1F4E79"/>
        </w:rPr>
        <w:t xml:space="preserve">Pourquoi une requête POST et pas GET ?</w:t>
      </w:r>
    </w:p>
    <w:p>
      <w:pPr>
        <w:spacing w:after="120"/>
      </w:pPr>
      <w:r>
        <w:t xml:space="preserve">On envoie des données dans le body (l'URL de l'image, ou les messages de la conversation) et on demande un traitement. GET sert à lire une ressource, sans body.</w:t>
      </w:r>
    </w:p>
    <w:p>
      <w:pPr>
        <w:spacing w:after="60" w:before="120"/>
      </w:pPr>
      <w:r>
        <w:rPr>
          <w:b/>
          <w:bCs/>
          <w:color w:val="1F4E79"/>
        </w:rPr>
        <w:t xml:space="preserve">Différence entre la clé API et la SAS ?</w:t>
      </w:r>
    </w:p>
    <w:p>
      <w:pPr>
        <w:spacing w:after="120"/>
      </w:pPr>
      <w:r>
        <w:t xml:space="preserve">La clé API authentifie mon application auprès du service Vision ou Foundry (elle donne accès au service entier, sans expiration). La SAS donne un accès temporaire et limité (lecture seule) à un fichier précis du stockage. Les deux sont des secrets.</w:t>
      </w:r>
    </w:p>
    <w:p>
      <w:pPr>
        <w:spacing w:after="60" w:before="120"/>
      </w:pPr>
      <w:r>
        <w:rPr>
          <w:b/>
          <w:bCs/>
          <w:color w:val="1F4E79"/>
        </w:rPr>
        <w:t xml:space="preserve">Pourquoi ne jamais publier une clé API ?</w:t>
      </w:r>
    </w:p>
    <w:p>
      <w:pPr>
        <w:spacing w:after="120"/>
      </w:pPr>
      <w:r>
        <w:t xml:space="preserve">N'importe qui pourrait appeler le service à mes frais ou épuiser mon quota. Des robots scannent GitHub en permanence pour récupérer des clés publiées. En cas de fuite, il faut régénérer la clé immédiatement (d'où l'intérêt des deux clés pour la rotation).</w:t>
      </w:r>
    </w:p>
    <w:p>
      <w:pPr>
        <w:spacing w:after="60" w:before="120"/>
      </w:pPr>
      <w:r>
        <w:rPr>
          <w:b/>
          <w:bCs/>
          <w:color w:val="1F4E79"/>
        </w:rPr>
        <w:t xml:space="preserve">Quelle est la différence entre les codes 200, 400 et 401 ?</w:t>
      </w:r>
    </w:p>
    <w:p>
      <w:pPr>
        <w:spacing w:after="120"/>
      </w:pPr>
      <w:r>
        <w:t xml:space="preserve">200 : succès. 400 : requête invalide (mauvais paramètre, fonctionnalité non supportée). 401 : non authentifié (clé absente ou incorrecte). 404 : ressource ou chemin introuvable.</w:t>
      </w:r>
    </w:p>
    <w:p>
      <w:pPr>
        <w:spacing w:after="60" w:before="120"/>
      </w:pPr>
      <w:r>
        <w:rPr>
          <w:b/>
          <w:bCs/>
          <w:color w:val="1F4E79"/>
        </w:rPr>
        <w:t xml:space="preserve">Qu'est-ce qu'un token ?</w:t>
      </w:r>
    </w:p>
    <w:p>
      <w:pPr>
        <w:spacing w:after="120"/>
      </w:pPr>
      <w:r>
        <w:t xml:space="preserve">L'unité de texte traitée par un LLM, souvent un morceau de mot (environ 4 caractères en anglais). La facturation et la limite de contexte sont comptées en tokens.</w:t>
      </w:r>
    </w:p>
    <w:p>
      <w:pPr>
        <w:spacing w:after="60" w:before="120"/>
      </w:pPr>
      <w:r>
        <w:rPr>
          <w:b/>
          <w:bCs/>
          <w:color w:val="1F4E79"/>
        </w:rPr>
        <w:t xml:space="preserve">À quoi sert le filtre de contenu (garde-fou) ?</w:t>
      </w:r>
    </w:p>
    <w:p>
      <w:pPr>
        <w:spacing w:after="120"/>
      </w:pPr>
      <w:r>
        <w:t xml:space="preserve">Il analyse la question et la réponse pour bloquer les contenus dangereux (haine, violence, contenu sexuel, automutilation) et les tentatives de contournement du modèle (jailbreak). Ses résultats apparaissent dans le JSON.</w:t>
      </w:r>
    </w:p>
    <w:p>
      <w:pPr>
        <w:spacing w:after="60" w:before="120"/>
      </w:pPr>
      <w:r>
        <w:rPr>
          <w:b/>
          <w:bCs/>
          <w:color w:val="1F4E79"/>
        </w:rPr>
        <w:t xml:space="preserve">Différence entre Standard et Global Standard ?</w:t>
      </w:r>
    </w:p>
    <w:p>
      <w:pPr>
        <w:spacing w:after="120"/>
      </w:pPr>
      <w:r>
        <w:t xml:space="preserve">Standard traite les requêtes dans la région de la ressource (utile pour la résidence des données). Global Standard peut router les requêtes vers n'importe quel datacenter Microsoft disposant de capacité, ce qui offre plus de disponibilité et de quota.</w:t>
      </w:r>
    </w:p>
    <w:p>
      <w:pPr>
        <w:spacing w:after="60" w:before="120"/>
      </w:pPr>
      <w:r>
        <w:rPr>
          <w:b/>
          <w:bCs/>
          <w:color w:val="1F4E79"/>
        </w:rPr>
        <w:t xml:space="preserve">Pourquoi supprimer le Resource Group à la fin ?</w:t>
      </w:r>
    </w:p>
    <w:p>
      <w:pPr>
        <w:spacing w:after="120"/>
      </w:pPr>
      <w:r>
        <w:t xml:space="preserve">Certaines ressources consomment des crédits même inutilisées. Comme tout a été créé dans le même Resource Group, une seule suppression efface toutes les ressources d'un coup, sans risque d'en oublier.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TP2 AI PaaS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4" w:space="4"/>
      </w:pBd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2026-09-30T12:52:36.174Z</dcterms:created>
  <dcterms:modified xsi:type="dcterms:W3CDTF">2026-09-30T12:52:36.175Z</dcterms:modified>
</cp:coreProperties>
</file>

<file path=docProps/custom.xml><?xml version="1.0" encoding="utf-8"?>
<Properties xmlns="http://schemas.openxmlformats.org/officeDocument/2006/custom-properties" xmlns:vt="http://schemas.openxmlformats.org/officeDocument/2006/docPropsVTypes"/>
</file>