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sz w:val="28"/>
        </w:rPr>
        <w:t>CHAPTER TWO</w:t>
      </w:r>
    </w:p>
    <w:p>
      <w:pPr>
        <w:jc w:val="center"/>
      </w:pPr>
      <w:r>
        <w:rPr>
          <w:rFonts w:ascii="Times New Roman" w:hAnsi="Times New Roman" w:eastAsia="Times New Roman"/>
          <w:b/>
          <w:sz w:val="26"/>
        </w:rPr>
        <w:t>LITERATURE REVIEW</w:t>
      </w:r>
    </w:p>
    <w:p>
      <w:pPr>
        <w:jc w:val="left"/>
      </w:pPr>
      <w:r>
        <w:rPr>
          <w:rFonts w:ascii="Times New Roman" w:hAnsi="Times New Roman" w:eastAsia="Times New Roman"/>
          <w:b/>
          <w:sz w:val="24"/>
        </w:rPr>
        <w:t>2.1 Theoretical Review or Conceptual Review</w:t>
      </w:r>
    </w:p>
    <w:p>
      <w:pPr>
        <w:spacing w:after="80"/>
        <w:ind w:firstLine="720"/>
        <w:jc w:val="both"/>
      </w:pPr>
      <w:r>
        <w:rPr>
          <w:rFonts w:ascii="Times New Roman" w:hAnsi="Times New Roman" w:eastAsia="Times New Roman"/>
          <w:b w:val="0"/>
          <w:i w:val="0"/>
          <w:sz w:val="24"/>
        </w:rPr>
        <w:t>This chapter reviews the main concepts and existing studies that are relevant to the proposed mobile-first anti-cheat CBT platform. The purpose of this review is to show what is already known about computer-based testing, mobile learning access, online examination integrity, and practical monitoring methods, and to identify the gap this study intends to fill.</w:t>
      </w:r>
    </w:p>
    <w:p>
      <w:pPr>
        <w:jc w:val="left"/>
      </w:pPr>
      <w:r>
        <w:rPr>
          <w:rFonts w:ascii="Times New Roman" w:hAnsi="Times New Roman" w:eastAsia="Times New Roman"/>
          <w:b/>
          <w:sz w:val="24"/>
        </w:rPr>
        <w:t>2.1.1 Computer-Based Testing</w:t>
      </w:r>
    </w:p>
    <w:p>
      <w:pPr>
        <w:spacing w:after="80"/>
        <w:ind w:firstLine="720"/>
        <w:jc w:val="both"/>
      </w:pPr>
      <w:r>
        <w:rPr>
          <w:rFonts w:ascii="Times New Roman" w:hAnsi="Times New Roman" w:eastAsia="Times New Roman"/>
          <w:b w:val="0"/>
          <w:i w:val="0"/>
          <w:sz w:val="24"/>
        </w:rPr>
        <w:t>Computer-Based Testing, commonly known as CBT, is a method of conducting examinations with the use of computers or digital devices instead of paper materials. In CBT, questions are presented electronically, answers are entered through the system, and objective results can be processed automatically. This method has become more common because it improves speed, reduces manual marking stress, and makes storage of examination records easier. Adamu (2024) explained that CBT has grown in Nigeria over time and has become an important part of modern assessment practice. CBT is important in higher institutions because it can support large-scale testing, reduce paperwork, and improve examination management. However, the effectiveness of CBT does not depend only on using computers. It also depends on how well the platform is designed, how easy it is to use, and how well it supports fairness and control during examinations.</w:t>
      </w:r>
    </w:p>
    <w:p>
      <w:pPr>
        <w:jc w:val="left"/>
      </w:pPr>
      <w:r>
        <w:rPr>
          <w:rFonts w:ascii="Times New Roman" w:hAnsi="Times New Roman" w:eastAsia="Times New Roman"/>
          <w:b/>
          <w:sz w:val="24"/>
        </w:rPr>
        <w:t>2.1.2 Mobile-First System Design</w:t>
      </w:r>
    </w:p>
    <w:p>
      <w:pPr>
        <w:spacing w:after="80"/>
        <w:ind w:firstLine="720"/>
        <w:jc w:val="both"/>
      </w:pPr>
      <w:r>
        <w:rPr>
          <w:rFonts w:ascii="Times New Roman" w:hAnsi="Times New Roman" w:eastAsia="Times New Roman"/>
          <w:b w:val="0"/>
          <w:i w:val="0"/>
          <w:sz w:val="24"/>
        </w:rPr>
        <w:t>Mobile-first design means that a system is first planned for mobile devices before it is expanded for larger screens such as laptops and desktop computers. This approach is useful in environments where many users depend heavily on smartphones. In a university setting, this is important because many students use their phones more often than computers for internet access and academic activities. Cheon et al. (2012) showed that students are more likely to accept mobile learning systems when the systems are easy to use and useful to them. Han and Shin (2016) also showed that mobile learning systems can support access and academic engagement when they are properly designed. In the same way, Naveed et al. (2023) found that mobile learning has become an important area in higher education because it improves flexibility and access. These ideas support the need for a CBT platform that is designed with mobile usability in mind from the beginning.</w:t>
      </w:r>
    </w:p>
    <w:p>
      <w:pPr>
        <w:jc w:val="left"/>
      </w:pPr>
      <w:r>
        <w:rPr>
          <w:rFonts w:ascii="Times New Roman" w:hAnsi="Times New Roman" w:eastAsia="Times New Roman"/>
          <w:b/>
          <w:sz w:val="24"/>
        </w:rPr>
        <w:t>2.1.3 Academic Integrity in Online Examinations</w:t>
      </w:r>
    </w:p>
    <w:p>
      <w:pPr>
        <w:spacing w:after="80"/>
        <w:ind w:firstLine="720"/>
        <w:jc w:val="both"/>
      </w:pPr>
      <w:r>
        <w:rPr>
          <w:rFonts w:ascii="Times New Roman" w:hAnsi="Times New Roman" w:eastAsia="Times New Roman"/>
          <w:b w:val="0"/>
          <w:i w:val="0"/>
          <w:sz w:val="24"/>
        </w:rPr>
        <w:t>Academic integrity refers to honesty, fairness, and trust in academic work and assessment. In online examinations, academic integrity becomes a major concern because students are no longer always writing under the direct physical supervision found in a normal examination hall. Holden et al. (2021) described academic integrity as one of the major concerns in online assessment because of the different ways students may obtain unfair advantage during digital tests. For a CBT platform, academic integrity is important because the system must help reduce suspicious behaviour and improve confidence in the examination process. This does not mean that a web-based platform can remove cheating completely, but it should provide reasonable controls that discourage malpractice and make examination behaviour easier to monitor.</w:t>
      </w:r>
    </w:p>
    <w:p>
      <w:pPr>
        <w:jc w:val="left"/>
      </w:pPr>
      <w:r>
        <w:rPr>
          <w:rFonts w:ascii="Times New Roman" w:hAnsi="Times New Roman" w:eastAsia="Times New Roman"/>
          <w:b/>
          <w:sz w:val="24"/>
        </w:rPr>
        <w:t>2.1.4 Session Control in CBT Systems</w:t>
      </w:r>
    </w:p>
    <w:p>
      <w:pPr>
        <w:spacing w:after="80"/>
        <w:ind w:firstLine="720"/>
        <w:jc w:val="both"/>
      </w:pPr>
      <w:r>
        <w:rPr>
          <w:rFonts w:ascii="Times New Roman" w:hAnsi="Times New Roman" w:eastAsia="Times New Roman"/>
          <w:b w:val="0"/>
          <w:i w:val="0"/>
          <w:sz w:val="24"/>
        </w:rPr>
        <w:t>Session control is the ability of the examination system to manage a student's exam attempt from start to finish. It includes login verification, session start time, timing control, answer submission, pause and resume handling, and final submission. A system with good session control helps administrators know what is happening during the exam and respond when problems occur. In practical terms, session control also includes knowing whether a student is still actively taking the test, whether the test has been paused, whether warnings have been issued, and whether the session has ended normally or because of a violation. This is an important part of a secure CBT platform.</w:t>
      </w:r>
    </w:p>
    <w:p>
      <w:pPr>
        <w:jc w:val="left"/>
      </w:pPr>
      <w:r>
        <w:rPr>
          <w:rFonts w:ascii="Times New Roman" w:hAnsi="Times New Roman" w:eastAsia="Times New Roman"/>
          <w:b/>
          <w:sz w:val="24"/>
        </w:rPr>
        <w:t>2.1.5 Browser-Based Anti-Cheat Monitoring</w:t>
      </w:r>
    </w:p>
    <w:p>
      <w:pPr>
        <w:spacing w:after="80"/>
        <w:ind w:firstLine="720"/>
        <w:jc w:val="both"/>
      </w:pPr>
      <w:r>
        <w:rPr>
          <w:rFonts w:ascii="Times New Roman" w:hAnsi="Times New Roman" w:eastAsia="Times New Roman"/>
          <w:b w:val="0"/>
          <w:i w:val="0"/>
          <w:sz w:val="24"/>
        </w:rPr>
        <w:t>Browser-based anti-cheat monitoring refers to the use of web browser events and rules to detect suspicious behaviour during an examination. Such behaviour may include leaving the exam tab, exiting fullscreen mode, attempting to copy or paste, opening the right-click menu, or trying to use developer tools. These methods are practical because they can be implemented in a web-based system without requiring more expensive invigilation equipment. Griffiths (2022) discussed the need for practical methods to reduce cheating in online examinations. Chouhan (2023) also showed that maintaining integrity in online assessments requires a combination of measures rather than dependence on one single method. This supports the use of a set of lightweight browser-based controls in the proposed system.</w:t>
      </w:r>
    </w:p>
    <w:p>
      <w:pPr>
        <w:jc w:val="left"/>
      </w:pPr>
      <w:r>
        <w:rPr>
          <w:rFonts w:ascii="Times New Roman" w:hAnsi="Times New Roman" w:eastAsia="Times New Roman"/>
          <w:b/>
          <w:sz w:val="24"/>
        </w:rPr>
        <w:t>2.1.6 Question Randomization and Timed Assessment</w:t>
      </w:r>
    </w:p>
    <w:p>
      <w:pPr>
        <w:spacing w:after="80"/>
        <w:ind w:firstLine="720"/>
        <w:jc w:val="both"/>
      </w:pPr>
      <w:r>
        <w:rPr>
          <w:rFonts w:ascii="Times New Roman" w:hAnsi="Times New Roman" w:eastAsia="Times New Roman"/>
          <w:b w:val="0"/>
          <w:i w:val="0"/>
          <w:sz w:val="24"/>
        </w:rPr>
        <w:t>Question randomization means presenting questions in different order for different students. Option shuffling means that answer choices can also appear in different order. These methods help reduce direct answer sharing during objective tests. Timed assessment also plays an important role because it limits how long students can spend in the examination and reduces opportunities for outside assistance.</w:t>
      </w:r>
    </w:p>
    <w:p>
      <w:pPr>
        <w:spacing w:after="80"/>
        <w:ind w:firstLine="720"/>
        <w:jc w:val="both"/>
      </w:pPr>
      <w:r>
        <w:rPr>
          <w:rFonts w:ascii="Times New Roman" w:hAnsi="Times New Roman" w:eastAsia="Times New Roman"/>
          <w:b w:val="0"/>
          <w:i w:val="0"/>
          <w:sz w:val="24"/>
        </w:rPr>
        <w:t>Together, question randomization, time control, and warning tracking form part of a practical anti-cheat strategy in a CBT environment.</w:t>
      </w:r>
    </w:p>
    <w:p>
      <w:pPr>
        <w:jc w:val="left"/>
      </w:pPr>
      <w:r>
        <w:rPr>
          <w:rFonts w:ascii="Times New Roman" w:hAnsi="Times New Roman" w:eastAsia="Times New Roman"/>
          <w:b/>
          <w:sz w:val="24"/>
        </w:rPr>
        <w:t>2.2 Other Literature on Previous Approaches, Theories, and Techniques</w:t>
      </w:r>
    </w:p>
    <w:p>
      <w:pPr>
        <w:spacing w:after="80"/>
        <w:ind w:firstLine="720"/>
        <w:jc w:val="both"/>
      </w:pPr>
      <w:r>
        <w:rPr>
          <w:rFonts w:ascii="Times New Roman" w:hAnsi="Times New Roman" w:eastAsia="Times New Roman"/>
          <w:b w:val="0"/>
          <w:i w:val="0"/>
          <w:sz w:val="24"/>
        </w:rPr>
        <w:t>Different studies have examined CBT from different angles. Some focus on student attitude and acceptance, some focus on online academic integrity, while others focus on techniques used to reduce cheating. These previous approaches are useful in understanding the problem this study addresses.</w:t>
      </w:r>
    </w:p>
    <w:p>
      <w:pPr>
        <w:spacing w:after="80"/>
        <w:ind w:firstLine="720"/>
        <w:jc w:val="both"/>
      </w:pPr>
      <w:r>
        <w:rPr>
          <w:rFonts w:ascii="Times New Roman" w:hAnsi="Times New Roman" w:eastAsia="Times New Roman"/>
          <w:b w:val="0"/>
          <w:i w:val="0"/>
          <w:sz w:val="24"/>
        </w:rPr>
        <w:t>One important area is CBT adoption and user acceptance. Tella and Bashorun (2012) studied student attitude toward CBT and found that user acceptance is linked to how fair and reliable the system appears. Okocha (2022) also showed that student perception affects whether CBT is accepted in practice. These studies are useful because they show that a CBT platform should not only be technically functional but should also be easy to use and trusted by students.</w:t>
      </w:r>
    </w:p>
    <w:p>
      <w:pPr>
        <w:spacing w:after="80"/>
        <w:ind w:firstLine="720"/>
        <w:jc w:val="both"/>
      </w:pPr>
      <w:r>
        <w:rPr>
          <w:rFonts w:ascii="Times New Roman" w:hAnsi="Times New Roman" w:eastAsia="Times New Roman"/>
          <w:b w:val="0"/>
          <w:i w:val="0"/>
          <w:sz w:val="24"/>
        </w:rPr>
        <w:t>Another area is mobile learning theory and user readiness. Cheon et al. (2012), using ideas related to the theory of planned behavior, showed that user readiness and ease of use affect acceptance of mobile systems in higher education. This is relevant to the present study because a mobile-first CBT platform must be easy to understand and easy to use, especially on smaller screens.</w:t>
      </w:r>
    </w:p>
    <w:p>
      <w:pPr>
        <w:spacing w:after="80"/>
        <w:ind w:firstLine="720"/>
        <w:jc w:val="both"/>
      </w:pPr>
      <w:r>
        <w:rPr>
          <w:rFonts w:ascii="Times New Roman" w:hAnsi="Times New Roman" w:eastAsia="Times New Roman"/>
          <w:b w:val="0"/>
          <w:i w:val="0"/>
          <w:sz w:val="24"/>
        </w:rPr>
        <w:t>There is also literature on online proctoring and monitoring techniques. Dendir and Maxwell (2020) examined online proctoring and showed that monitoring methods can influence cheating behaviour. Griffiths (2022) discussed practical ways of reducing cheating in online proctored exams. Chouhan (2023) further explained that both proctored and unproctored online assessments require a combination of methods such as design controls, monitoring rules, and integrity-focused assessment practices. These works show that online examination security is best handled through several practical controls working together.</w:t>
      </w:r>
    </w:p>
    <w:p>
      <w:pPr>
        <w:spacing w:after="80"/>
        <w:ind w:firstLine="720"/>
        <w:jc w:val="both"/>
      </w:pPr>
      <w:r>
        <w:rPr>
          <w:rFonts w:ascii="Times New Roman" w:hAnsi="Times New Roman" w:eastAsia="Times New Roman"/>
          <w:b w:val="0"/>
          <w:i w:val="0"/>
          <w:sz w:val="24"/>
        </w:rPr>
        <w:t>Recent literature also points toward behaviour-based monitoring. Akcapinar (2025) discussed behaviour analytics in detecting cheating in online examinations. Although that study is more advanced and AI-focused, it still supports the idea that suspicious behaviour during an exam can be tracked and analyzed. The present study does not focus on advanced AI monitoring, but it does adopt the simpler idea of logging suspicious user actions and responding to them within a defined warning limit.</w:t>
      </w:r>
    </w:p>
    <w:p>
      <w:pPr>
        <w:spacing w:after="80"/>
        <w:ind w:firstLine="720"/>
        <w:jc w:val="both"/>
      </w:pPr>
      <w:r>
        <w:rPr>
          <w:rFonts w:ascii="Times New Roman" w:hAnsi="Times New Roman" w:eastAsia="Times New Roman"/>
          <w:b w:val="0"/>
          <w:i w:val="0"/>
          <w:sz w:val="24"/>
        </w:rPr>
        <w:t>From these previous approaches, it is clear that good CBT design should combine usability, mobile accessibility, and integrity controls in one platform.</w:t>
      </w:r>
    </w:p>
    <w:p>
      <w:pPr>
        <w:jc w:val="left"/>
      </w:pPr>
      <w:r>
        <w:rPr>
          <w:rFonts w:ascii="Times New Roman" w:hAnsi="Times New Roman" w:eastAsia="Times New Roman"/>
          <w:b/>
          <w:sz w:val="24"/>
        </w:rPr>
        <w:t>2.3 Review of Related Works</w:t>
      </w:r>
    </w:p>
    <w:p>
      <w:pPr>
        <w:spacing w:after="80"/>
        <w:ind w:firstLine="720"/>
        <w:jc w:val="both"/>
      </w:pPr>
      <w:r>
        <w:rPr>
          <w:rFonts w:ascii="Times New Roman" w:hAnsi="Times New Roman" w:eastAsia="Times New Roman"/>
          <w:b w:val="0"/>
          <w:i w:val="0"/>
          <w:sz w:val="24"/>
        </w:rPr>
        <w:t>Adamu (2024) reviewed the history and challenges of CBT implementation in Nigeria. The study is useful because it shows that CBT has become more important in the Nigerian educational system over time. It also highlights that implementation challenges still remain. However, the work does not focus on a mobile-first design approach or on a detailed anti-cheat platform for departmental use.</w:t>
      </w:r>
    </w:p>
    <w:p>
      <w:pPr>
        <w:spacing w:after="80"/>
        <w:ind w:firstLine="720"/>
        <w:jc w:val="both"/>
      </w:pPr>
      <w:r>
        <w:rPr>
          <w:rFonts w:ascii="Times New Roman" w:hAnsi="Times New Roman" w:eastAsia="Times New Roman"/>
          <w:b w:val="0"/>
          <w:i w:val="0"/>
          <w:sz w:val="24"/>
        </w:rPr>
        <w:t>Tella and Bashorun (2012) studied the attitude of undergraduate students toward CBT in the University of Ilorin. Their work showed that student attitude toward CBT can be positive when the platform is reliable and well managed. This study is important because it supports the need for usability and trust in digital examinations. However, it does not discuss practical browser-based anti-cheat features.</w:t>
      </w:r>
    </w:p>
    <w:p>
      <w:pPr>
        <w:spacing w:after="80"/>
        <w:ind w:firstLine="720"/>
        <w:jc w:val="both"/>
      </w:pPr>
      <w:r>
        <w:rPr>
          <w:rFonts w:ascii="Times New Roman" w:hAnsi="Times New Roman" w:eastAsia="Times New Roman"/>
          <w:b w:val="0"/>
          <w:i w:val="0"/>
          <w:sz w:val="24"/>
        </w:rPr>
        <w:t>Okocha (2022) examined student perception of CBT in Kwara State, Nigeria. The study showed that the way students view a CBT system can affect their acceptance of it. This is relevant because a difficult or confusing platform may discourage trust. However, the study gives more attention to perception than to technical implementation or examination control.</w:t>
      </w:r>
    </w:p>
    <w:p>
      <w:pPr>
        <w:spacing w:after="80"/>
        <w:ind w:firstLine="720"/>
        <w:jc w:val="both"/>
      </w:pPr>
      <w:r>
        <w:rPr>
          <w:rFonts w:ascii="Times New Roman" w:hAnsi="Times New Roman" w:eastAsia="Times New Roman"/>
          <w:b w:val="0"/>
          <w:i w:val="0"/>
          <w:sz w:val="24"/>
        </w:rPr>
        <w:t>Holden et al. (2021) reviewed academic integrity in online assessment. Their study explained the different concerns that appear in online examinations, especially when students are not under direct physical supervision. This work is important because it gives strong support for the need to think seriously about integrity in online exams. However, it is a broad review and does not present a specific CBT platform for a department-level case.</w:t>
      </w:r>
    </w:p>
    <w:p>
      <w:pPr>
        <w:spacing w:after="80"/>
        <w:ind w:firstLine="720"/>
        <w:jc w:val="both"/>
      </w:pPr>
      <w:r>
        <w:rPr>
          <w:rFonts w:ascii="Times New Roman" w:hAnsi="Times New Roman" w:eastAsia="Times New Roman"/>
          <w:b w:val="0"/>
          <w:i w:val="0"/>
          <w:sz w:val="24"/>
        </w:rPr>
        <w:t>Dendir and Maxwell (2020) studied the effect of online proctoring on cheating behaviour. Their work is useful because it supports the idea that monitoring can affect student behaviour in digital examinations. However, the study focuses more on proctoring generally and does not provide a simple department-level web system with mobile-first support.</w:t>
      </w:r>
    </w:p>
    <w:p>
      <w:pPr>
        <w:spacing w:after="80"/>
        <w:ind w:firstLine="720"/>
        <w:jc w:val="both"/>
      </w:pPr>
      <w:r>
        <w:rPr>
          <w:rFonts w:ascii="Times New Roman" w:hAnsi="Times New Roman" w:eastAsia="Times New Roman"/>
          <w:b w:val="0"/>
          <w:i w:val="0"/>
          <w:sz w:val="24"/>
        </w:rPr>
        <w:t>Griffiths (2022) discussed methods of reducing cheating in online proctored examinations. The study is helpful because it emphasizes the importance of combining practical methods to improve exam integrity. Still, it does not propose a complete mobile-first CBT system.</w:t>
      </w:r>
    </w:p>
    <w:p>
      <w:pPr>
        <w:spacing w:after="80"/>
        <w:ind w:firstLine="720"/>
        <w:jc w:val="both"/>
      </w:pPr>
      <w:r>
        <w:rPr>
          <w:rFonts w:ascii="Times New Roman" w:hAnsi="Times New Roman" w:eastAsia="Times New Roman"/>
          <w:b w:val="0"/>
          <w:i w:val="0"/>
          <w:sz w:val="24"/>
        </w:rPr>
        <w:t>Chouhan (2023) examined strategies for maintaining academic integrity in remote online assessments. The work is useful because it shows that online assessment integrity requires more than one control method. This supports the use of several features in the proposed system, such as time control, warnings, and event logging. However, the work is broader than the current study and not specifically focused on a department-level CBT product.</w:t>
      </w:r>
    </w:p>
    <w:p>
      <w:pPr>
        <w:spacing w:after="80"/>
        <w:ind w:firstLine="720"/>
        <w:jc w:val="both"/>
      </w:pPr>
      <w:r>
        <w:rPr>
          <w:rFonts w:ascii="Times New Roman" w:hAnsi="Times New Roman" w:eastAsia="Times New Roman"/>
          <w:b w:val="0"/>
          <w:i w:val="0"/>
          <w:sz w:val="24"/>
        </w:rPr>
        <w:t>Han and Shin (2016) studied the use of a mobile learning management system and the academic performance of online students. Their work supports the importance of mobile access in educational systems. Although the study is not about CBT directly, it is useful in supporting the mobile-first idea of the proposed system.</w:t>
      </w:r>
    </w:p>
    <w:p>
      <w:pPr>
        <w:spacing w:after="80"/>
        <w:ind w:firstLine="720"/>
        <w:jc w:val="both"/>
      </w:pPr>
      <w:r>
        <w:rPr>
          <w:rFonts w:ascii="Times New Roman" w:hAnsi="Times New Roman" w:eastAsia="Times New Roman"/>
          <w:b w:val="0"/>
          <w:i w:val="0"/>
          <w:sz w:val="24"/>
        </w:rPr>
        <w:t>Naveed et al. (2023) reviewed mobile learning in higher education and showed that mobile access has become an important part of educational technology. This supports the need for the proposed CBT platform to work well on mobile devices. However, the study does not focus on examination security.</w:t>
      </w:r>
    </w:p>
    <w:p>
      <w:pPr>
        <w:spacing w:after="80"/>
        <w:ind w:firstLine="720"/>
        <w:jc w:val="both"/>
      </w:pPr>
      <w:r>
        <w:rPr>
          <w:rFonts w:ascii="Times New Roman" w:hAnsi="Times New Roman" w:eastAsia="Times New Roman"/>
          <w:b w:val="0"/>
          <w:i w:val="0"/>
          <w:sz w:val="24"/>
        </w:rPr>
        <w:t>Akcapinar (2025) discussed AI-assisted cheating detection through behaviour analytics. This work is useful because it shows that exam monitoring is moving toward behavioural analysis. While the current study does not use advanced AI-based detection, it shares the simpler principle of monitoring suspicious actions during the examination.</w:t>
      </w:r>
    </w:p>
    <w:p>
      <w:pPr>
        <w:jc w:val="left"/>
      </w:pPr>
      <w:r>
        <w:rPr>
          <w:rFonts w:ascii="Times New Roman" w:hAnsi="Times New Roman" w:eastAsia="Times New Roman"/>
          <w:b/>
          <w:sz w:val="24"/>
        </w:rPr>
        <w:t>2.4 Summary of Literature Review</w:t>
      </w:r>
    </w:p>
    <w:p>
      <w:pPr>
        <w:spacing w:after="80"/>
        <w:ind w:firstLine="720"/>
        <w:jc w:val="both"/>
      </w:pPr>
      <w:r>
        <w:rPr>
          <w:rFonts w:ascii="Times New Roman" w:hAnsi="Times New Roman" w:eastAsia="Times New Roman"/>
          <w:b w:val="0"/>
          <w:i w:val="0"/>
          <w:sz w:val="24"/>
        </w:rPr>
        <w:t>The reviewed literature shows that the present study is connected to three main areas. The first is CBT adoption and student acceptance. The second is mobile learning and system usability. The third is academic integrity and anti-cheat control in online assessments. Each area contributes something important, but most of the reviewed works do not bring all of them together in one focused system. The studies on CBT adoption help explain why reliability, ease of use, and trust matter. The studies on mobile learning support the need for a mobile-first approach. The works on academic integrity and monitoring justify the inclusion of anti-cheat features. However, most of the reviewed studies remain broad, theoretical, or focused on only one part of the problem. Table 2.1 presents a summary of the reviewed literature.</w:t>
      </w:r>
    </w:p>
    <w:p>
      <w:pPr>
        <w:jc w:val="left"/>
      </w:pPr>
      <w:r>
        <w:rPr>
          <w:rFonts w:ascii="Times New Roman" w:hAnsi="Times New Roman" w:eastAsia="Times New Roman"/>
          <w:b/>
          <w:sz w:val="24"/>
        </w:rPr>
        <w:t>Table 2.1 Summary of Literature Review</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eastAsia="Times New Roman"/>
                <w:b/>
                <w:i w:val="0"/>
                <w:sz w:val="22"/>
              </w:rPr>
              <w:t>Author / Title</w:t>
            </w:r>
          </w:p>
        </w:tc>
        <w:tc>
          <w:tcPr>
            <w:tcW w:type="dxa" w:w="1872"/>
          </w:tcPr>
          <w:p>
            <w:pPr>
              <w:jc w:val="center"/>
            </w:pPr>
            <w:r>
              <w:rPr>
                <w:rFonts w:ascii="Times New Roman" w:hAnsi="Times New Roman" w:eastAsia="Times New Roman"/>
                <w:b/>
                <w:i w:val="0"/>
                <w:sz w:val="22"/>
              </w:rPr>
              <w:t>Objective</w:t>
            </w:r>
          </w:p>
        </w:tc>
        <w:tc>
          <w:tcPr>
            <w:tcW w:type="dxa" w:w="1872"/>
          </w:tcPr>
          <w:p>
            <w:pPr>
              <w:jc w:val="center"/>
            </w:pPr>
            <w:r>
              <w:rPr>
                <w:rFonts w:ascii="Times New Roman" w:hAnsi="Times New Roman" w:eastAsia="Times New Roman"/>
                <w:b/>
                <w:i w:val="0"/>
                <w:sz w:val="22"/>
              </w:rPr>
              <w:t>Methodology Used</w:t>
            </w:r>
          </w:p>
        </w:tc>
        <w:tc>
          <w:tcPr>
            <w:tcW w:type="dxa" w:w="1872"/>
          </w:tcPr>
          <w:p>
            <w:pPr>
              <w:jc w:val="center"/>
            </w:pPr>
            <w:r>
              <w:rPr>
                <w:rFonts w:ascii="Times New Roman" w:hAnsi="Times New Roman" w:eastAsia="Times New Roman"/>
                <w:b/>
                <w:i w:val="0"/>
                <w:sz w:val="22"/>
              </w:rPr>
              <w:t>Strengths</w:t>
            </w:r>
          </w:p>
        </w:tc>
        <w:tc>
          <w:tcPr>
            <w:tcW w:type="dxa" w:w="1872"/>
          </w:tcPr>
          <w:p>
            <w:pPr>
              <w:jc w:val="center"/>
            </w:pPr>
            <w:r>
              <w:rPr>
                <w:rFonts w:ascii="Times New Roman" w:hAnsi="Times New Roman" w:eastAsia="Times New Roman"/>
                <w:b/>
                <w:i w:val="0"/>
                <w:sz w:val="22"/>
              </w:rPr>
              <w:t>Gaps / Further Study</w:t>
            </w:r>
          </w:p>
        </w:tc>
      </w:tr>
      <w:tr>
        <w:tc>
          <w:tcPr>
            <w:tcW w:type="dxa" w:w="1872"/>
          </w:tcPr>
          <w:p>
            <w:pPr>
              <w:jc w:val="both"/>
            </w:pPr>
            <w:r>
              <w:rPr>
                <w:rFonts w:ascii="Times New Roman" w:hAnsi="Times New Roman" w:eastAsia="Times New Roman"/>
                <w:b w:val="0"/>
                <w:i w:val="0"/>
                <w:sz w:val="22"/>
              </w:rPr>
              <w:t xml:space="preserve">Adamu (2024), </w:t>
            </w:r>
            <w:r>
              <w:rPr>
                <w:rFonts w:ascii="Times New Roman" w:hAnsi="Times New Roman" w:eastAsia="Times New Roman"/>
                <w:b w:val="0"/>
                <w:i/>
                <w:sz w:val="22"/>
              </w:rPr>
              <w:t>Computer-Based Testing Implementation in Nigeria: Successes and Challenges from Historical Perspectives</w:t>
            </w:r>
          </w:p>
        </w:tc>
        <w:tc>
          <w:tcPr>
            <w:tcW w:type="dxa" w:w="1872"/>
          </w:tcPr>
          <w:p>
            <w:pPr>
              <w:jc w:val="both"/>
            </w:pPr>
            <w:r>
              <w:rPr>
                <w:rFonts w:ascii="Times New Roman" w:hAnsi="Times New Roman" w:eastAsia="Times New Roman"/>
                <w:b w:val="0"/>
                <w:i w:val="0"/>
                <w:sz w:val="22"/>
              </w:rPr>
              <w:t>To examine the growth and challenges of CBT implementation in Nigeria</w:t>
            </w:r>
          </w:p>
        </w:tc>
        <w:tc>
          <w:tcPr>
            <w:tcW w:type="dxa" w:w="1872"/>
          </w:tcPr>
          <w:p>
            <w:pPr>
              <w:jc w:val="both"/>
            </w:pPr>
            <w:r>
              <w:rPr>
                <w:rFonts w:ascii="Times New Roman" w:hAnsi="Times New Roman" w:eastAsia="Times New Roman"/>
                <w:b w:val="0"/>
                <w:i w:val="0"/>
                <w:sz w:val="22"/>
              </w:rPr>
              <w:t>Historical and analytical review</w:t>
            </w:r>
          </w:p>
        </w:tc>
        <w:tc>
          <w:tcPr>
            <w:tcW w:type="dxa" w:w="1872"/>
          </w:tcPr>
          <w:p>
            <w:pPr>
              <w:jc w:val="both"/>
            </w:pPr>
            <w:r>
              <w:rPr>
                <w:rFonts w:ascii="Times New Roman" w:hAnsi="Times New Roman" w:eastAsia="Times New Roman"/>
                <w:b w:val="0"/>
                <w:i w:val="0"/>
                <w:sz w:val="22"/>
              </w:rPr>
              <w:t>Gives useful Nigerian CBT background</w:t>
            </w:r>
          </w:p>
        </w:tc>
        <w:tc>
          <w:tcPr>
            <w:tcW w:type="dxa" w:w="1872"/>
          </w:tcPr>
          <w:p>
            <w:pPr>
              <w:jc w:val="both"/>
            </w:pPr>
            <w:r>
              <w:rPr>
                <w:rFonts w:ascii="Times New Roman" w:hAnsi="Times New Roman" w:eastAsia="Times New Roman"/>
                <w:b w:val="0"/>
                <w:i w:val="0"/>
                <w:sz w:val="22"/>
              </w:rPr>
              <w:t>Does not focus on mobile-first design or detailed anti-cheat controls</w:t>
            </w:r>
          </w:p>
        </w:tc>
      </w:tr>
      <w:tr>
        <w:tc>
          <w:tcPr>
            <w:tcW w:type="dxa" w:w="1872"/>
          </w:tcPr>
          <w:p>
            <w:pPr>
              <w:jc w:val="both"/>
            </w:pPr>
            <w:r>
              <w:rPr>
                <w:rFonts w:ascii="Times New Roman" w:hAnsi="Times New Roman" w:eastAsia="Times New Roman"/>
                <w:b w:val="0"/>
                <w:i w:val="0"/>
                <w:sz w:val="22"/>
              </w:rPr>
              <w:t xml:space="preserve">Tella and Bashorun (2012), </w:t>
            </w:r>
            <w:r>
              <w:rPr>
                <w:rFonts w:ascii="Times New Roman" w:hAnsi="Times New Roman" w:eastAsia="Times New Roman"/>
                <w:b w:val="0"/>
                <w:i/>
                <w:sz w:val="22"/>
              </w:rPr>
              <w:t>Attitude of Undergraduate Students Towards Computer-Based Test (CBT)</w:t>
            </w:r>
          </w:p>
        </w:tc>
        <w:tc>
          <w:tcPr>
            <w:tcW w:type="dxa" w:w="1872"/>
          </w:tcPr>
          <w:p>
            <w:pPr>
              <w:jc w:val="both"/>
            </w:pPr>
            <w:r>
              <w:rPr>
                <w:rFonts w:ascii="Times New Roman" w:hAnsi="Times New Roman" w:eastAsia="Times New Roman"/>
                <w:b w:val="0"/>
                <w:i w:val="0"/>
                <w:sz w:val="22"/>
              </w:rPr>
              <w:t>To examine student attitude toward CBT</w:t>
            </w:r>
          </w:p>
        </w:tc>
        <w:tc>
          <w:tcPr>
            <w:tcW w:type="dxa" w:w="1872"/>
          </w:tcPr>
          <w:p>
            <w:pPr>
              <w:jc w:val="both"/>
            </w:pPr>
            <w:r>
              <w:rPr>
                <w:rFonts w:ascii="Times New Roman" w:hAnsi="Times New Roman" w:eastAsia="Times New Roman"/>
                <w:b w:val="0"/>
                <w:i w:val="0"/>
                <w:sz w:val="22"/>
              </w:rPr>
              <w:t>Case study</w:t>
            </w:r>
          </w:p>
        </w:tc>
        <w:tc>
          <w:tcPr>
            <w:tcW w:type="dxa" w:w="1872"/>
          </w:tcPr>
          <w:p>
            <w:pPr>
              <w:jc w:val="both"/>
            </w:pPr>
            <w:r>
              <w:rPr>
                <w:rFonts w:ascii="Times New Roman" w:hAnsi="Times New Roman" w:eastAsia="Times New Roman"/>
                <w:b w:val="0"/>
                <w:i w:val="0"/>
                <w:sz w:val="22"/>
              </w:rPr>
              <w:t>Explains user acceptance and trust issues</w:t>
            </w:r>
          </w:p>
        </w:tc>
        <w:tc>
          <w:tcPr>
            <w:tcW w:type="dxa" w:w="1872"/>
          </w:tcPr>
          <w:p>
            <w:pPr>
              <w:jc w:val="both"/>
            </w:pPr>
            <w:r>
              <w:rPr>
                <w:rFonts w:ascii="Times New Roman" w:hAnsi="Times New Roman" w:eastAsia="Times New Roman"/>
                <w:b w:val="0"/>
                <w:i w:val="0"/>
                <w:sz w:val="22"/>
              </w:rPr>
              <w:t>Does not address anti-cheat or mobile-first design</w:t>
            </w:r>
          </w:p>
        </w:tc>
      </w:tr>
      <w:tr>
        <w:tc>
          <w:tcPr>
            <w:tcW w:type="dxa" w:w="1872"/>
          </w:tcPr>
          <w:p>
            <w:pPr>
              <w:jc w:val="both"/>
            </w:pPr>
            <w:r>
              <w:rPr>
                <w:rFonts w:ascii="Times New Roman" w:hAnsi="Times New Roman" w:eastAsia="Times New Roman"/>
                <w:b w:val="0"/>
                <w:i w:val="0"/>
                <w:sz w:val="22"/>
              </w:rPr>
              <w:t xml:space="preserve">Okocha (2022), </w:t>
            </w:r>
            <w:r>
              <w:rPr>
                <w:rFonts w:ascii="Times New Roman" w:hAnsi="Times New Roman" w:eastAsia="Times New Roman"/>
                <w:b w:val="0"/>
                <w:i/>
                <w:sz w:val="22"/>
              </w:rPr>
              <w:t>Student Perception of Computer-Based Testing in Kwara State, Nigeria</w:t>
            </w:r>
          </w:p>
        </w:tc>
        <w:tc>
          <w:tcPr>
            <w:tcW w:type="dxa" w:w="1872"/>
          </w:tcPr>
          <w:p>
            <w:pPr>
              <w:jc w:val="both"/>
            </w:pPr>
            <w:r>
              <w:rPr>
                <w:rFonts w:ascii="Times New Roman" w:hAnsi="Times New Roman" w:eastAsia="Times New Roman"/>
                <w:b w:val="0"/>
                <w:i w:val="0"/>
                <w:sz w:val="22"/>
              </w:rPr>
              <w:t>To study student perception of CBT</w:t>
            </w:r>
          </w:p>
        </w:tc>
        <w:tc>
          <w:tcPr>
            <w:tcW w:type="dxa" w:w="1872"/>
          </w:tcPr>
          <w:p>
            <w:pPr>
              <w:jc w:val="both"/>
            </w:pPr>
            <w:r>
              <w:rPr>
                <w:rFonts w:ascii="Times New Roman" w:hAnsi="Times New Roman" w:eastAsia="Times New Roman"/>
                <w:b w:val="0"/>
                <w:i w:val="0"/>
                <w:sz w:val="22"/>
              </w:rPr>
              <w:t>Perception study</w:t>
            </w:r>
          </w:p>
        </w:tc>
        <w:tc>
          <w:tcPr>
            <w:tcW w:type="dxa" w:w="1872"/>
          </w:tcPr>
          <w:p>
            <w:pPr>
              <w:jc w:val="both"/>
            </w:pPr>
            <w:r>
              <w:rPr>
                <w:rFonts w:ascii="Times New Roman" w:hAnsi="Times New Roman" w:eastAsia="Times New Roman"/>
                <w:b w:val="0"/>
                <w:i w:val="0"/>
                <w:sz w:val="22"/>
              </w:rPr>
              <w:t>Supports the importance of usability and trust</w:t>
            </w:r>
          </w:p>
        </w:tc>
        <w:tc>
          <w:tcPr>
            <w:tcW w:type="dxa" w:w="1872"/>
          </w:tcPr>
          <w:p>
            <w:pPr>
              <w:jc w:val="both"/>
            </w:pPr>
            <w:r>
              <w:rPr>
                <w:rFonts w:ascii="Times New Roman" w:hAnsi="Times New Roman" w:eastAsia="Times New Roman"/>
                <w:b w:val="0"/>
                <w:i w:val="0"/>
                <w:sz w:val="22"/>
              </w:rPr>
              <w:t>Limited attention to technical design and session monitoring</w:t>
            </w:r>
          </w:p>
        </w:tc>
      </w:tr>
      <w:tr>
        <w:tc>
          <w:tcPr>
            <w:tcW w:type="dxa" w:w="1872"/>
          </w:tcPr>
          <w:p>
            <w:pPr>
              <w:jc w:val="both"/>
            </w:pPr>
            <w:r>
              <w:rPr>
                <w:rFonts w:ascii="Times New Roman" w:hAnsi="Times New Roman" w:eastAsia="Times New Roman"/>
                <w:b w:val="0"/>
                <w:i w:val="0"/>
                <w:sz w:val="22"/>
              </w:rPr>
              <w:t xml:space="preserve">Holden et al. (2021), </w:t>
            </w:r>
            <w:r>
              <w:rPr>
                <w:rFonts w:ascii="Times New Roman" w:hAnsi="Times New Roman" w:eastAsia="Times New Roman"/>
                <w:b w:val="0"/>
                <w:i/>
                <w:sz w:val="22"/>
              </w:rPr>
              <w:t>Academic Integrity in Online Assessment: A Research Review</w:t>
            </w:r>
          </w:p>
        </w:tc>
        <w:tc>
          <w:tcPr>
            <w:tcW w:type="dxa" w:w="1872"/>
          </w:tcPr>
          <w:p>
            <w:pPr>
              <w:jc w:val="both"/>
            </w:pPr>
            <w:r>
              <w:rPr>
                <w:rFonts w:ascii="Times New Roman" w:hAnsi="Times New Roman" w:eastAsia="Times New Roman"/>
                <w:b w:val="0"/>
                <w:i w:val="0"/>
                <w:sz w:val="22"/>
              </w:rPr>
              <w:t>To review integrity issues in online assessment</w:t>
            </w:r>
          </w:p>
        </w:tc>
        <w:tc>
          <w:tcPr>
            <w:tcW w:type="dxa" w:w="1872"/>
          </w:tcPr>
          <w:p>
            <w:pPr>
              <w:jc w:val="both"/>
            </w:pPr>
            <w:r>
              <w:rPr>
                <w:rFonts w:ascii="Times New Roman" w:hAnsi="Times New Roman" w:eastAsia="Times New Roman"/>
                <w:b w:val="0"/>
                <w:i w:val="0"/>
                <w:sz w:val="22"/>
              </w:rPr>
              <w:t>Research review</w:t>
            </w:r>
          </w:p>
        </w:tc>
        <w:tc>
          <w:tcPr>
            <w:tcW w:type="dxa" w:w="1872"/>
          </w:tcPr>
          <w:p>
            <w:pPr>
              <w:jc w:val="both"/>
            </w:pPr>
            <w:r>
              <w:rPr>
                <w:rFonts w:ascii="Times New Roman" w:hAnsi="Times New Roman" w:eastAsia="Times New Roman"/>
                <w:b w:val="0"/>
                <w:i w:val="0"/>
                <w:sz w:val="22"/>
              </w:rPr>
              <w:t>Strong support for exam integrity concerns</w:t>
            </w:r>
          </w:p>
        </w:tc>
        <w:tc>
          <w:tcPr>
            <w:tcW w:type="dxa" w:w="1872"/>
          </w:tcPr>
          <w:p>
            <w:pPr>
              <w:jc w:val="both"/>
            </w:pPr>
            <w:r>
              <w:rPr>
                <w:rFonts w:ascii="Times New Roman" w:hAnsi="Times New Roman" w:eastAsia="Times New Roman"/>
                <w:b w:val="0"/>
                <w:i w:val="0"/>
                <w:sz w:val="22"/>
              </w:rPr>
              <w:t>Broad review, not a specific CBT system</w:t>
            </w:r>
          </w:p>
        </w:tc>
      </w:tr>
      <w:tr>
        <w:tc>
          <w:tcPr>
            <w:tcW w:type="dxa" w:w="1872"/>
          </w:tcPr>
          <w:p>
            <w:pPr>
              <w:jc w:val="both"/>
            </w:pPr>
            <w:r>
              <w:rPr>
                <w:rFonts w:ascii="Times New Roman" w:hAnsi="Times New Roman" w:eastAsia="Times New Roman"/>
                <w:b w:val="0"/>
                <w:i w:val="0"/>
                <w:sz w:val="22"/>
              </w:rPr>
              <w:t xml:space="preserve">Dendir and Maxwell (2020), </w:t>
            </w:r>
            <w:r>
              <w:rPr>
                <w:rFonts w:ascii="Times New Roman" w:hAnsi="Times New Roman" w:eastAsia="Times New Roman"/>
                <w:b w:val="0"/>
                <w:i/>
                <w:sz w:val="22"/>
              </w:rPr>
              <w:t>Cheating in online courses: Evidence from online proctoring</w:t>
            </w:r>
          </w:p>
        </w:tc>
        <w:tc>
          <w:tcPr>
            <w:tcW w:type="dxa" w:w="1872"/>
          </w:tcPr>
          <w:p>
            <w:pPr>
              <w:jc w:val="both"/>
            </w:pPr>
            <w:r>
              <w:rPr>
                <w:rFonts w:ascii="Times New Roman" w:hAnsi="Times New Roman" w:eastAsia="Times New Roman"/>
                <w:b w:val="0"/>
                <w:i w:val="0"/>
                <w:sz w:val="22"/>
              </w:rPr>
              <w:t>To study the effect of proctoring on cheating</w:t>
            </w:r>
          </w:p>
        </w:tc>
        <w:tc>
          <w:tcPr>
            <w:tcW w:type="dxa" w:w="1872"/>
          </w:tcPr>
          <w:p>
            <w:pPr>
              <w:jc w:val="both"/>
            </w:pPr>
            <w:r>
              <w:rPr>
                <w:rFonts w:ascii="Times New Roman" w:hAnsi="Times New Roman" w:eastAsia="Times New Roman"/>
                <w:b w:val="0"/>
                <w:i w:val="0"/>
                <w:sz w:val="22"/>
              </w:rPr>
              <w:t>Empirical analysis</w:t>
            </w:r>
          </w:p>
        </w:tc>
        <w:tc>
          <w:tcPr>
            <w:tcW w:type="dxa" w:w="1872"/>
          </w:tcPr>
          <w:p>
            <w:pPr>
              <w:jc w:val="both"/>
            </w:pPr>
            <w:r>
              <w:rPr>
                <w:rFonts w:ascii="Times New Roman" w:hAnsi="Times New Roman" w:eastAsia="Times New Roman"/>
                <w:b w:val="0"/>
                <w:i w:val="0"/>
                <w:sz w:val="22"/>
              </w:rPr>
              <w:t>Supports monitoring and integrity control</w:t>
            </w:r>
          </w:p>
        </w:tc>
        <w:tc>
          <w:tcPr>
            <w:tcW w:type="dxa" w:w="1872"/>
          </w:tcPr>
          <w:p>
            <w:pPr>
              <w:jc w:val="both"/>
            </w:pPr>
            <w:r>
              <w:rPr>
                <w:rFonts w:ascii="Times New Roman" w:hAnsi="Times New Roman" w:eastAsia="Times New Roman"/>
                <w:b w:val="0"/>
                <w:i w:val="0"/>
                <w:sz w:val="22"/>
              </w:rPr>
              <w:t>Not focused on mobile-first CBT systems</w:t>
            </w:r>
          </w:p>
        </w:tc>
      </w:tr>
      <w:tr>
        <w:tc>
          <w:tcPr>
            <w:tcW w:type="dxa" w:w="1872"/>
          </w:tcPr>
          <w:p>
            <w:pPr>
              <w:jc w:val="both"/>
            </w:pPr>
            <w:r>
              <w:rPr>
                <w:rFonts w:ascii="Times New Roman" w:hAnsi="Times New Roman" w:eastAsia="Times New Roman"/>
                <w:b w:val="0"/>
                <w:i w:val="0"/>
                <w:sz w:val="22"/>
              </w:rPr>
              <w:t xml:space="preserve">Griffiths (2022), </w:t>
            </w:r>
            <w:r>
              <w:rPr>
                <w:rFonts w:ascii="Times New Roman" w:hAnsi="Times New Roman" w:eastAsia="Times New Roman"/>
                <w:b w:val="0"/>
                <w:i/>
                <w:sz w:val="22"/>
              </w:rPr>
              <w:t>Mitigating cheating during online proctored exams</w:t>
            </w:r>
          </w:p>
        </w:tc>
        <w:tc>
          <w:tcPr>
            <w:tcW w:type="dxa" w:w="1872"/>
          </w:tcPr>
          <w:p>
            <w:pPr>
              <w:jc w:val="both"/>
            </w:pPr>
            <w:r>
              <w:rPr>
                <w:rFonts w:ascii="Times New Roman" w:hAnsi="Times New Roman" w:eastAsia="Times New Roman"/>
                <w:b w:val="0"/>
                <w:i w:val="0"/>
                <w:sz w:val="22"/>
              </w:rPr>
              <w:t>To discuss ways of reducing cheating in online exams</w:t>
            </w:r>
          </w:p>
        </w:tc>
        <w:tc>
          <w:tcPr>
            <w:tcW w:type="dxa" w:w="1872"/>
          </w:tcPr>
          <w:p>
            <w:pPr>
              <w:jc w:val="both"/>
            </w:pPr>
            <w:r>
              <w:rPr>
                <w:rFonts w:ascii="Times New Roman" w:hAnsi="Times New Roman" w:eastAsia="Times New Roman"/>
                <w:b w:val="0"/>
                <w:i w:val="0"/>
                <w:sz w:val="22"/>
              </w:rPr>
              <w:t>Analytical discussion</w:t>
            </w:r>
          </w:p>
        </w:tc>
        <w:tc>
          <w:tcPr>
            <w:tcW w:type="dxa" w:w="1872"/>
          </w:tcPr>
          <w:p>
            <w:pPr>
              <w:jc w:val="both"/>
            </w:pPr>
            <w:r>
              <w:rPr>
                <w:rFonts w:ascii="Times New Roman" w:hAnsi="Times New Roman" w:eastAsia="Times New Roman"/>
                <w:b w:val="0"/>
                <w:i w:val="0"/>
                <w:sz w:val="22"/>
              </w:rPr>
              <w:t>Supports use of practical anti-cheat measures</w:t>
            </w:r>
          </w:p>
        </w:tc>
        <w:tc>
          <w:tcPr>
            <w:tcW w:type="dxa" w:w="1872"/>
          </w:tcPr>
          <w:p>
            <w:pPr>
              <w:jc w:val="both"/>
            </w:pPr>
            <w:r>
              <w:rPr>
                <w:rFonts w:ascii="Times New Roman" w:hAnsi="Times New Roman" w:eastAsia="Times New Roman"/>
                <w:b w:val="0"/>
                <w:i w:val="0"/>
                <w:sz w:val="22"/>
              </w:rPr>
              <w:t>Does not propose a complete standalone CBT solution</w:t>
            </w:r>
          </w:p>
        </w:tc>
      </w:tr>
      <w:tr>
        <w:tc>
          <w:tcPr>
            <w:tcW w:type="dxa" w:w="1872"/>
          </w:tcPr>
          <w:p>
            <w:pPr>
              <w:jc w:val="both"/>
            </w:pPr>
            <w:r>
              <w:rPr>
                <w:rFonts w:ascii="Times New Roman" w:hAnsi="Times New Roman" w:eastAsia="Times New Roman"/>
                <w:b w:val="0"/>
                <w:i w:val="0"/>
                <w:sz w:val="22"/>
              </w:rPr>
              <w:t xml:space="preserve">Chouhan (2023), </w:t>
            </w:r>
            <w:r>
              <w:rPr>
                <w:rFonts w:ascii="Times New Roman" w:hAnsi="Times New Roman" w:eastAsia="Times New Roman"/>
                <w:b w:val="0"/>
                <w:i/>
                <w:sz w:val="22"/>
              </w:rPr>
              <w:t>Strategies for maintaining academic integrity in remote online assessments</w:t>
            </w:r>
          </w:p>
        </w:tc>
        <w:tc>
          <w:tcPr>
            <w:tcW w:type="dxa" w:w="1872"/>
          </w:tcPr>
          <w:p>
            <w:pPr>
              <w:jc w:val="both"/>
            </w:pPr>
            <w:r>
              <w:rPr>
                <w:rFonts w:ascii="Times New Roman" w:hAnsi="Times New Roman" w:eastAsia="Times New Roman"/>
                <w:b w:val="0"/>
                <w:i w:val="0"/>
                <w:sz w:val="22"/>
              </w:rPr>
              <w:t>To identify practical integrity strategies</w:t>
            </w:r>
          </w:p>
        </w:tc>
        <w:tc>
          <w:tcPr>
            <w:tcW w:type="dxa" w:w="1872"/>
          </w:tcPr>
          <w:p>
            <w:pPr>
              <w:jc w:val="both"/>
            </w:pPr>
            <w:r>
              <w:rPr>
                <w:rFonts w:ascii="Times New Roman" w:hAnsi="Times New Roman" w:eastAsia="Times New Roman"/>
                <w:b w:val="0"/>
                <w:i w:val="0"/>
                <w:sz w:val="22"/>
              </w:rPr>
              <w:t>Strategy review</w:t>
            </w:r>
          </w:p>
        </w:tc>
        <w:tc>
          <w:tcPr>
            <w:tcW w:type="dxa" w:w="1872"/>
          </w:tcPr>
          <w:p>
            <w:pPr>
              <w:jc w:val="both"/>
            </w:pPr>
            <w:r>
              <w:rPr>
                <w:rFonts w:ascii="Times New Roman" w:hAnsi="Times New Roman" w:eastAsia="Times New Roman"/>
                <w:b w:val="0"/>
                <w:i w:val="0"/>
                <w:sz w:val="22"/>
              </w:rPr>
              <w:t>Supports the need for combined integrity controls</w:t>
            </w:r>
          </w:p>
        </w:tc>
        <w:tc>
          <w:tcPr>
            <w:tcW w:type="dxa" w:w="1872"/>
          </w:tcPr>
          <w:p>
            <w:pPr>
              <w:jc w:val="both"/>
            </w:pPr>
            <w:r>
              <w:rPr>
                <w:rFonts w:ascii="Times New Roman" w:hAnsi="Times New Roman" w:eastAsia="Times New Roman"/>
                <w:b w:val="0"/>
                <w:i w:val="0"/>
                <w:sz w:val="22"/>
              </w:rPr>
              <w:t>Broader than a department-level CBT implementation</w:t>
            </w:r>
          </w:p>
        </w:tc>
      </w:tr>
      <w:tr>
        <w:tc>
          <w:tcPr>
            <w:tcW w:type="dxa" w:w="1872"/>
          </w:tcPr>
          <w:p>
            <w:pPr>
              <w:jc w:val="both"/>
            </w:pPr>
            <w:r>
              <w:rPr>
                <w:rFonts w:ascii="Times New Roman" w:hAnsi="Times New Roman" w:eastAsia="Times New Roman"/>
                <w:b w:val="0"/>
                <w:i w:val="0"/>
                <w:sz w:val="22"/>
              </w:rPr>
              <w:t xml:space="preserve">Han and Shin (2016), </w:t>
            </w:r>
            <w:r>
              <w:rPr>
                <w:rFonts w:ascii="Times New Roman" w:hAnsi="Times New Roman" w:eastAsia="Times New Roman"/>
                <w:b w:val="0"/>
                <w:i/>
                <w:sz w:val="22"/>
              </w:rPr>
              <w:t>The Use of a Mobile Learning Management System and Academic Achievement of Online Students</w:t>
            </w:r>
          </w:p>
        </w:tc>
        <w:tc>
          <w:tcPr>
            <w:tcW w:type="dxa" w:w="1872"/>
          </w:tcPr>
          <w:p>
            <w:pPr>
              <w:jc w:val="both"/>
            </w:pPr>
            <w:r>
              <w:rPr>
                <w:rFonts w:ascii="Times New Roman" w:hAnsi="Times New Roman" w:eastAsia="Times New Roman"/>
                <w:b w:val="0"/>
                <w:i w:val="0"/>
                <w:sz w:val="22"/>
              </w:rPr>
              <w:t>To examine the role of mobile systems in online learning</w:t>
            </w:r>
          </w:p>
        </w:tc>
        <w:tc>
          <w:tcPr>
            <w:tcW w:type="dxa" w:w="1872"/>
          </w:tcPr>
          <w:p>
            <w:pPr>
              <w:jc w:val="both"/>
            </w:pPr>
            <w:r>
              <w:rPr>
                <w:rFonts w:ascii="Times New Roman" w:hAnsi="Times New Roman" w:eastAsia="Times New Roman"/>
                <w:b w:val="0"/>
                <w:i w:val="0"/>
                <w:sz w:val="22"/>
              </w:rPr>
              <w:t>Study of mobile LMS use</w:t>
            </w:r>
          </w:p>
        </w:tc>
        <w:tc>
          <w:tcPr>
            <w:tcW w:type="dxa" w:w="1872"/>
          </w:tcPr>
          <w:p>
            <w:pPr>
              <w:jc w:val="both"/>
            </w:pPr>
            <w:r>
              <w:rPr>
                <w:rFonts w:ascii="Times New Roman" w:hAnsi="Times New Roman" w:eastAsia="Times New Roman"/>
                <w:b w:val="0"/>
                <w:i w:val="0"/>
                <w:sz w:val="22"/>
              </w:rPr>
              <w:t>Supports mobile access in educational systems</w:t>
            </w:r>
          </w:p>
        </w:tc>
        <w:tc>
          <w:tcPr>
            <w:tcW w:type="dxa" w:w="1872"/>
          </w:tcPr>
          <w:p>
            <w:pPr>
              <w:jc w:val="both"/>
            </w:pPr>
            <w:r>
              <w:rPr>
                <w:rFonts w:ascii="Times New Roman" w:hAnsi="Times New Roman" w:eastAsia="Times New Roman"/>
                <w:b w:val="0"/>
                <w:i w:val="0"/>
                <w:sz w:val="22"/>
              </w:rPr>
              <w:t>Not directly focused on CBT</w:t>
            </w:r>
          </w:p>
        </w:tc>
      </w:tr>
      <w:tr>
        <w:tc>
          <w:tcPr>
            <w:tcW w:type="dxa" w:w="1872"/>
          </w:tcPr>
          <w:p>
            <w:pPr>
              <w:jc w:val="both"/>
            </w:pPr>
            <w:r>
              <w:rPr>
                <w:rFonts w:ascii="Times New Roman" w:hAnsi="Times New Roman" w:eastAsia="Times New Roman"/>
                <w:b w:val="0"/>
                <w:i w:val="0"/>
                <w:sz w:val="22"/>
              </w:rPr>
              <w:t xml:space="preserve">Naveed et al. (2023), </w:t>
            </w:r>
            <w:r>
              <w:rPr>
                <w:rFonts w:ascii="Times New Roman" w:hAnsi="Times New Roman" w:eastAsia="Times New Roman"/>
                <w:b w:val="0"/>
                <w:i/>
                <w:sz w:val="22"/>
              </w:rPr>
              <w:t>Mobile Learning in Higher Education: A Systematic Literature Review</w:t>
            </w:r>
          </w:p>
        </w:tc>
        <w:tc>
          <w:tcPr>
            <w:tcW w:type="dxa" w:w="1872"/>
          </w:tcPr>
          <w:p>
            <w:pPr>
              <w:jc w:val="both"/>
            </w:pPr>
            <w:r>
              <w:rPr>
                <w:rFonts w:ascii="Times New Roman" w:hAnsi="Times New Roman" w:eastAsia="Times New Roman"/>
                <w:b w:val="0"/>
                <w:i w:val="0"/>
                <w:sz w:val="22"/>
              </w:rPr>
              <w:t>To review mobile learning in higher education</w:t>
            </w:r>
          </w:p>
        </w:tc>
        <w:tc>
          <w:tcPr>
            <w:tcW w:type="dxa" w:w="1872"/>
          </w:tcPr>
          <w:p>
            <w:pPr>
              <w:jc w:val="both"/>
            </w:pPr>
            <w:r>
              <w:rPr>
                <w:rFonts w:ascii="Times New Roman" w:hAnsi="Times New Roman" w:eastAsia="Times New Roman"/>
                <w:b w:val="0"/>
                <w:i w:val="0"/>
                <w:sz w:val="22"/>
              </w:rPr>
              <w:t>Systematic review</w:t>
            </w:r>
          </w:p>
        </w:tc>
        <w:tc>
          <w:tcPr>
            <w:tcW w:type="dxa" w:w="1872"/>
          </w:tcPr>
          <w:p>
            <w:pPr>
              <w:jc w:val="both"/>
            </w:pPr>
            <w:r>
              <w:rPr>
                <w:rFonts w:ascii="Times New Roman" w:hAnsi="Times New Roman" w:eastAsia="Times New Roman"/>
                <w:b w:val="0"/>
                <w:i w:val="0"/>
                <w:sz w:val="22"/>
              </w:rPr>
              <w:t>Supports mobile-first access in higher education</w:t>
            </w:r>
          </w:p>
        </w:tc>
        <w:tc>
          <w:tcPr>
            <w:tcW w:type="dxa" w:w="1872"/>
          </w:tcPr>
          <w:p>
            <w:pPr>
              <w:jc w:val="both"/>
            </w:pPr>
            <w:r>
              <w:rPr>
                <w:rFonts w:ascii="Times New Roman" w:hAnsi="Times New Roman" w:eastAsia="Times New Roman"/>
                <w:b w:val="0"/>
                <w:i w:val="0"/>
                <w:sz w:val="22"/>
              </w:rPr>
              <w:t>Does not address exam integrity directly</w:t>
            </w:r>
          </w:p>
        </w:tc>
      </w:tr>
      <w:tr>
        <w:tc>
          <w:tcPr>
            <w:tcW w:type="dxa" w:w="1872"/>
          </w:tcPr>
          <w:p>
            <w:pPr>
              <w:jc w:val="both"/>
            </w:pPr>
            <w:r>
              <w:rPr>
                <w:rFonts w:ascii="Times New Roman" w:hAnsi="Times New Roman" w:eastAsia="Times New Roman"/>
                <w:b w:val="0"/>
                <w:i w:val="0"/>
                <w:sz w:val="22"/>
              </w:rPr>
              <w:t xml:space="preserve">Akcapinar (2025), </w:t>
            </w:r>
            <w:r>
              <w:rPr>
                <w:rFonts w:ascii="Times New Roman" w:hAnsi="Times New Roman" w:eastAsia="Times New Roman"/>
                <w:b w:val="0"/>
                <w:i/>
                <w:sz w:val="22"/>
              </w:rPr>
              <w:t>Detecting AI-Assisted Cheating in Online Exams through Behavior Analytics</w:t>
            </w:r>
          </w:p>
        </w:tc>
        <w:tc>
          <w:tcPr>
            <w:tcW w:type="dxa" w:w="1872"/>
          </w:tcPr>
          <w:p>
            <w:pPr>
              <w:jc w:val="both"/>
            </w:pPr>
            <w:r>
              <w:rPr>
                <w:rFonts w:ascii="Times New Roman" w:hAnsi="Times New Roman" w:eastAsia="Times New Roman"/>
                <w:b w:val="0"/>
                <w:i w:val="0"/>
                <w:sz w:val="22"/>
              </w:rPr>
              <w:t>To explore behaviour-based exam monitoring</w:t>
            </w:r>
          </w:p>
        </w:tc>
        <w:tc>
          <w:tcPr>
            <w:tcW w:type="dxa" w:w="1872"/>
          </w:tcPr>
          <w:p>
            <w:pPr>
              <w:jc w:val="both"/>
            </w:pPr>
            <w:r>
              <w:rPr>
                <w:rFonts w:ascii="Times New Roman" w:hAnsi="Times New Roman" w:eastAsia="Times New Roman"/>
                <w:b w:val="0"/>
                <w:i w:val="0"/>
                <w:sz w:val="22"/>
              </w:rPr>
              <w:t>Behaviour analytics approach</w:t>
            </w:r>
          </w:p>
        </w:tc>
        <w:tc>
          <w:tcPr>
            <w:tcW w:type="dxa" w:w="1872"/>
          </w:tcPr>
          <w:p>
            <w:pPr>
              <w:jc w:val="both"/>
            </w:pPr>
            <w:r>
              <w:rPr>
                <w:rFonts w:ascii="Times New Roman" w:hAnsi="Times New Roman" w:eastAsia="Times New Roman"/>
                <w:b w:val="0"/>
                <w:i w:val="0"/>
                <w:sz w:val="22"/>
              </w:rPr>
              <w:t>Shows the value of tracking suspicious behaviour</w:t>
            </w:r>
          </w:p>
        </w:tc>
        <w:tc>
          <w:tcPr>
            <w:tcW w:type="dxa" w:w="1872"/>
          </w:tcPr>
          <w:p>
            <w:pPr>
              <w:jc w:val="both"/>
            </w:pPr>
            <w:r>
              <w:rPr>
                <w:rFonts w:ascii="Times New Roman" w:hAnsi="Times New Roman" w:eastAsia="Times New Roman"/>
                <w:b w:val="0"/>
                <w:i w:val="0"/>
                <w:sz w:val="22"/>
              </w:rPr>
              <w:t>Focuses on advanced AI-based detection rather than a simple CBT platform</w:t>
            </w:r>
          </w:p>
        </w:tc>
      </w:tr>
    </w:tbl>
    <w:p>
      <w:pPr>
        <w:jc w:val="left"/>
      </w:pPr>
      <w:r>
        <w:rPr>
          <w:rFonts w:ascii="Times New Roman" w:hAnsi="Times New Roman" w:eastAsia="Times New Roman"/>
          <w:b/>
          <w:sz w:val="24"/>
        </w:rPr>
        <w:t>2.5 Gaps in Related Works</w:t>
      </w:r>
    </w:p>
    <w:p>
      <w:pPr>
        <w:spacing w:after="80"/>
        <w:ind w:firstLine="720"/>
        <w:jc w:val="both"/>
      </w:pPr>
      <w:r>
        <w:rPr>
          <w:rFonts w:ascii="Times New Roman" w:hAnsi="Times New Roman" w:eastAsia="Times New Roman"/>
          <w:b w:val="0"/>
          <w:i w:val="0"/>
          <w:sz w:val="24"/>
        </w:rPr>
        <w:t>From the reviewed works, several gaps can be identified clearly. First, many studies on CBT in Nigeria focus on adoption, implementation history, and student perception, but they do not focus on the actual design of a secure mobile-first CBT platform. Second, many studies on academic integrity discuss cheating broadly without presenting a focused departmental CBT solution that can be used directly in a university department. Third, many studies on mobile learning support mobile access in higher education, but they do not address examination-specific controls such as violation tracking, fullscreen monitoring, warning limits, and session control. Fourth, studies on online proctoring and cheating mitigation often focus on broad monitoring methods rather than a practical web-based anti-cheat model that can be implemented at department level with limited resources.</w:t>
      </w:r>
    </w:p>
    <w:p>
      <w:pPr>
        <w:spacing w:after="80"/>
        <w:ind w:firstLine="720"/>
        <w:jc w:val="both"/>
      </w:pPr>
      <w:r>
        <w:rPr>
          <w:rFonts w:ascii="Times New Roman" w:hAnsi="Times New Roman" w:eastAsia="Times New Roman"/>
          <w:b w:val="0"/>
          <w:i w:val="0"/>
          <w:sz w:val="24"/>
        </w:rPr>
        <w:t>The gap this study intends to fill is therefore the lack of a standalone department-level CBT platform that combines mobile-first access, practical browser-based anti-cheat monitoring, timed session control, question randomization, and administrative session management in one system.</w:t>
      </w:r>
    </w:p>
    <w:p>
      <w:pPr>
        <w:spacing w:after="80"/>
        <w:ind w:firstLine="720"/>
        <w:jc w:val="both"/>
      </w:pPr>
      <w:r>
        <w:rPr>
          <w:rFonts w:ascii="Times New Roman" w:hAnsi="Times New Roman" w:eastAsia="Times New Roman"/>
          <w:b w:val="0"/>
          <w:i w:val="0"/>
          <w:sz w:val="24"/>
        </w:rPr>
        <w:t>The proposed study differs from many of the reviewed works because it does not focus on only one issue. Instead, it brings together mobile access, examination control, anti-cheat measures, and department-level usability into one practical standalone solution for the Department of Computer Science, Federal University of Petroleum Resources, Effurun.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