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4603B"/>
          <w:sz w:val="40"/>
          <w:szCs w:val="40"/>
        </w:rPr>
        <w:t xml:space="preserve">PROCESS IMPROVEMENT CHARTER</w:t>
      </w:r>
    </w:p>
    <w:p>
      <w:pPr>
        <w:spacing w:after="240"/>
      </w:pPr>
      <w:r>
        <w:rPr>
          <w:color w:val="52514E"/>
          <w:sz w:val="26"/>
          <w:szCs w:val="26"/>
        </w:rPr>
        <w:t xml:space="preserve">AP Invoice Approval Cycle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sponsor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VP Finance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 owner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 Payable Manager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Prepared by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Analyst — Process Improvement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Recommended — pending sponsor sign-off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pct" w:w="7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 Payable invoice approval workflow, all departments</w:t>
            </w:r>
          </w:p>
        </w:tc>
      </w:tr>
    </w:tbl>
    <w:p>
      <w:pPr>
        <w:spacing w:after="200"/>
      </w:pPr>
    </w:p>
    <w:p>
      <w:pPr>
        <w:pBdr>
          <w:left w:val="single" w:color="44603B" w:sz="12" w:space="8"/>
        </w:pBdr>
        <w:spacing w:after="200"/>
      </w:pPr>
      <w:r>
        <w:rPr>
          <w:i/>
          <w:iCs/>
          <w:color w:val="52514E"/>
          <w:sz w:val="17"/>
          <w:szCs w:val="17"/>
        </w:rPr>
        <w:t xml:space="preserve">This is a simulated case study built for a business-analyst portfolio. Brightpath Distribution, its people, and the figures below are illustrative; the discovery method, the analysis, and the workbook behind it are real and reproducible — see cycle_time_analysis.xlsx.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Brightpath Distribution's accounts-payable invoice approval process takes an average of 12.8 business days from invoice receipt to payment, against vendor terms that reward payment inside 10 days. A one-month sample of 120 invoices, pulled from AP timestamps and approver email logs, shows the delay is structural, not occasional: every invoice of $500 or more is routed through the same three sequential approvals — department manager, finance manager, and controller — regardless of whether it is a $600 office-supply order or a $60,000 equipment purchase.</w:t>
      </w:r>
    </w:p>
    <w:p>
      <w:pPr>
        <w:spacing w:after="160"/>
      </w:pPr>
      <w:r>
        <w:t xml:space="preserve">The direct cost is measurable: this sample alone forfeited $10,401 in early-payment discounts in one month, an estimated $124,815 annualized. Nothing in the process is unfixable — the fix is to differentiate approval requirements by dollar amount, remove manual data entry for recurring vendors, and replace untracked email routing with a workflow tool that has visibility and backup approvers. Modeled against this same invoice population, that redesign cuts average cycle time to 4.3 days (a 66% reduction) and is projected to net roughly $75,000 in year one and $97,000 in every year after, against a combined tool and implementation cost of $49,600.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60"/>
      </w:pPr>
      <w:r>
        <w:t xml:space="preserve">Finance leadership raised two recurring complaints: vendors increasingly declining to offer early-payment discount terms to Brightpath, citing unreliable payment timing, and AP staff spending a disproportionate amount of time chasing approvals rather than processing invoices. Neither complaint pointed to a specific cause, only a feeling that “invoices take too long.” This charter exists to answer, with data, where the time actually goes and what a fix is worth.</w:t>
      </w:r>
    </w:p>
    <w:p>
      <w:pPr>
        <w:pStyle w:val="Heading1"/>
        <w:spacing w:after="160" w:before="320"/>
      </w:pPr>
      <w:r>
        <w:t xml:space="preserve">3. Current-State Process</w:t>
      </w:r>
    </w:p>
    <w:p>
      <w:pPr>
        <w:spacing w:after="160"/>
      </w:pPr>
      <w:r>
        <w:t xml:space="preserve">See the companion exhibit, process-map.html, for the full swimlane diagram. In summary: every invoice is manually re-keyed from PDF into the accounting system by an AP clerk (avg. 1.3 days), then routed by individual email to a department manager (avg. 4.2 days), a finance manager (avg. 3.6 days), and a controller (avg. 4.2 days) in sequence — for any invoice at or above $500, with no exceptions for size. No backup approver is defined for any of the three roles, so a single approver's absence stalls the invoice until they return. Approval status is not tracked anywhere outside individual inboxes.</w:t>
      </w:r>
    </w:p>
    <w:p>
      <w:pPr>
        <w:pStyle w:val="Heading1"/>
        <w:spacing w:after="160" w:before="320"/>
      </w:pPr>
      <w:r>
        <w:t xml:space="preserve">4. Root-Cause Analysis</w:t>
      </w:r>
    </w:p>
    <w:p>
      <w:pPr>
        <w:spacing w:after="160"/>
      </w:pPr>
      <w:r>
        <w:t xml:space="preserve">Structured as 5 Whys, starting from the symptom finance raised: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5220"/>
      </w:tblGrid>
      <w:tr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Why do invoices take ~13 days to pay?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They pass through 3 sequential manual approvals plus manual data entry before payment is scheduled.</w:t>
            </w:r>
          </w:p>
        </w:tc>
      </w:tr>
      <w:tr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Why 3 approvals for every invoice?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approval policy was never updated after the company's headcount and invoice volume grew; it was written when total monthly invoice volume was roughly a third of today's.</w:t>
            </w:r>
          </w:p>
        </w:tc>
      </w:tr>
      <w:tr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Why does each approval take 3–4 days?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Requests are single email threads with no reminders, no visibility, and no deadline. An approver has to notice, open, and act on each one individually.</w:t>
            </w:r>
          </w:p>
        </w:tc>
      </w:tr>
      <w:tr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Why is there no reminder or visibility system?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 has never had a workflow tool; the process was built for a much smaller, lower-volume operation and grew by habit rather than design.</w:t>
            </w:r>
          </w:p>
        </w:tc>
      </w:tr>
      <w:tr>
        <w:tc>
          <w:tcPr>
            <w:tcW w:type="pct" w:w="42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Why does data entry take over a day?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invoice, including the ~75% from recurring, known vendors with a consistent format, is keyed in by hand rather than captured automatically.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Root cause: the approval policy and the tooling around it were designed for a smaller company and never revisited as volume grew. The fix is not “work faster” — it is redesigning the policy to match risk to invoice size, and giving approvers a tool that surfaces work instead of burying it in email.</w:t>
      </w:r>
    </w:p>
    <w:p>
      <w:pPr>
        <w:pStyle w:val="Heading1"/>
        <w:spacing w:after="160" w:before="320"/>
      </w:pPr>
      <w:r>
        <w:t xml:space="preserve">5. Future-State Recommendation</w:t>
      </w:r>
    </w:p>
    <w:p>
      <w:pPr>
        <w:spacing w:after="160"/>
      </w:pPr>
      <w:r>
        <w:t xml:space="preserve">Three changes, implemented together: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Tier approvals by invoice amount: under $500 stays department-manager-only (unchanged); $500–$10,000 drops to department-manager-only; $10,000–$50,000 requires department + finance manager; above $50,000 keeps the full three-approval chain.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OCR/auto-capture for the ~75% of invoice volume from established, recurring vendors, eliminating manual re-keying for that population.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email routing with a lightweight approval workflow tool: automatic reminders, a defined backup approver for each role, and a shared queue so AP can see where any invoice actually sits.</w:t>
      </w:r>
    </w:p>
    <w:p>
      <w:pPr>
        <w:spacing w:after="160"/>
      </w:pPr>
      <w:r>
        <w:t xml:space="preserve">Modeled row-by-row against the same 120-invoice sample (see the Future-State Model and Future-State Projection tabs in cycle_time_analysis.xlsx), this reduces average cycle time from 12.8 to 4.3 days — a 66% reduction — and is projected to recover $124,815/year in early-payment discounts that are currently forfeited.</w:t>
      </w:r>
    </w:p>
    <w:p>
      <w:pPr>
        <w:pStyle w:val="Heading1"/>
        <w:spacing w:after="160" w:before="320"/>
      </w:pPr>
      <w:r>
        <w:t xml:space="preserve">6.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2430"/>
        <w:gridCol w:w="2430"/>
      </w:tblGrid>
      <w:tr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(Month 6)</w:t>
            </w:r>
          </w:p>
        </w:tc>
      </w:tr>
      <w:tr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Average invoice cycle time (receipt to payment)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12.8 days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5.0 days</w:t>
            </w:r>
          </w:p>
        </w:tc>
      </w:tr>
      <w:tr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of eligible invoices capturing early-payment discount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80%</w:t>
            </w:r>
          </w:p>
        </w:tc>
      </w:tr>
      <w:tr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Invoices routed through all 3 approval tiers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82% (all $500+ invoices)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7% (only Tier 3, &gt;$50K)</w:t>
            </w:r>
          </w:p>
        </w:tc>
      </w:tr>
      <w:tr>
        <w:tc>
          <w:tcPr>
            <w:tcW w:type="pct" w:w="4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Invoices with no defined backup approver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pct" w:w="27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1"/>
        <w:spacing w:after="160" w:before="320"/>
      </w:pPr>
      <w:r>
        <w:t xml:space="preserve">7. Implementation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5220"/>
      </w:tblGrid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activities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Policy redesign &amp; sign-off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1–2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Finalize tier thresholds with Finance leadership; update the AP approval policy document; identify and confirm backup approvers for each role.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Tool selection &amp; configuration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3–6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and configure workflow/routing tool and OCR capture tool; integrate with the existing accounting system; build the tiered routing rules.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Pilot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7–8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the new process for one department's invoices in parallel with the old process; compare cycle times; fix routing-rule edge cases.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Company-wide rollout &amp; training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9–10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 out to all departments; train approvers and AP staff; publish the updated policy and escalation path.</w:t>
            </w:r>
          </w:p>
        </w:tc>
      </w:tr>
      <w:tr>
        <w:tc>
          <w:tcPr>
            <w:tcW w:type="pct" w:w="2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Monitor &amp; adjust</w:t>
            </w:r>
          </w:p>
        </w:tc>
        <w:tc>
          <w:tcPr>
            <w:tcW w:type="pct" w:w="16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11–16</w:t>
            </w:r>
          </w:p>
        </w:tc>
        <w:tc>
          <w:tcPr>
            <w:tcW w:type="pct" w:w="58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the Section 6 metrics monthly; revisit tier thresholds if volume in any tier looks miscalibrated.</w:t>
            </w:r>
          </w:p>
        </w:tc>
      </w:tr>
    </w:tbl>
    <w:p>
      <w:pPr>
        <w:pStyle w:val="Heading1"/>
        <w:spacing w:after="160" w:before="320"/>
      </w:pPr>
      <w:r>
        <w:t xml:space="preserve">8.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pct" w:w="4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pct" w:w="6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pct" w:w="4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 misreads non-standard invoice formats from one-off vendors</w:t>
            </w:r>
          </w:p>
        </w:tc>
        <w:tc>
          <w:tcPr>
            <w:tcW w:type="pct" w:w="6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Auto-capture is scoped only to the ~75% of volume from recurring, known-format vendors; one-off vendors keep manual entry, flagged as a known limitation rather than forced through OCR.</w:t>
            </w:r>
          </w:p>
        </w:tc>
      </w:tr>
      <w:tr>
        <w:tc>
          <w:tcPr>
            <w:tcW w:type="pct" w:w="4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Approvers don't adopt the new tool and keep using email</w:t>
            </w:r>
          </w:p>
        </w:tc>
        <w:tc>
          <w:tcPr>
            <w:tcW w:type="pct" w:w="6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 routing is disabled, not left as a parallel option; training in Phase 4 is mandatory and tied to the policy update, not optional.</w:t>
            </w:r>
          </w:p>
        </w:tc>
      </w:tr>
      <w:tr>
        <w:tc>
          <w:tcPr>
            <w:tcW w:type="pct" w:w="4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Raising a department manager's authority to single-approve up to $10,000 increases risk exposure</w:t>
            </w:r>
          </w:p>
        </w:tc>
        <w:tc>
          <w:tcPr>
            <w:tcW w:type="pct" w:w="6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Threshold was set with Finance leadership using Brightpath's existing delegation-of-authority policy, not chosen unilaterally by this project; spot-audits of Tier 1 approvals continue for the first two quarters.</w:t>
            </w:r>
          </w:p>
        </w:tc>
      </w:tr>
      <w:tr>
        <w:tc>
          <w:tcPr>
            <w:tcW w:type="pct" w:w="4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Benefit estimate depends on assumptions (queue-time reduction %, OCR adoption) that may not hold exactly</w:t>
            </w:r>
          </w:p>
        </w:tc>
        <w:tc>
          <w:tcPr>
            <w:tcW w:type="pct" w:w="6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assumptions are isolated in the Future-State Model tab as labeled, editable cells — the pilot in Phase 3 will validate them against real data before company-wide rollout.</w:t>
            </w:r>
          </w:p>
        </w:tc>
      </w:tr>
    </w:tbl>
    <w:p>
      <w:pPr>
        <w:pStyle w:val="Heading1"/>
        <w:spacing w:after="160" w:before="320"/>
      </w:pPr>
      <w:r>
        <w:t xml:space="preserve">9.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2250"/>
        <w:gridCol w:w="1800"/>
      </w:tblGrid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4460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Sponsor (VP Finance)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 Owner (AP Manager)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shd w:fill="F3F5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Analyst</w:t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6DCDA" w:sz="2"/>
              <w:left w:val="single" w:color="D6DCDA" w:sz="2"/>
              <w:bottom w:val="single" w:color="D6DCDA" w:sz="2"/>
              <w:right w:val="single" w:color="D6DCDA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Page </w:t>
    </w: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514E"/>
        <w:sz w:val="16"/>
        <w:szCs w:val="16"/>
      </w:rPr>
      <w:t xml:space="preserve"> of </w:t>
    </w:r>
    <w:r>
      <w:rPr>
        <w:color w:val="52514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DA" w:sz="4" w:space="4"/>
      </w:pBdr>
    </w:pPr>
    <w:r>
      <w:rPr>
        <w:color w:val="52514E"/>
        <w:sz w:val="16"/>
        <w:szCs w:val="16"/>
      </w:rPr>
      <w:t xml:space="preserve">Brightpath Distribution — Process Improvement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44603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A2A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2026-09-03T15:07:25.423Z</dcterms:created>
  <dcterms:modified xsi:type="dcterms:W3CDTF">2026-09-03T15:07:25.423Z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