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4603B"/>
          <w:sz w:val="40"/>
          <w:szCs w:val="40"/>
        </w:rPr>
        <w:t xml:space="preserve">CHANGE MANAGEMENT PLAN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Colton Regional Supply Warehouse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Project sponsor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Change lead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HR Director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Prepared by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Business Analyst — Change Management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Approved — integration in progress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Scope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Warehouse operations integration, 2 Colton sites into Brightpath operations</w:t>
            </w:r>
          </w:p>
        </w:tc>
      </w:tr>
    </w:tbl>
    <w:p>
      <w:pPr>
        <w:spacing w:after="200"/>
      </w:pPr>
    </w:p>
    <w:p>
      <w:pPr>
        <w:pBdr>
          <w:left w:val="single" w:color="44603B" w:sz="12" w:space="8"/>
        </w:pBdr>
        <w:spacing w:after="200"/>
      </w:pPr>
      <w:r>
        <w:rPr>
          <w:i/>
          <w:iCs/>
          <w:color w:val="52514E"/>
          <w:sz w:val="17"/>
          <w:szCs w:val="17"/>
        </w:rPr>
        <w:t xml:space="preserve">This is a simulated case study built for a business-analyst portfolio. Brightpath Distribution, Colton Regional Supply, and the details below are illustrative; the stakeholder analysis and RACI model behind this plan are real and reproducible — see stakeholder_analysis.xlsx.</w:t>
      </w:r>
    </w:p>
    <w:p>
      <w:pPr>
        <w:pStyle w:val="Heading1"/>
        <w:spacing w:after="160" w:before="320"/>
      </w:pPr>
      <w:r>
        <w:t xml:space="preserve">1. Background</w:t>
      </w:r>
    </w:p>
    <w:p>
      <w:pPr>
        <w:spacing w:after="160"/>
      </w:pPr>
      <w:r>
        <w:t xml:space="preserve">Brightpath Distribution acquired Colton Regional Supply, a smaller regional distributor with two warehouse sites and roughly 85 employees, six weeks ago. The two companies' warehouse operations must integrate onto a single WMS, a single shift/scheduling policy, and a single reporting structure within four months, without disrupting order fulfillment for either customer base. The acquisition was announced to Colton employees only at signing; how the integration is run from here will determine whether it reads as a partnership or a takeover.</w:t>
      </w:r>
    </w:p>
    <w:p>
      <w:pPr>
        <w:pStyle w:val="Heading1"/>
        <w:spacing w:after="160" w:before="320"/>
      </w:pPr>
      <w:r>
        <w:t xml:space="preserve">2. Change Impact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1080"/>
        <w:gridCol w:w="2880"/>
      </w:tblGrid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Change area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Who's affected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Current readiness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Warehouse management system (WMS)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warehouse staff &amp; ops managers (Brightpath system replaces Colton's)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 — no exposure to the new system yet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Reporting lines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Ops Managers (now report into Brightpath VP Ops)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 — expected, but structure not yet finalized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Shift &amp; scheduling policy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warehouse staff, both sites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 — some policies already similar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Safety &amp; incident-reporting procedures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warehouse staff, both sites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 — procedural, less identity-charged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Payroll &amp; benefits harmonization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Colton staff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 — financially sensitive, not yet communicated in detail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brand/identity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staff and long-standing Colton customers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 (symbolic)</w:t>
            </w:r>
          </w:p>
        </w:tc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 — tied directly to job-security anxiety</w:t>
            </w:r>
          </w:p>
        </w:tc>
      </w:tr>
    </w:tbl>
    <w:p>
      <w:pPr>
        <w:pStyle w:val="Heading1"/>
        <w:spacing w:after="160" w:before="320"/>
      </w:pPr>
      <w:r>
        <w:t xml:space="preserve">3. Stakeholder Engagement Approach</w:t>
      </w:r>
    </w:p>
    <w:p>
      <w:pPr>
        <w:spacing w:after="160"/>
      </w:pPr>
      <w:r>
        <w:t xml:space="preserve">Full detail in stakeholder_analysis.xlsx and the accompanying power/interest map. In summary, by quadrant: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Closely (COO, VP Ops, Colton GM, HR Director) — weekly working sessions; co-own every major decision jointly, not unilaterally from the Brightpath 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Informed (both sites' Ops Managers and warehouse staff) — the group carrying the most day-to-day disruption and the least formal power. Two-way channels, not announcements: town halls with open Q&amp;A, and a standing channel for questions that gets answered within 48 hours, tracked and visible.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Satisfied (CEO, key Colton-region customers) — periodic milestone updates; protect their confidence without pulling them into operational detail they don't need.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(IT, Finance/Payroll, general customer base) — kept current through standing project channels; escalate to Manage Closely only if a specific issue in their area surfaces.</w:t>
      </w:r>
    </w:p>
    <w:p>
      <w:pPr>
        <w:spacing w:after="160"/>
      </w:pPr>
      <w:r>
        <w:t xml:space="preserve">The single biggest resistance risk identified in stakeholder interviews was asymmetric treatment: Colton staff explicitly worried about being folded into Brightpath's way of doing things with no input, versus a genuine two-way integration. Every activity in the accompanying RACI matrix mirrors Colton and Brightpath roles at each level deliberately, for this reason.</w:t>
      </w:r>
    </w:p>
    <w:p>
      <w:pPr>
        <w:pStyle w:val="Heading1"/>
        <w:spacing w:after="160" w:before="320"/>
      </w:pPr>
      <w:r>
        <w:t xml:space="preserve">4. Communication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2340"/>
        <w:gridCol w:w="1620"/>
        <w:gridCol w:w="900"/>
        <w:gridCol w:w="1080"/>
      </w:tblGrid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Message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Channel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 Announcement (Wk 1)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staff, both companies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changing, what isn't, and what happens next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All-hands town hall + written FAQ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Once, live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COO + Colton GM (joint)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 Discovery &amp; listening (Wk 2-3)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Warehouse staff &amp; ops managers, both sites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 want your input on how this actually works day to day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Small-group listening sessions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2x per site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HR Director + local Ops Managers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 Design &amp; co-creation (Wk 4-8)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Ops managers, IT, HR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Here's what we heard and how it shaped the design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Working sessions + biweekly written update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Biweekly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VP Ops + Colton GM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 Pre-go-live (Wk 9-10)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warehouse staff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 your first day on the new system looks like, concretely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Team briefings + one-page cutover guide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Weekly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Local Ops Managers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 Go-live (Wk 11)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warehouse staff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Real-time support during cutover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On-floor support + hotline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Continuous, cutover weekend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 Lead + Ops Managers</w:t>
            </w:r>
          </w:p>
        </w:tc>
      </w:tr>
      <w:tr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 Reinforcement (Wk 12-16)</w:t>
            </w:r>
          </w:p>
        </w:tc>
        <w:tc>
          <w:tcPr>
            <w:tcW w:type="pct" w:w="1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staff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What's working, what we're still fixing, and how to raise an issue</w:t>
            </w:r>
          </w:p>
        </w:tc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Biweekly written update</w:t>
            </w:r>
          </w:p>
        </w:tc>
        <w:tc>
          <w:tcPr>
            <w:tcW w:type="pct" w:w="1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Biweekly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HR Director</w:t>
            </w:r>
          </w:p>
        </w:tc>
      </w:tr>
    </w:tbl>
    <w:p>
      <w:pPr>
        <w:pStyle w:val="Heading1"/>
        <w:spacing w:after="160" w:before="320"/>
      </w:pPr>
      <w:r>
        <w:t xml:space="preserve">5. Training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60"/>
        <w:gridCol w:w="2340"/>
        <w:gridCol w:w="1440"/>
      </w:tblGrid>
      <w:tr>
        <w:tc>
          <w:tcPr>
            <w:tcW w:type="pct" w:w="2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pct" w:w="3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Topic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c>
          <w:tcPr>
            <w:tcW w:type="pct" w:w="2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warehouse staff</w:t>
            </w:r>
          </w:p>
        </w:tc>
        <w:tc>
          <w:tcPr>
            <w:tcW w:type="pct" w:w="3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 WMS — daily-use functions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Hands-on, in small groups, on the actual warehouse floor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9-10, before go-live</w:t>
            </w:r>
          </w:p>
        </w:tc>
      </w:tr>
      <w:tr>
        <w:tc>
          <w:tcPr>
            <w:tcW w:type="pct" w:w="2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Ops Managers</w:t>
            </w:r>
          </w:p>
        </w:tc>
        <w:tc>
          <w:tcPr>
            <w:tcW w:type="pct" w:w="3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 WMS — full administrative functions + reporting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Instructor-led, remote or on-site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7-8</w:t>
            </w:r>
          </w:p>
        </w:tc>
      </w:tr>
      <w:tr>
        <w:tc>
          <w:tcPr>
            <w:tcW w:type="pct" w:w="2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Brightpath warehouse staff</w:t>
            </w:r>
          </w:p>
        </w:tc>
        <w:tc>
          <w:tcPr>
            <w:tcW w:type="pct" w:w="3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Any workflow changes from the harmonized shift/scheduling policy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Team briefing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9-10</w:t>
            </w:r>
          </w:p>
        </w:tc>
      </w:tr>
      <w:tr>
        <w:tc>
          <w:tcPr>
            <w:tcW w:type="pct" w:w="2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warehouse staff, both sites</w:t>
            </w:r>
          </w:p>
        </w:tc>
        <w:tc>
          <w:tcPr>
            <w:tcW w:type="pct" w:w="3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Unified safety &amp; incident-reporting procedure</w:t>
            </w:r>
          </w:p>
        </w:tc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In-person briefing + posted quick-reference card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9</w:t>
            </w:r>
          </w:p>
        </w:tc>
      </w:tr>
    </w:tbl>
    <w:p>
      <w:pPr>
        <w:pStyle w:val="Heading1"/>
        <w:spacing w:after="160" w:before="320"/>
      </w:pPr>
      <w:r>
        <w:t xml:space="preserve">6. Resistance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1080"/>
        <w:gridCol w:w="414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Colton staff perceive the integration as a takeover, not a partnership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Joint ownership of every major decision by the Colton GM and Brightpath VP Ops; mirrored roles in the RACI matrix; Colton GM co-delivers the announcement, not just Brightpath leadership.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 Colton warehouse staff leave before cutover, straining fulfillment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Retention conversations with named at-risk individuals (identified by local Ops Managers) before the announcement goes company-wide; competitive-with-Brightpath compensation confirmed early, not left ambiguous through the transition.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Brightpath Ops Managers treat their own processes as the default without genuine two-way design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Design sessions explicitly structured to start from "what works well at each site today," not "how Brightpath already does it"; HR Director sits in on design sessions specifically to check for this pattern.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Training doesn't stick and staff revert to old workarounds after go-live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On-floor support continues for two full weeks post-cutover, not just cutover weekend itself; 30-day review (Section 8) explicitly checks adoption, not just system uptime.</w:t>
            </w:r>
          </w:p>
        </w:tc>
      </w:tr>
    </w:tbl>
    <w:p>
      <w:pPr>
        <w:pStyle w:val="Heading1"/>
        <w:spacing w:after="160" w:before="320"/>
      </w:pPr>
      <w:r>
        <w:t xml:space="preserve">7. Adoption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3780"/>
      </w:tblGrid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Staff attendance at listening sessions (Phase 2)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≥ 80% of warehouse staff, both sites</w:t>
            </w:r>
          </w:p>
        </w:tc>
      </w:tr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Voluntary turnover, Colton sites, during the integration window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increase over the trailing 12-month baseline rate</w:t>
            </w:r>
          </w:p>
        </w:tc>
      </w:tr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WMS daily active use rate, both sites, 30 days post-go-live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≥ 95% of transactions logged in the new system, not the old one or a workaround spreadsheet</w:t>
            </w:r>
          </w:p>
        </w:tc>
      </w:tr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Unresolved staff questions in the standing Q&amp;A channel, older than 48 hours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Zero, tracked weekly</w:t>
            </w:r>
          </w:p>
        </w:tc>
      </w:tr>
      <w:tr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Order fulfillment accuracy, both sites, during cutover week</w:t>
            </w:r>
          </w:p>
        </w:tc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degradation versus the trailing 8-week average</w:t>
            </w:r>
          </w:p>
        </w:tc>
      </w:tr>
    </w:tbl>
    <w:p>
      <w:pPr>
        <w:pStyle w:val="Heading1"/>
        <w:spacing w:after="160" w:before="320"/>
      </w:pPr>
      <w:r>
        <w:t xml:space="preserve">8.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Project Sponsor (COO)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Change Lead (HR Director)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Business Analyst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14E"/>
        <w:sz w:val="16"/>
        <w:szCs w:val="16"/>
      </w:rPr>
      <w:t xml:space="preserve"> of </w:t>
    </w:r>
    <w:r>
      <w:rPr>
        <w:color w:val="52514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DA" w:sz="4" w:space="4"/>
      </w:pBdr>
    </w:pPr>
    <w:r>
      <w:rPr>
        <w:color w:val="52514E"/>
        <w:sz w:val="16"/>
        <w:szCs w:val="16"/>
      </w:rPr>
      <w:t xml:space="preserve">Brightpath Distribution — Change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4460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2026-09-03T15:18:09.216Z</dcterms:created>
  <dcterms:modified xsi:type="dcterms:W3CDTF">2026-09-03T15:18:09.217Z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