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4603B"/>
          <w:sz w:val="40"/>
          <w:szCs w:val="40"/>
        </w:rPr>
        <w:t xml:space="preserve">BUSINESS CASE</w:t>
      </w:r>
    </w:p>
    <w:p>
      <w:pPr>
        <w:spacing w:after="240"/>
      </w:pPr>
      <w:r>
        <w:rPr>
          <w:color w:val="52514E"/>
          <w:sz w:val="26"/>
          <w:szCs w:val="26"/>
        </w:rPr>
        <w:t xml:space="preserve">Automating Inbound Sales-Order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Project sponsor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VP Operations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Prepared by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Business Analyst — Business Case &amp; Cost-Benefit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Recommended — pending budget approval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Decision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Build vs. buy vs. hire: how to handle rising inbound order-entry volume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Horizon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3-year cost-benefit, 8% discount rate</w:t>
            </w:r>
          </w:p>
        </w:tc>
      </w:tr>
    </w:tbl>
    <w:p>
      <w:pPr>
        <w:spacing w:after="200"/>
      </w:pPr>
    </w:p>
    <w:p>
      <w:pPr>
        <w:pBdr>
          <w:left w:val="single" w:color="44603B" w:sz="12" w:space="8"/>
        </w:pBdr>
        <w:spacing w:after="200"/>
      </w:pPr>
      <w:r>
        <w:rPr>
          <w:i/>
          <w:iCs/>
          <w:color w:val="52514E"/>
          <w:sz w:val="17"/>
          <w:szCs w:val="17"/>
        </w:rPr>
        <w:t xml:space="preserve">This is a simulated case study built for a business-analyst portfolio. Brightpath Distribution and the figures below are illustrative; the cost-benefit model, NPV, and payback calculation are real and reproducible — see cost_benefit_analysis.xlsx.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Brightpath Distribution's inbound sales-order entry team manually keys customer orders from fax, email PDF, and an EDI portal into the ERP system. Order volume is growing 15% a year, and the team has already grown from 3 to 7 clerks over four years to keep up. The Operations Director has a routine request pending: approve two more hires for next year. This business case exists because that request was never actually evaluated against the alternative — investing in OCR/RPA automation instead.</w:t>
      </w:r>
    </w:p>
    <w:p>
      <w:pPr>
        <w:spacing w:after="160"/>
      </w:pPr>
      <w:r>
        <w:t xml:space="preserve">Modeled over 3 years against the same volume growth: continuing to hire costs $1,592,000. Automating costs $1,512,000 and, combined with fewer downstream order errors, delivers a $210,725 net benefit over hiring — a $165,288 net present value at an 8% discount rate, with a 1.6-year payback. The automation option also avoids adding headcount at all: existing staff absorb the volume through freed-up capacity, redirected to exception handling rather than displaced.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spacing w:after="160"/>
      </w:pPr>
      <w:r>
        <w:t xml:space="preserve">Order volume has grown steadily and is projected to keep growing at roughly 15% a year. At current productivity (about 9,500 orders per clerk per year), keeping pace by hiring alone would require the team to grow from 7 to 11 clerks over the next 3 years. Nobody had modeled what that costs against the alternative before this business case — headcount requests were being approved reactively, one hiring cycle at a time.</w:t>
      </w:r>
    </w:p>
    <w:p>
      <w:pPr>
        <w:pStyle w:val="Heading1"/>
        <w:spacing w:after="160" w:before="320"/>
      </w:pPr>
      <w:r>
        <w:t xml:space="preserve">3. Options Considered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4680"/>
        <w:gridCol w:w="2700"/>
      </w:tblGrid>
      <w:tr>
        <w:tc>
          <w:tcPr>
            <w:tcW w:type="pct" w:w="1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Option</w:t>
            </w:r>
          </w:p>
        </w:tc>
        <w:tc>
          <w:tcPr>
            <w:tcW w:type="pct" w:w="5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Verdict</w:t>
            </w:r>
          </w:p>
        </w:tc>
      </w:tr>
      <w:tr>
        <w:tc>
          <w:tcPr>
            <w:tcW w:type="pct" w:w="1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A. Do nothing</w:t>
            </w:r>
          </w:p>
        </w:tc>
        <w:tc>
          <w:tcPr>
            <w:tcW w:type="pct" w:w="5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Hold headcount at 7 and let the backlog grow as volume outpaces capacity.</w:t>
            </w:r>
          </w:p>
        </w:tc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Rejected outright — not a serious option. Order-entry delays cascade directly into shipment delays and customer complaints; this was ruled out in the first stakeholder conversation, not modeled financially.</w:t>
            </w:r>
          </w:p>
        </w:tc>
      </w:tr>
      <w:tr>
        <w:tc>
          <w:tcPr>
            <w:tcW w:type="pct" w:w="1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B. Hire to keep pace</w:t>
            </w:r>
          </w:p>
        </w:tc>
        <w:tc>
          <w:tcPr>
            <w:tcW w:type="pct" w:w="5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 clerks each year at current productivity to match volume growth (7 → 9 → 10 → 11 over 3 years).</w:t>
            </w:r>
          </w:p>
        </w:tc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Financially modeled — baseline for comparison.</w:t>
            </w:r>
          </w:p>
        </w:tc>
      </w:tr>
      <w:tr>
        <w:tc>
          <w:tcPr>
            <w:tcW w:type="pct" w:w="1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C. Invest in OCR/RPA automation</w:t>
            </w:r>
          </w:p>
        </w:tc>
        <w:tc>
          <w:tcPr>
            <w:tcW w:type="pct" w:w="5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Deploy OCR/RPA to auto-capture and key the fax/email/EDI order formats that follow a consistent template; existing staff handle the remaining manual volume and exceptions.</w:t>
            </w:r>
          </w:p>
        </w:tc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Financially modeled — recommended.</w:t>
            </w:r>
          </w:p>
        </w:tc>
      </w:tr>
    </w:tbl>
    <w:p>
      <w:pPr>
        <w:pStyle w:val="Heading1"/>
        <w:spacing w:after="160" w:before="320"/>
      </w:pPr>
      <w:r>
        <w:t xml:space="preserve">4. Cost-Benefit Analysis</w:t>
      </w:r>
    </w:p>
    <w:p>
      <w:pPr>
        <w:spacing w:after="160"/>
      </w:pPr>
      <w:r>
        <w:t xml:space="preserve">Full year-by-year build in cost_benefit_analysis.xlsx. Headline comparison over 3 years: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Option B — Hire</w:t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Option C — Automate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Year 1 cost</w:t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$484,000</w:t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$584,000 (includes $120,000 one-time implementation)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Year 2 cost</w:t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$528,000</w:t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$464,000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Year 3 cost</w:t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$580,000</w:t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$464,000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3-year total cost</w:t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$1,592,000</w:t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$1,512,000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Headcount, end of Year 3</w:t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 clerks</w:t>
            </w:r>
          </w:p>
        </w:tc>
        <w:tc>
          <w:tcPr>
            <w:tcW w:type="pct" w:w="3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 clerks (unchanged)</w:t>
            </w:r>
          </w:p>
        </w:tc>
      </w:tr>
    </w:tbl>
    <w:p>
      <w:pPr>
        <w:spacing w:after="160"/>
      </w:pPr>
      <w:r>
        <w:t xml:space="preserve">The cost comparison alone favors automation by $80,000 over 3 years — a real but modest margin. The fuller picture includes order-entry error costs, which the cost table above doesn't capture: OCR-validated orders have a materially lower error rate (0.6%) than hand-keyed orders (2.5%), and errors are expensive downstream (rework, reshipment, customer-service time, modeled at $35/error). Avoiding those errors on the growing automated share of volume is worth an estimated $130,725 over 3 years on its own — bringing the combined 3-year net benefit of automating to $210,725.</w:t>
      </w:r>
    </w:p>
    <w:p>
      <w:pPr>
        <w:pStyle w:val="Heading1"/>
        <w:spacing w:after="160" w:before="320"/>
      </w:pPr>
      <w:r>
        <w:t xml:space="preserve">5. NPV &amp; Payback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050"/>
      </w:tblGrid>
      <w:tr>
        <w:tc>
          <w:tcPr>
            <w:tcW w:type="pct" w:w="5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pct" w:w="4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pct" w:w="5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3-year net benefit (cost avoided + error cost avoided)</w:t>
            </w:r>
          </w:p>
        </w:tc>
        <w:tc>
          <w:tcPr>
            <w:tcW w:type="pct" w:w="4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$210,725</w:t>
            </w:r>
          </w:p>
        </w:tc>
      </w:tr>
      <w:tr>
        <w:tc>
          <w:tcPr>
            <w:tcW w:type="pct" w:w="5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3-year NPV @ 8% discount rate</w:t>
            </w:r>
          </w:p>
        </w:tc>
        <w:tc>
          <w:tcPr>
            <w:tcW w:type="pct" w:w="4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$165,288</w:t>
            </w:r>
          </w:p>
        </w:tc>
      </w:tr>
      <w:tr>
        <w:tc>
          <w:tcPr>
            <w:tcW w:type="pct" w:w="5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Payback period</w:t>
            </w:r>
          </w:p>
        </w:tc>
        <w:tc>
          <w:tcPr>
            <w:tcW w:type="pct" w:w="4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1.62 years (≈ 1 year, 7 months)</w:t>
            </w:r>
          </w:p>
        </w:tc>
      </w:tr>
    </w:tbl>
    <w:p>
      <w:pPr>
        <w:spacing w:after="160"/>
      </w:pPr>
      <w:r>
        <w:t xml:space="preserve">Year 1 shows a net cost, not a benefit — the $120,000 one-time implementation charge outweighs Year 1's savings before the automation is fully ramped. This is normal for an automation investment and is stated plainly rather than smoothed into a 3-year average: anyone approving this should expect Year 1 to look worse than the status quo before it turns around in Year 2.</w:t>
      </w:r>
    </w:p>
    <w:p>
      <w:pPr>
        <w:pStyle w:val="Heading1"/>
        <w:spacing w:after="160" w:before="320"/>
      </w:pPr>
      <w:r>
        <w:t xml:space="preserve">6.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080"/>
        <w:gridCol w:w="1080"/>
        <w:gridCol w:w="3960"/>
      </w:tblGrid>
      <w:tr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Likelihood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pct" w:w="4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OCR misreads non-standard order formats, especially fax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4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Automation adoption is modeled conservatively (65% of volume in Year 1, ramping to 80% by Year 3), not 100% — the remaining share stays on manual entry by design, not as a fallback surprise.</w:t>
            </w:r>
          </w:p>
        </w:tc>
      </w:tr>
      <w:tr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Implementation takes longer than planned, delaying the Year 1 benefit further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4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Phased rollout starting with the highest-volume, most consistent order format (EDI-adjacent email PDFs) before extending to fax, so partial benefit starts accruing before full rollout completes.</w:t>
            </w:r>
          </w:p>
        </w:tc>
      </w:tr>
      <w:tr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Freed-up clerk capacity isn't actually redirected to useful work, undermining the no-layoffs rationale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  <w:tc>
          <w:tcPr>
            <w:tcW w:type="pct" w:w="4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Redeployment plan (exception handling, order-quality review, customer follow-up on flagged orders) defined and staffed before go-live, not left to be figured out afterward.</w:t>
            </w:r>
          </w:p>
        </w:tc>
      </w:tr>
      <w:tr>
        <w:tc>
          <w:tcPr>
            <w:tcW w:type="pct" w:w="3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Volume growth assumption (15%/year) doesn't hold, changing the economics of both options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  <w:tc>
          <w:tcPr>
            <w:tcW w:type="pct" w:w="1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pct" w:w="44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Both options were modeled off the same growth assumption, so a miss affects the comparison's absolute numbers but not materially which option wins — automation's advantage widens, not narrows, if growth is faster than modeled.</w:t>
            </w:r>
          </w:p>
        </w:tc>
      </w:tr>
    </w:tbl>
    <w:p>
      <w:pPr>
        <w:pStyle w:val="Heading1"/>
        <w:spacing w:after="160" w:before="320"/>
      </w:pPr>
      <w:r>
        <w:t xml:space="preserve">7. Recommendation</w:t>
      </w:r>
    </w:p>
    <w:p>
      <w:pPr>
        <w:spacing w:after="160"/>
      </w:pPr>
      <w:r>
        <w:t xml:space="preserve">Invest in OCR/RPA automation for inbound order entry (Option C). It costs less than continuing to hire, avoids growing headcount for a task that's a strong automation candidate, and meaningfully reduces downstream order-error costs — a benefit the headcount-only comparison misses entirely. The case is not a slam dunk in Year 1 (net cost, due to the one-time implementation charge) and should be presented to the budget owner with that caveat explicit, not glossed over.</w:t>
      </w:r>
    </w:p>
    <w:p>
      <w:pPr>
        <w:pStyle w:val="Heading1"/>
        <w:spacing w:after="160" w:before="320"/>
      </w:pPr>
      <w:r>
        <w:t xml:space="preserve">8. 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440"/>
        <w:gridCol w:w="5580"/>
      </w:tblGrid>
      <w:tr>
        <w:tc>
          <w:tcPr>
            <w:tcW w:type="pct" w:w="2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Timeline</w:t>
            </w:r>
          </w:p>
        </w:tc>
        <w:tc>
          <w:tcPr>
            <w:tcW w:type="pct" w:w="6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 activities</w:t>
            </w:r>
          </w:p>
        </w:tc>
      </w:tr>
      <w:tr>
        <w:tc>
          <w:tcPr>
            <w:tcW w:type="pct" w:w="2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 Vendor selection &amp; scoping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Weeks 1–4</w:t>
            </w:r>
          </w:p>
        </w:tc>
        <w:tc>
          <w:tcPr>
            <w:tcW w:type="pct" w:w="6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Select OCR/RPA platform; scope which order formats qualify for auto-capture in Phase 1 (highest-volume, most consistent first).</w:t>
            </w:r>
          </w:p>
        </w:tc>
      </w:tr>
      <w:tr>
        <w:tc>
          <w:tcPr>
            <w:tcW w:type="pct" w:w="2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 Build &amp; integrate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Weeks 5–12</w:t>
            </w:r>
          </w:p>
        </w:tc>
        <w:tc>
          <w:tcPr>
            <w:tcW w:type="pct" w:w="6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Configure templates, exception-handling workflow, and ERP integration; define the clerk redeployment plan for freed capacity.</w:t>
            </w:r>
          </w:p>
        </w:tc>
      </w:tr>
      <w:tr>
        <w:tc>
          <w:tcPr>
            <w:tcW w:type="pct" w:w="2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3. Pilot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Weeks 13–16</w:t>
            </w:r>
          </w:p>
        </w:tc>
        <w:tc>
          <w:tcPr>
            <w:tcW w:type="pct" w:w="6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Run automated capture on the Phase 1 order formats in parallel with manual entry; compare accuracy and throughput before cutting over.</w:t>
            </w:r>
          </w:p>
        </w:tc>
      </w:tr>
      <w:tr>
        <w:tc>
          <w:tcPr>
            <w:tcW w:type="pct" w:w="2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4. Full rollout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Weeks 17–20</w:t>
            </w:r>
          </w:p>
        </w:tc>
        <w:tc>
          <w:tcPr>
            <w:tcW w:type="pct" w:w="6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Cut over the Phase 1 formats; begin configuring the next tranche of formats toward the Year 2 and Year 3 adoption targets.</w:t>
            </w:r>
          </w:p>
        </w:tc>
      </w:tr>
      <w:tr>
        <w:tc>
          <w:tcPr>
            <w:tcW w:type="pct" w:w="2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 Monitor &amp; expand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Ongoing</w:t>
            </w:r>
          </w:p>
        </w:tc>
        <w:tc>
          <w:tcPr>
            <w:tcW w:type="pct" w:w="6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Track auto-capture rate, error rate, and redeployed-capacity utilization monthly; extend to additional formats toward the 80% Year 3 target.</w:t>
            </w:r>
          </w:p>
        </w:tc>
      </w:tr>
    </w:tbl>
    <w:p>
      <w:pPr>
        <w:pStyle w:val="Heading1"/>
        <w:spacing w:after="160" w:before="320"/>
      </w:pPr>
      <w:r>
        <w:t xml:space="preserve">9.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50"/>
        <w:gridCol w:w="2250"/>
        <w:gridCol w:w="1800"/>
      </w:tblGrid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Project Sponsor (VP Operations)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 Reviewer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Business Analyst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t xml:space="preserve">Page </w:t>
    </w: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2514E"/>
        <w:sz w:val="16"/>
        <w:szCs w:val="16"/>
      </w:rPr>
      <w:t xml:space="preserve"> of </w:t>
    </w:r>
    <w:r>
      <w:rPr>
        <w:color w:val="52514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CDA" w:sz="4" w:space="4"/>
      </w:pBdr>
    </w:pPr>
    <w:r>
      <w:rPr>
        <w:color w:val="52514E"/>
        <w:sz w:val="16"/>
        <w:szCs w:val="16"/>
      </w:rPr>
      <w:t xml:space="preserve">Brightpath Distribution — Business Case: Order-Entry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4460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2026-09-03T15:22:16.356Z</dcterms:created>
  <dcterms:modified xsi:type="dcterms:W3CDTF">2026-09-03T15:22:16.356Z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